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none"/>
              <w:bottom w:val="none"/>
              <w:right w:val="none"/>
            </w:tcBorders>
            <w:shd w:fill="0A1F44" w:val="clear"/>
            <w:tcMar>
              <w:top w:type="dxa" w:w="260"/>
              <w:left w:type="dxa" w:w="220"/>
              <w:bottom w:type="dxa" w:w="260"/>
              <w:right w:type="dxa" w:w="220"/>
            </w:tcMar>
          </w:tcPr>
          <w:p>
            <w:pPr>
              <w:spacing w:after="90"/>
            </w:pPr>
            <w:r>
              <w:rPr>
                <w:rFonts w:ascii="Calibri" w:cs="Calibri" w:eastAsia="Calibri" w:hAnsi="Calibri"/>
                <w:b/>
                <w:bCs/>
                <w:color w:val="C9A227"/>
                <w:spacing w:val="40"/>
                <w:sz w:val="18"/>
                <w:szCs w:val="18"/>
              </w:rPr>
              <w:t xml:space="preserve">ONBOARDING ACCREDITATION — SUBMISSION ITEM 1</w:t>
            </w:r>
          </w:p>
          <w:p>
            <w:pPr>
              <w:spacing w:after="80"/>
            </w:pPr>
            <w:r>
              <w:rPr>
                <w:rFonts w:ascii="Calibri" w:cs="Calibri" w:eastAsia="Calibri" w:hAnsi="Calibri"/>
                <w:b/>
                <w:bCs/>
                <w:color w:val="FFFFFF"/>
                <w:sz w:val="34"/>
                <w:szCs w:val="34"/>
              </w:rPr>
              <w:t xml:space="preserve">Objectives-Based Onboarding Project Plan</w:t>
            </w:r>
          </w:p>
          <w:p>
            <w:pPr>
              <w:spacing w:after="0"/>
            </w:pPr>
            <w:r>
              <w:rPr>
                <w:rFonts w:ascii="Calibri" w:cs="Calibri" w:eastAsia="Calibri" w:hAnsi="Calibri"/>
                <w:color w:val="D8DDE3"/>
                <w:sz w:val="21"/>
                <w:szCs w:val="21"/>
              </w:rPr>
              <w:t xml:space="preserve">CalcFocus  |  Marketing Hub Professional + Sales Hub Professional  |  April – July 2026</w:t>
            </w:r>
          </w:p>
        </w:tc>
      </w:tr>
    </w:tbl>
    <w:p>
      <w:pPr>
        <w:spacing w:after="200"/>
      </w:pPr>
    </w:p>
    <w:p>
      <w:pPr>
        <w:pStyle w:val="Heading1"/>
        <w:spacing w:after="160" w:before="340"/>
      </w:pPr>
      <w:r>
        <w:rPr>
          <w:rFonts w:ascii="Calibri" w:cs="Calibri" w:eastAsia="Calibri" w:hAnsi="Calibri"/>
          <w:b/>
          <w:bCs/>
          <w:color w:val="0A1F44"/>
          <w:sz w:val="28"/>
          <w:szCs w:val="28"/>
        </w:rPr>
        <w:t xml:space="preserve">Engagement Overview</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7440"/>
      </w:tblGrid>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Customer</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CalcFocus (calcfocus.com)</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HubSpot Portal ID</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[TO BE INSERTED — customer portal ID]</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Industry</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Computer Software</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Company size</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58 employees</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Location</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Philadelphia, Pennsylvania, USA</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Engagement start</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22 April 2026 (portal opened) / 27 April 2026 (plan of record)</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Onboarding completion</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17 July 2026 — client confirmed</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Hubs onboarded</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Marketing Hub, Sales Hub</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Subscription levels</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Marketing Hub Professional, Sales Hub Professional</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Users onboarded</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[TO BE INSERTED] — 10 attended the 17 July training</w:t>
            </w:r>
          </w:p>
        </w:tc>
      </w:tr>
      <w:tr>
        <w:tc>
          <w:tcPr>
            <w:tcW w:type="dxa" w:w="3000"/>
            <w:tcBorders>
              <w:top w:val="single" w:color="D8DDE3" w:sz="4"/>
              <w:left w:val="single" w:color="D8DDE3" w:sz="4"/>
              <w:bottom w:val="single" w:color="D8DDE3" w:sz="4"/>
              <w:right w:val="single" w:color="D8DDE3" w:sz="4"/>
            </w:tcBorders>
            <w:shd w:fill="F4F5F7"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Delivery partner</w:t>
            </w:r>
          </w:p>
        </w:tc>
        <w:tc>
          <w:tcPr>
            <w:tcW w:type="dxa" w:w="7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Quantum Business Solutions</w:t>
            </w:r>
          </w:p>
        </w:tc>
      </w:tr>
    </w:tbl>
    <w:p>
      <w:pPr>
        <w:spacing w:after="20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2F6B4F" w:sz="4"/>
              <w:left w:val="single" w:color="2F6B4F" w:sz="24"/>
              <w:bottom w:val="single" w:color="2F6B4F" w:sz="4"/>
              <w:right w:val="single" w:color="2F6B4F" w:sz="4"/>
            </w:tcBorders>
            <w:shd w:fill="EDF5F0" w:val="clear"/>
            <w:tcMar>
              <w:top w:type="dxa" w:w="150"/>
              <w:left w:type="dxa" w:w="180"/>
              <w:bottom w:type="dxa" w:w="150"/>
              <w:right w:type="dxa" w:w="180"/>
            </w:tcMar>
          </w:tcPr>
          <w:p>
            <w:pPr>
              <w:spacing w:after="70"/>
            </w:pPr>
            <w:r>
              <w:rPr>
                <w:rFonts w:ascii="Calibri" w:cs="Calibri" w:eastAsia="Calibri" w:hAnsi="Calibri"/>
                <w:b/>
                <w:bCs/>
                <w:color w:val="2F6B4F"/>
                <w:sz w:val="20"/>
                <w:szCs w:val="20"/>
              </w:rPr>
              <w:t xml:space="preserve">Value realised inside 90 days</w:t>
            </w:r>
          </w:p>
          <w:p>
            <w:pPr>
              <w:spacing w:after="50" w:line="260"/>
            </w:pPr>
            <w:r>
              <w:rPr>
                <w:rFonts w:ascii="Calibri" w:cs="Calibri" w:eastAsia="Calibri" w:hAnsi="Calibri"/>
                <w:color w:val="1A1A1A"/>
                <w:sz w:val="20"/>
                <w:szCs w:val="20"/>
              </w:rPr>
              <w:t xml:space="preserve">Kickoff 27 April 2026. Full team training delivered on live, migrated data on 16–17 July 2026 — day 80–81 of the engagement.</w:t>
            </w:r>
          </w:p>
          <w:p>
            <w:pPr>
              <w:spacing w:after="50" w:line="260"/>
            </w:pPr>
            <w:r>
              <w:rPr>
                <w:rFonts w:ascii="Calibri" w:cs="Calibri" w:eastAsia="Calibri" w:hAnsi="Calibri"/>
                <w:color w:val="1A1A1A"/>
                <w:sz w:val="20"/>
                <w:szCs w:val="20"/>
              </w:rPr>
              <w:t xml:space="preserve">All 75 onboarding tasks were complete and client-confirmed within the 90-day window.</w:t>
            </w:r>
          </w:p>
        </w:tc>
      </w:tr>
    </w:tbl>
    <w:p>
      <w:pPr>
        <w:spacing w:after="220"/>
      </w:pPr>
    </w:p>
    <w:p>
      <w:pPr>
        <w:pStyle w:val="Heading1"/>
        <w:spacing w:after="160" w:before="340"/>
      </w:pPr>
      <w:r>
        <w:rPr>
          <w:rFonts w:ascii="Calibri" w:cs="Calibri" w:eastAsia="Calibri" w:hAnsi="Calibri"/>
          <w:b/>
          <w:bCs/>
          <w:color w:val="0A1F44"/>
          <w:sz w:val="28"/>
          <w:szCs w:val="28"/>
        </w:rPr>
        <w:t xml:space="preserve">1. Objectives and Scope</w:t>
      </w:r>
    </w:p>
    <w:p>
      <w:pPr>
        <w:spacing w:after="140" w:line="280"/>
      </w:pPr>
      <w:r>
        <w:rPr>
          <w:rFonts w:ascii="Calibri" w:cs="Calibri" w:eastAsia="Calibri" w:hAnsi="Calibri"/>
          <w:color w:val="1A1A1A"/>
          <w:sz w:val="21"/>
          <w:szCs w:val="21"/>
        </w:rPr>
        <w:t xml:space="preserve">CalcFocus, a 58-person software business, had purchased HubSpot but had not implemented it. There was no trustworthy CRM baseline. Contact data sat in spreadsheets and disconnected lists. Pipeline data sat with individual sellers. Sales stage nomenclature did not match how the business actually forecast. There was no lifecycle model, no segmentation, no marketing infrastructure and no reporting layer.</w:t>
      </w:r>
    </w:p>
    <w:p>
      <w:pPr>
        <w:pStyle w:val="Heading2"/>
        <w:spacing w:after="120" w:before="260"/>
      </w:pPr>
      <w:r>
        <w:rPr>
          <w:rFonts w:ascii="Calibri" w:cs="Calibri" w:eastAsia="Calibri" w:hAnsi="Calibri"/>
          <w:b/>
          <w:bCs/>
          <w:color w:val="2E4057"/>
          <w:sz w:val="23"/>
          <w:szCs w:val="23"/>
        </w:rPr>
        <w:t xml:space="preserve">In scope</w:t>
      </w:r>
    </w:p>
    <w:p>
      <w:pPr>
        <w:pStyle w:val="ListParagraph"/>
        <w:numPr>
          <w:ilvl w:val="0"/>
          <w:numId w:val="2"/>
        </w:numPr>
        <w:spacing w:after="80" w:line="280"/>
      </w:pPr>
      <w:r>
        <w:rPr>
          <w:rFonts w:ascii="Calibri" w:cs="Calibri" w:eastAsia="Calibri" w:hAnsi="Calibri"/>
          <w:color w:val="1A1A1A"/>
          <w:sz w:val="21"/>
          <w:szCs w:val="21"/>
        </w:rPr>
        <w:t xml:space="preserve">Two-hub implementation across Marketing Hub and Sales Hub</w:t>
      </w:r>
    </w:p>
    <w:p>
      <w:pPr>
        <w:pStyle w:val="ListParagraph"/>
        <w:numPr>
          <w:ilvl w:val="0"/>
          <w:numId w:val="2"/>
        </w:numPr>
        <w:spacing w:after="80" w:line="280"/>
      </w:pPr>
      <w:r>
        <w:rPr>
          <w:rFonts w:ascii="Calibri" w:cs="Calibri" w:eastAsia="Calibri" w:hAnsi="Calibri"/>
          <w:color w:val="1A1A1A"/>
          <w:sz w:val="21"/>
          <w:szCs w:val="21"/>
        </w:rPr>
        <w:t xml:space="preserve">Migration of contact, deal, account and product data into HubSpot</w:t>
      </w:r>
    </w:p>
    <w:p>
      <w:pPr>
        <w:pStyle w:val="ListParagraph"/>
        <w:numPr>
          <w:ilvl w:val="0"/>
          <w:numId w:val="2"/>
        </w:numPr>
        <w:spacing w:after="80" w:line="280"/>
      </w:pPr>
      <w:r>
        <w:rPr>
          <w:rFonts w:ascii="Calibri" w:cs="Calibri" w:eastAsia="Calibri" w:hAnsi="Calibri"/>
          <w:color w:val="1A1A1A"/>
          <w:sz w:val="21"/>
          <w:szCs w:val="21"/>
        </w:rPr>
        <w:t xml:space="preserve">Lifecycle stage and segmentation architecture</w:t>
      </w:r>
    </w:p>
    <w:p>
      <w:pPr>
        <w:pStyle w:val="ListParagraph"/>
        <w:numPr>
          <w:ilvl w:val="0"/>
          <w:numId w:val="2"/>
        </w:numPr>
        <w:spacing w:after="80" w:line="280"/>
      </w:pPr>
      <w:r>
        <w:rPr>
          <w:rFonts w:ascii="Calibri" w:cs="Calibri" w:eastAsia="Calibri" w:hAnsi="Calibri"/>
          <w:color w:val="1A1A1A"/>
          <w:sz w:val="21"/>
          <w:szCs w:val="21"/>
        </w:rPr>
        <w:t xml:space="preserve">Lead routing, attribution and reporting</w:t>
      </w:r>
    </w:p>
    <w:p>
      <w:pPr>
        <w:pStyle w:val="ListParagraph"/>
        <w:numPr>
          <w:ilvl w:val="0"/>
          <w:numId w:val="2"/>
        </w:numPr>
        <w:spacing w:after="80" w:line="280"/>
      </w:pPr>
      <w:r>
        <w:rPr>
          <w:rFonts w:ascii="Calibri" w:cs="Calibri" w:eastAsia="Calibri" w:hAnsi="Calibri"/>
          <w:color w:val="1A1A1A"/>
          <w:sz w:val="21"/>
          <w:szCs w:val="21"/>
        </w:rPr>
        <w:t xml:space="preserve">End-user enablement and administrator handover</w:t>
      </w:r>
    </w:p>
    <w:p>
      <w:pPr>
        <w:pStyle w:val="Heading2"/>
        <w:spacing w:after="120" w:before="260"/>
      </w:pPr>
      <w:r>
        <w:rPr>
          <w:rFonts w:ascii="Calibri" w:cs="Calibri" w:eastAsia="Calibri" w:hAnsi="Calibri"/>
          <w:b/>
          <w:bCs/>
          <w:color w:val="2E4057"/>
          <w:sz w:val="23"/>
          <w:szCs w:val="23"/>
        </w:rPr>
        <w:t xml:space="preserve">Out of scope</w:t>
      </w:r>
    </w:p>
    <w:p>
      <w:pPr>
        <w:spacing w:after="140" w:line="280"/>
      </w:pPr>
      <w:r>
        <w:rPr>
          <w:rFonts w:ascii="Calibri" w:cs="Calibri" w:eastAsia="Calibri" w:hAnsi="Calibri"/>
          <w:color w:val="1A1A1A"/>
          <w:sz w:val="21"/>
          <w:szCs w:val="21"/>
        </w:rPr>
        <w:t xml:space="preserve">Scope discipline was built into the plan rather than managed informally. The project plan carries a dedicated “Wish List — Items Identified Out of Scope During Onboarding” phase. Requests surfacing mid-engagement were captured there and deferred to the post-onboarding roadmap, so neither silently absorbed nor lost.</w:t>
      </w:r>
    </w:p>
    <w:p>
      <w:pPr>
        <w:pStyle w:val="Heading1"/>
        <w:spacing w:after="160" w:before="340"/>
      </w:pPr>
      <w:r>
        <w:rPr>
          <w:rFonts w:ascii="Calibri" w:cs="Calibri" w:eastAsia="Calibri" w:hAnsi="Calibri"/>
          <w:b/>
          <w:bCs/>
          <w:color w:val="0A1F44"/>
          <w:sz w:val="28"/>
          <w:szCs w:val="28"/>
        </w:rPr>
        <w:t xml:space="preserve">2. Key Roles and Responsibilities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640"/>
      </w:tblGrid>
      <w:tr>
        <w:trPr>
          <w:tblHeader/>
        </w:trPr>
        <w:tc>
          <w:tcPr>
            <w:tcW w:type="dxa" w:w="220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Organisation</w:t>
            </w:r>
          </w:p>
        </w:tc>
        <w:tc>
          <w:tcPr>
            <w:tcW w:type="dxa" w:w="360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Stakeholders</w:t>
            </w:r>
          </w:p>
        </w:tc>
        <w:tc>
          <w:tcPr>
            <w:tcW w:type="dxa" w:w="464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Responsibility</w:t>
            </w:r>
          </w:p>
        </w:tc>
      </w:tr>
      <w:tr>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Quantum Business Solutions</w:t>
            </w:r>
          </w:p>
        </w:tc>
        <w:tc>
          <w:tcPr>
            <w:tcW w:type="dxa" w:w="3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Shawn Peterson, Marko Ajder, Patrick Dodge, Barb Peterson, Jelena Andric</w:t>
            </w:r>
          </w:p>
        </w:tc>
        <w:tc>
          <w:tcPr>
            <w:tcW w:type="dxa" w:w="46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Onboarding delivery, configuration, migration, enablement</w:t>
            </w:r>
          </w:p>
        </w:tc>
      </w:tr>
      <w:tr>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CalcFocus — executive</w:t>
            </w:r>
          </w:p>
        </w:tc>
        <w:tc>
          <w:tcPr>
            <w:tcW w:type="dxa" w:w="3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Lucy, Steve Meade</w:t>
            </w:r>
          </w:p>
        </w:tc>
        <w:tc>
          <w:tcPr>
            <w:tcW w:type="dxa" w:w="46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Sponsorship, forecast model definition, sign-off</w:t>
            </w:r>
          </w:p>
        </w:tc>
      </w:tr>
      <w:tr>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CalcFocus — sales</w:t>
            </w:r>
          </w:p>
        </w:tc>
        <w:tc>
          <w:tcPr>
            <w:tcW w:type="dxa" w:w="3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Nate, Alex Terruso</w:t>
            </w:r>
          </w:p>
        </w:tc>
        <w:tc>
          <w:tcPr>
            <w:tcW w:type="dxa" w:w="46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Pipeline data, deal stage validation, sales process input</w:t>
            </w:r>
          </w:p>
        </w:tc>
      </w:tr>
      <w:tr>
        <w:tc>
          <w:tcPr>
            <w:tcW w:type="dxa" w:w="2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CalcFocus — marketing / ops</w:t>
            </w:r>
          </w:p>
        </w:tc>
        <w:tc>
          <w:tcPr>
            <w:tcW w:type="dxa" w:w="36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Christine Peart, Kristin Wheeler, Pam Doggett, Lori Baca, MacKenzie Braun</w:t>
            </w:r>
          </w:p>
        </w:tc>
        <w:tc>
          <w:tcPr>
            <w:tcW w:type="dxa" w:w="46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Product library, list data, campaign requirements, end users</w:t>
            </w:r>
          </w:p>
        </w:tc>
      </w:tr>
    </w:tbl>
    <w:p>
      <w:pPr>
        <w:spacing w:after="180"/>
      </w:pPr>
    </w:p>
    <w:p>
      <w:pPr>
        <w:spacing w:after="140" w:line="280"/>
      </w:pPr>
      <w:r>
        <w:rPr>
          <w:rFonts w:ascii="Calibri" w:cs="Calibri" w:eastAsia="Calibri" w:hAnsi="Calibri"/>
          <w:color w:val="1A1A1A"/>
          <w:sz w:val="21"/>
          <w:szCs w:val="21"/>
        </w:rPr>
        <w:t xml:space="preserve">Responsibilities were assigned at task level rather than by role description. A distinct set of plan tasks is flagged as client actions and was gated before kickoff rather than chased afterwards: brand assets, Microsoft 365 admin consent, DNS provider access, WordPress admin access, internal IP addresses for tracking exclusion, the existing contacts spreadsheet, ad and social account connections, and three configuration questionnaires.</w:t>
      </w:r>
    </w:p>
    <w:p>
      <w:pPr>
        <w:pStyle w:val="Heading1"/>
        <w:spacing w:after="160" w:before="340"/>
      </w:pPr>
      <w:r>
        <w:rPr>
          <w:rFonts w:ascii="Calibri" w:cs="Calibri" w:eastAsia="Calibri" w:hAnsi="Calibri"/>
          <w:b/>
          <w:bCs/>
          <w:color w:val="0A1F44"/>
          <w:sz w:val="28"/>
          <w:szCs w:val="28"/>
        </w:rPr>
        <w:t xml:space="preserve">3. Onboarding Journey and Timeline</w:t>
      </w:r>
    </w:p>
    <w:p>
      <w:pPr>
        <w:spacing w:after="140" w:line="280"/>
      </w:pPr>
      <w:r>
        <w:rPr>
          <w:rFonts w:ascii="Calibri" w:cs="Calibri" w:eastAsia="Calibri" w:hAnsi="Calibri"/>
          <w:color w:val="1A1A1A"/>
          <w:sz w:val="21"/>
          <w:szCs w:val="21"/>
        </w:rPr>
        <w:t xml:space="preserve">The engagement ran as an eight-phase gated plan. All 75 onboarding tasks were completed.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500"/>
        <w:gridCol w:w="4640"/>
      </w:tblGrid>
      <w:tr>
        <w:trPr>
          <w:tblHeader/>
        </w:trPr>
        <w:tc>
          <w:tcPr>
            <w:tcW w:type="dxa" w:w="320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Phase</w:t>
            </w:r>
          </w:p>
        </w:tc>
        <w:tc>
          <w:tcPr>
            <w:tcW w:type="dxa" w:w="110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Tasks</w:t>
            </w:r>
          </w:p>
        </w:tc>
        <w:tc>
          <w:tcPr>
            <w:tcW w:type="dxa" w:w="150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Complete</w:t>
            </w:r>
          </w:p>
        </w:tc>
        <w:tc>
          <w:tcPr>
            <w:tcW w:type="dxa" w:w="464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Outcome</w:t>
            </w:r>
          </w:p>
        </w:tc>
      </w:tr>
      <w:tr>
        <w:tc>
          <w:tcPr>
            <w:tcW w:type="dxa" w:w="3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Pre-Kickoff</w:t>
            </w:r>
          </w:p>
        </w:tc>
        <w:tc>
          <w:tcPr>
            <w:tcW w:type="dxa" w:w="11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7</w:t>
            </w:r>
          </w:p>
        </w:tc>
        <w:tc>
          <w:tcPr>
            <w:tcW w:type="dxa" w:w="15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7 (100%)</w:t>
            </w:r>
          </w:p>
        </w:tc>
        <w:tc>
          <w:tcPr>
            <w:tcW w:type="dxa" w:w="46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Client prerequisites gated before kickoff</w:t>
            </w:r>
          </w:p>
        </w:tc>
      </w:tr>
      <w:tr>
        <w:tc>
          <w:tcPr>
            <w:tcW w:type="dxa" w:w="3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HubSpot Kick-Off</w:t>
            </w:r>
          </w:p>
        </w:tc>
        <w:tc>
          <w:tcPr>
            <w:tcW w:type="dxa" w:w="11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9</w:t>
            </w:r>
          </w:p>
        </w:tc>
        <w:tc>
          <w:tcPr>
            <w:tcW w:type="dxa" w:w="15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9 (100%)</w:t>
            </w:r>
          </w:p>
        </w:tc>
        <w:tc>
          <w:tcPr>
            <w:tcW w:type="dxa" w:w="46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Goals, KPIs, stakeholders, SoW and Mutual Commitment reviewed</w:t>
            </w:r>
          </w:p>
        </w:tc>
      </w:tr>
      <w:tr>
        <w:tc>
          <w:tcPr>
            <w:tcW w:type="dxa" w:w="3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Foundational Configuration</w:t>
            </w:r>
          </w:p>
        </w:tc>
        <w:tc>
          <w:tcPr>
            <w:tcW w:type="dxa" w:w="11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21</w:t>
            </w:r>
          </w:p>
        </w:tc>
        <w:tc>
          <w:tcPr>
            <w:tcW w:type="dxa" w:w="15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21 (100%)</w:t>
            </w:r>
          </w:p>
        </w:tc>
        <w:tc>
          <w:tcPr>
            <w:tcW w:type="dxa" w:w="46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Lifecycle, personas, routing, segmentation, integrations</w:t>
            </w:r>
          </w:p>
        </w:tc>
      </w:tr>
      <w:tr>
        <w:tc>
          <w:tcPr>
            <w:tcW w:type="dxa" w:w="3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Marketing Hub Configuration</w:t>
            </w:r>
          </w:p>
        </w:tc>
        <w:tc>
          <w:tcPr>
            <w:tcW w:type="dxa" w:w="11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25</w:t>
            </w:r>
          </w:p>
        </w:tc>
        <w:tc>
          <w:tcPr>
            <w:tcW w:type="dxa" w:w="15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25 (100%)</w:t>
            </w:r>
          </w:p>
        </w:tc>
        <w:tc>
          <w:tcPr>
            <w:tcW w:type="dxa" w:w="46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Sending domain, forms, nurture framework, dashboard</w:t>
            </w:r>
          </w:p>
        </w:tc>
      </w:tr>
      <w:tr>
        <w:tc>
          <w:tcPr>
            <w:tcW w:type="dxa" w:w="3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Sales Hub Set-Up</w:t>
            </w:r>
          </w:p>
        </w:tc>
        <w:tc>
          <w:tcPr>
            <w:tcW w:type="dxa" w:w="11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12</w:t>
            </w:r>
          </w:p>
        </w:tc>
        <w:tc>
          <w:tcPr>
            <w:tcW w:type="dxa" w:w="15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12 (100%)</w:t>
            </w:r>
          </w:p>
        </w:tc>
        <w:tc>
          <w:tcPr>
            <w:tcW w:type="dxa" w:w="46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Pipeline, dashboard, task queues, custom outcomes</w:t>
            </w:r>
          </w:p>
        </w:tc>
      </w:tr>
      <w:tr>
        <w:tc>
          <w:tcPr>
            <w:tcW w:type="dxa" w:w="3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Onboarding Wrap-Up</w:t>
            </w:r>
          </w:p>
        </w:tc>
        <w:tc>
          <w:tcPr>
            <w:tcW w:type="dxa" w:w="11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1</w:t>
            </w:r>
          </w:p>
        </w:tc>
        <w:tc>
          <w:tcPr>
            <w:tcW w:type="dxa" w:w="15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1 (100%)</w:t>
            </w:r>
          </w:p>
        </w:tc>
        <w:tc>
          <w:tcPr>
            <w:tcW w:type="dxa" w:w="46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Client confirmation of completion</w:t>
            </w:r>
          </w:p>
        </w:tc>
      </w:tr>
      <w:tr>
        <w:tc>
          <w:tcPr>
            <w:tcW w:type="dxa" w:w="3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TOTAL ONBOARDING</w:t>
            </w:r>
          </w:p>
        </w:tc>
        <w:tc>
          <w:tcPr>
            <w:tcW w:type="dxa" w:w="11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75</w:t>
            </w:r>
          </w:p>
        </w:tc>
        <w:tc>
          <w:tcPr>
            <w:tcW w:type="dxa" w:w="15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75 (100%)</w:t>
            </w:r>
          </w:p>
        </w:tc>
        <w:tc>
          <w:tcPr>
            <w:tcW w:type="dxa" w:w="46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
            </w:r>
          </w:p>
        </w:tc>
      </w:tr>
    </w:tbl>
    <w:p>
      <w:pPr>
        <w:spacing w:after="180"/>
      </w:pPr>
    </w:p>
    <w:p>
      <w:pPr>
        <w:spacing w:after="140" w:line="280"/>
      </w:pPr>
      <w:r>
        <w:rPr>
          <w:rFonts w:ascii="Calibri" w:cs="Calibri" w:eastAsia="Calibri" w:hAnsi="Calibri"/>
          <w:color w:val="1A1A1A"/>
          <w:sz w:val="21"/>
          <w:szCs w:val="21"/>
        </w:rPr>
        <w:t xml:space="preserve">Two further phases sit outside the onboarding scope: an ongoing client-success phase (45 of 76 tasks closed to date) and the out-of-scope wish list.</w:t>
      </w:r>
    </w:p>
    <w:p>
      <w:pPr>
        <w:spacing w:after="100"/>
        <w:jc w:val="center"/>
      </w:pPr>
      <w:r>
        <w:drawing>
          <wp:inline distT="0" distB="0" distL="0" distR="0">
            <wp:extent cx="6286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2762250"/>
                    </a:xfrm>
                    <a:prstGeom prst="rect">
                      <a:avLst/>
                    </a:prstGeom>
                  </pic:spPr>
                </pic:pic>
              </a:graphicData>
            </a:graphic>
          </wp:inline>
        </w:drawing>
      </w:r>
    </w:p>
    <w:p>
      <w:pPr>
        <w:spacing w:after="140" w:line="280"/>
        <w:jc w:val="center"/>
      </w:pPr>
      <w:r>
        <w:rPr>
          <w:rFonts w:ascii="Calibri" w:cs="Calibri" w:eastAsia="Calibri" w:hAnsi="Calibri"/>
          <w:i/>
          <w:iCs/>
          <w:color w:val="5A6470"/>
          <w:sz w:val="18"/>
          <w:szCs w:val="18"/>
        </w:rPr>
        <w:t xml:space="preserve">Figure 1 — The CalcFocus onboarding journey, its parallel migration workstream, the communication and feedback cadence, and the three hand-off gates.</w:t>
      </w:r>
    </w:p>
    <w:p>
      <w:pPr>
        <w:pStyle w:val="Heading1"/>
        <w:spacing w:after="160" w:before="340"/>
      </w:pPr>
      <w:r>
        <w:rPr>
          <w:rFonts w:ascii="Calibri" w:cs="Calibri" w:eastAsia="Calibri" w:hAnsi="Calibri"/>
          <w:b/>
          <w:bCs/>
          <w:color w:val="0A1F44"/>
          <w:sz w:val="28"/>
          <w:szCs w:val="28"/>
        </w:rPr>
        <w:t xml:space="preserve">4. Communication Plan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440"/>
      </w:tblGrid>
      <w:tr>
        <w:trPr>
          <w:tblHeader/>
        </w:trPr>
        <w:tc>
          <w:tcPr>
            <w:tcW w:type="dxa" w:w="280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Channel</w:t>
            </w:r>
          </w:p>
        </w:tc>
        <w:tc>
          <w:tcPr>
            <w:tcW w:type="dxa" w:w="320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Cadence</w:t>
            </w:r>
          </w:p>
        </w:tc>
        <w:tc>
          <w:tcPr>
            <w:tcW w:type="dxa" w:w="444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Purpose</w:t>
            </w:r>
          </w:p>
        </w:tc>
      </w:tr>
      <w:tr>
        <w:tc>
          <w:tcPr>
            <w:tcW w:type="dxa" w:w="28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Client success meeting</w:t>
            </w:r>
          </w:p>
        </w:tc>
        <w:tc>
          <w:tcPr>
            <w:tcW w:type="dxa" w:w="3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Weekly</w:t>
            </w:r>
          </w:p>
        </w:tc>
        <w:tc>
          <w:tcPr>
            <w:tcW w:type="dxa" w:w="4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Progress, blockers, decisions</w:t>
            </w:r>
          </w:p>
        </w:tc>
      </w:tr>
      <w:tr>
        <w:tc>
          <w:tcPr>
            <w:tcW w:type="dxa" w:w="28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Strategic review</w:t>
            </w:r>
          </w:p>
        </w:tc>
        <w:tc>
          <w:tcPr>
            <w:tcW w:type="dxa" w:w="3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Monthly — booked through December 2026</w:t>
            </w:r>
          </w:p>
        </w:tc>
        <w:tc>
          <w:tcPr>
            <w:tcW w:type="dxa" w:w="4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Roadmap and value review</w:t>
            </w:r>
          </w:p>
        </w:tc>
      </w:tr>
      <w:tr>
        <w:tc>
          <w:tcPr>
            <w:tcW w:type="dxa" w:w="28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Working sessions</w:t>
            </w:r>
          </w:p>
        </w:tc>
        <w:tc>
          <w:tcPr>
            <w:tcW w:type="dxa" w:w="3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On demand</w:t>
            </w:r>
          </w:p>
        </w:tc>
        <w:tc>
          <w:tcPr>
            <w:tcW w:type="dxa" w:w="4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Hands-on configuration with the client team</w:t>
            </w:r>
          </w:p>
        </w:tc>
      </w:tr>
      <w:tr>
        <w:tc>
          <w:tcPr>
            <w:tcW w:type="dxa" w:w="28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Recap emails</w:t>
            </w:r>
          </w:p>
        </w:tc>
        <w:tc>
          <w:tcPr>
            <w:tcW w:type="dxa" w:w="3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After each key session</w:t>
            </w:r>
          </w:p>
        </w:tc>
        <w:tc>
          <w:tcPr>
            <w:tcW w:type="dxa" w:w="4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Action items, owners, next steps</w:t>
            </w:r>
          </w:p>
        </w:tc>
      </w:tr>
      <w:tr>
        <w:tc>
          <w:tcPr>
            <w:tcW w:type="dxa" w:w="28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Session recordings</w:t>
            </w:r>
          </w:p>
        </w:tc>
        <w:tc>
          <w:tcPr>
            <w:tcW w:type="dxa" w:w="3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Every recorded session</w:t>
            </w:r>
          </w:p>
        </w:tc>
        <w:tc>
          <w:tcPr>
            <w:tcW w:type="dxa" w:w="44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Supplied to the client for their own archives</w:t>
            </w:r>
          </w:p>
        </w:tc>
      </w:tr>
    </w:tbl>
    <w:p>
      <w:pPr>
        <w:spacing w:after="180"/>
      </w:pPr>
    </w:p>
    <w:p>
      <w:pPr>
        <w:spacing w:after="140" w:line="280"/>
      </w:pPr>
      <w:r>
        <w:rPr>
          <w:rFonts w:ascii="Calibri" w:cs="Calibri" w:eastAsia="Calibri" w:hAnsi="Calibri"/>
          <w:color w:val="1A1A1A"/>
          <w:sz w:val="21"/>
          <w:szCs w:val="21"/>
        </w:rPr>
        <w:t xml:space="preserve">All correspondence is logged against the CRM record: 19 calls, approximately 230 emails, 36 meetings and 30 transcripts.</w:t>
      </w:r>
    </w:p>
    <w:p>
      <w:pPr>
        <w:pStyle w:val="Heading1"/>
        <w:spacing w:after="160" w:before="340"/>
      </w:pPr>
      <w:r>
        <w:rPr>
          <w:rFonts w:ascii="Calibri" w:cs="Calibri" w:eastAsia="Calibri" w:hAnsi="Calibri"/>
          <w:b/>
          <w:bCs/>
          <w:color w:val="0A1F44"/>
          <w:sz w:val="28"/>
          <w:szCs w:val="28"/>
        </w:rPr>
        <w:t xml:space="preserve">5. Success Metrics and Hand-off Criteria</w:t>
      </w:r>
    </w:p>
    <w:p>
      <w:pPr>
        <w:pStyle w:val="Heading2"/>
        <w:spacing w:after="120" w:before="260"/>
      </w:pPr>
      <w:r>
        <w:rPr>
          <w:rFonts w:ascii="Calibri" w:cs="Calibri" w:eastAsia="Calibri" w:hAnsi="Calibri"/>
          <w:b/>
          <w:bCs/>
          <w:color w:val="2E4057"/>
          <w:sz w:val="23"/>
          <w:szCs w:val="23"/>
        </w:rPr>
        <w:t xml:space="preserve">Hand-off criteria</w:t>
      </w:r>
    </w:p>
    <w:p>
      <w:pPr>
        <w:spacing w:after="140" w:line="280"/>
      </w:pPr>
      <w:r>
        <w:rPr>
          <w:rFonts w:ascii="Calibri" w:cs="Calibri" w:eastAsia="Calibri" w:hAnsi="Calibri"/>
          <w:color w:val="1A1A1A"/>
          <w:sz w:val="21"/>
          <w:szCs w:val="21"/>
        </w:rPr>
        <w:t xml:space="preserve">Three formal client confirmation gates were built into the plan and all three are closed:</w:t>
      </w:r>
    </w:p>
    <w:p>
      <w:pPr>
        <w:pStyle w:val="ListParagraph"/>
        <w:numPr>
          <w:ilvl w:val="0"/>
          <w:numId w:val="2"/>
        </w:numPr>
        <w:spacing w:after="80" w:line="280"/>
      </w:pPr>
      <w:r>
        <w:rPr>
          <w:rFonts w:ascii="Calibri" w:cs="Calibri" w:eastAsia="Calibri" w:hAnsi="Calibri"/>
          <w:color w:val="1A1A1A"/>
          <w:sz w:val="21"/>
          <w:szCs w:val="21"/>
        </w:rPr>
        <w:t xml:space="preserve">Client Confirmation of Marketing Hub Configuration</w:t>
      </w:r>
    </w:p>
    <w:p>
      <w:pPr>
        <w:pStyle w:val="ListParagraph"/>
        <w:numPr>
          <w:ilvl w:val="0"/>
          <w:numId w:val="2"/>
        </w:numPr>
        <w:spacing w:after="80" w:line="280"/>
      </w:pPr>
      <w:r>
        <w:rPr>
          <w:rFonts w:ascii="Calibri" w:cs="Calibri" w:eastAsia="Calibri" w:hAnsi="Calibri"/>
          <w:color w:val="1A1A1A"/>
          <w:sz w:val="21"/>
          <w:szCs w:val="21"/>
        </w:rPr>
        <w:t xml:space="preserve">Client Confirmation of Sales Hub Configuration</w:t>
      </w:r>
    </w:p>
    <w:p>
      <w:pPr>
        <w:pStyle w:val="ListParagraph"/>
        <w:numPr>
          <w:ilvl w:val="0"/>
          <w:numId w:val="2"/>
        </w:numPr>
        <w:spacing w:after="80" w:line="280"/>
      </w:pPr>
      <w:r>
        <w:rPr>
          <w:rFonts w:ascii="Calibri" w:cs="Calibri" w:eastAsia="Calibri" w:hAnsi="Calibri"/>
          <w:color w:val="1A1A1A"/>
          <w:sz w:val="21"/>
          <w:szCs w:val="21"/>
        </w:rPr>
        <w:t xml:space="preserve">Client Confirmation of HubSpot Onboarding Completion</w:t>
      </w:r>
    </w:p>
    <w:p>
      <w:pPr>
        <w:spacing w:after="140" w:line="280"/>
      </w:pPr>
      <w:r>
        <w:rPr>
          <w:rFonts w:ascii="Calibri" w:cs="Calibri" w:eastAsia="Calibri" w:hAnsi="Calibri"/>
          <w:color w:val="1A1A1A"/>
          <w:sz w:val="21"/>
          <w:szCs w:val="21"/>
        </w:rPr>
        <w:t xml:space="preserve">Hand-off from onboarding to ongoing account management is evidenced by the transition to the retained client-success cadence, with weekly meetings and monthly strategic reviews scheduled through December 2026.</w:t>
      </w:r>
    </w:p>
    <w:p>
      <w:pPr>
        <w:pStyle w:val="Heading2"/>
        <w:spacing w:after="120" w:before="260"/>
      </w:pPr>
      <w:r>
        <w:rPr>
          <w:rFonts w:ascii="Calibri" w:cs="Calibri" w:eastAsia="Calibri" w:hAnsi="Calibri"/>
          <w:b/>
          <w:bCs/>
          <w:color w:val="2E4057"/>
          <w:sz w:val="23"/>
          <w:szCs w:val="23"/>
        </w:rPr>
        <w:t xml:space="preserve">Success metrics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C9A227" w:sz="4"/>
              <w:left w:val="single" w:color="C9A227" w:sz="24"/>
              <w:bottom w:val="single" w:color="C9A227" w:sz="4"/>
              <w:right w:val="single" w:color="C9A227" w:sz="4"/>
            </w:tcBorders>
            <w:shd w:fill="FDF6E3" w:val="clear"/>
            <w:tcMar>
              <w:top w:type="dxa" w:w="150"/>
              <w:left w:type="dxa" w:w="180"/>
              <w:bottom w:type="dxa" w:w="150"/>
              <w:right w:type="dxa" w:w="180"/>
            </w:tcMar>
          </w:tcPr>
          <w:p>
            <w:pPr>
              <w:spacing w:after="70"/>
            </w:pPr>
            <w:r>
              <w:rPr>
                <w:rFonts w:ascii="Calibri" w:cs="Calibri" w:eastAsia="Calibri" w:hAnsi="Calibri"/>
                <w:b/>
                <w:bCs/>
                <w:color w:val="C9A227"/>
                <w:sz w:val="20"/>
                <w:szCs w:val="20"/>
              </w:rPr>
              <w:t xml:space="preserve">TO COMPLETE BEFORE SUBMISSION</w:t>
            </w:r>
          </w:p>
          <w:p>
            <w:pPr>
              <w:spacing w:after="50" w:line="260"/>
            </w:pPr>
            <w:r>
              <w:rPr>
                <w:rFonts w:ascii="Calibri" w:cs="Calibri" w:eastAsia="Calibri" w:hAnsi="Calibri"/>
                <w:color w:val="1A1A1A"/>
                <w:sz w:val="20"/>
                <w:szCs w:val="20"/>
              </w:rPr>
              <w:t xml:space="preserve">This section must state the KPIs agreed at kickoff that defined success for CalcFocus.</w:t>
            </w:r>
          </w:p>
          <w:p>
            <w:pPr>
              <w:spacing w:after="50" w:line="260"/>
            </w:pPr>
            <w:r>
              <w:rPr>
                <w:rFonts w:ascii="Calibri" w:cs="Calibri" w:eastAsia="Calibri" w:hAnsi="Calibri"/>
                <w:color w:val="1A1A1A"/>
                <w:sz w:val="20"/>
                <w:szCs w:val="20"/>
              </w:rPr>
              <w:t xml:space="preserve">Submission item 3 then requires actual numbers reported against these same KPIs, so the two documents must use an identical metric set.</w:t>
            </w:r>
          </w:p>
          <w:p>
            <w:pPr>
              <w:spacing w:after="50" w:line="260"/>
            </w:pPr>
            <w:r>
              <w:rPr>
                <w:rFonts w:ascii="Calibri" w:cs="Calibri" w:eastAsia="Calibri" w:hAnsi="Calibri"/>
                <w:color w:val="1A1A1A"/>
                <w:sz w:val="20"/>
                <w:szCs w:val="20"/>
              </w:rPr>
              <w:t xml:space="preserve">Source: the kickoff record, or confirm directly with Lucy and Christine Peart at the next monthly strategic review.</w:t>
            </w:r>
          </w:p>
          <w:p>
            <w:pPr>
              <w:spacing w:after="50" w:line="260"/>
            </w:pPr>
            <w:r>
              <w:rPr>
                <w:rFonts w:ascii="Calibri" w:cs="Calibri" w:eastAsia="Calibri" w:hAnsi="Calibri"/>
                <w:color w:val="1A1A1A"/>
                <w:sz w:val="20"/>
                <w:szCs w:val="20"/>
              </w:rPr>
              <w:t xml:space="preserve">Suggested metrics: pipeline visibility, forecast accuracy, records migrated by object, lead response time, marketing-sourced pipeline, weekly active users.</w:t>
            </w:r>
          </w:p>
        </w:tc>
      </w:tr>
    </w:tbl>
    <w:p>
      <w:pPr>
        <w:pStyle w:val="Heading1"/>
        <w:spacing w:after="160" w:before="340"/>
      </w:pPr>
      <w:r>
        <w:rPr>
          <w:rFonts w:ascii="Calibri" w:cs="Calibri" w:eastAsia="Calibri" w:hAnsi="Calibri"/>
          <w:b/>
          <w:bCs/>
          <w:color w:val="0A1F44"/>
          <w:sz w:val="28"/>
          <w:szCs w:val="28"/>
        </w:rPr>
        <w:t xml:space="preserve">6. Risk Management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800"/>
        <w:gridCol w:w="6640"/>
      </w:tblGrid>
      <w:tr>
        <w:trPr>
          <w:tblHeader/>
        </w:trPr>
        <w:tc>
          <w:tcPr>
            <w:tcW w:type="dxa" w:w="380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Risk identified</w:t>
            </w:r>
          </w:p>
        </w:tc>
        <w:tc>
          <w:tcPr>
            <w:tcW w:type="dxa" w:w="664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Mitigation delivered</w:t>
            </w:r>
          </w:p>
        </w:tc>
      </w:tr>
      <w:tr>
        <w:tc>
          <w:tcPr>
            <w:tcW w:type="dxa" w:w="38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Client-side dependencies stalling the build</w:t>
            </w:r>
          </w:p>
        </w:tc>
        <w:tc>
          <w:tcPr>
            <w:tcW w:type="dxa" w:w="66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Gated as explicit pre-kickoff tasks with named owners, completed before kickoff</w:t>
            </w:r>
          </w:p>
        </w:tc>
      </w:tr>
      <w:tr>
        <w:tc>
          <w:tcPr>
            <w:tcW w:type="dxa" w:w="38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Migrating unreliable or duplicated data</w:t>
            </w:r>
          </w:p>
        </w:tc>
        <w:tc>
          <w:tcPr>
            <w:tcW w:type="dxa" w:w="66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Joint client/QBS verification of imported baseline data; deal data routed to the sales owner for review before final import</w:t>
            </w:r>
          </w:p>
        </w:tc>
      </w:tr>
      <w:tr>
        <w:tc>
          <w:tcPr>
            <w:tcW w:type="dxa" w:w="38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Training landing on sample rather than real data</w:t>
            </w:r>
          </w:p>
        </w:tc>
        <w:tc>
          <w:tcPr>
            <w:tcW w:type="dxa" w:w="66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Training deliberately scheduled after migration completed, so the team trained on their own live records</w:t>
            </w:r>
          </w:p>
        </w:tc>
      </w:tr>
      <w:tr>
        <w:tc>
          <w:tcPr>
            <w:tcW w:type="dxa" w:w="38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Scope creep during onboarding</w:t>
            </w:r>
          </w:p>
        </w:tc>
        <w:tc>
          <w:tcPr>
            <w:tcW w:type="dxa" w:w="66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Standing out-of-scope wish list maintained throughout the engagement</w:t>
            </w:r>
          </w:p>
        </w:tc>
      </w:tr>
      <w:tr>
        <w:tc>
          <w:tcPr>
            <w:tcW w:type="dxa" w:w="38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Configured pipeline not matching the business forecast model</w:t>
            </w:r>
          </w:p>
        </w:tc>
        <w:tc>
          <w:tcPr>
            <w:tcW w:type="dxa" w:w="66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Sales stage nomenclature and probability percentages rebuilt to the client's own model as specified by the sales leadership</w:t>
            </w:r>
          </w:p>
        </w:tc>
      </w:tr>
      <w:tr>
        <w:tc>
          <w:tcPr>
            <w:tcW w:type="dxa" w:w="38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Capability gaps at the licensed tier</w:t>
            </w:r>
          </w:p>
        </w:tc>
        <w:tc>
          <w:tcPr>
            <w:tcW w:type="dxa" w:w="66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Enterprise-only churn reporting identified early; workarounds built using calculated properties rather than pushing a licence upgrade</w:t>
            </w:r>
          </w:p>
        </w:tc>
      </w:tr>
    </w:tbl>
    <w:p>
      <w:pPr>
        <w:pStyle w:val="Heading1"/>
        <w:spacing w:after="160" w:before="340"/>
      </w:pPr>
      <w:r>
        <w:rPr>
          <w:rFonts w:ascii="Calibri" w:cs="Calibri" w:eastAsia="Calibri" w:hAnsi="Calibri"/>
          <w:b/>
          <w:bCs/>
          <w:color w:val="0A1F44"/>
          <w:sz w:val="28"/>
          <w:szCs w:val="28"/>
        </w:rPr>
        <w:t xml:space="preserve">7. Training Strategy</w:t>
      </w:r>
    </w:p>
    <w:p>
      <w:pPr>
        <w:spacing w:after="140" w:line="280"/>
      </w:pPr>
      <w:r>
        <w:rPr>
          <w:rFonts w:ascii="Calibri" w:cs="Calibri" w:eastAsia="Calibri" w:hAnsi="Calibri"/>
          <w:color w:val="1A1A1A"/>
          <w:sz w:val="21"/>
          <w:szCs w:val="21"/>
        </w:rPr>
        <w:t xml:space="preserve">Training was sequenced deliberately after data migration so that every session ran against the client's own live records.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840"/>
      </w:tblGrid>
      <w:tr>
        <w:trPr>
          <w:tblHeader/>
        </w:trPr>
        <w:tc>
          <w:tcPr>
            <w:tcW w:type="dxa" w:w="420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Session</w:t>
            </w:r>
          </w:p>
        </w:tc>
        <w:tc>
          <w:tcPr>
            <w:tcW w:type="dxa" w:w="240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Date</w:t>
            </w:r>
          </w:p>
        </w:tc>
        <w:tc>
          <w:tcPr>
            <w:tcW w:type="dxa" w:w="384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Audience</w:t>
            </w:r>
          </w:p>
        </w:tc>
      </w:tr>
      <w:tr>
        <w:tc>
          <w:tcPr>
            <w:tcW w:type="dxa" w:w="4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HubSpot Working Session</w:t>
            </w:r>
          </w:p>
        </w:tc>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16 July 2026</w:t>
            </w:r>
          </w:p>
        </w:tc>
        <w:tc>
          <w:tcPr>
            <w:tcW w:type="dxa" w:w="3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Core project team</w:t>
            </w:r>
          </w:p>
        </w:tc>
      </w:tr>
      <w:tr>
        <w:tc>
          <w:tcPr>
            <w:tcW w:type="dxa" w:w="4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HubSpot Training Session</w:t>
            </w:r>
          </w:p>
        </w:tc>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17 July 2026</w:t>
            </w:r>
          </w:p>
        </w:tc>
        <w:tc>
          <w:tcPr>
            <w:tcW w:type="dxa" w:w="3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Full team — 10 attendees, recorded with transcript</w:t>
            </w:r>
          </w:p>
        </w:tc>
      </w:tr>
      <w:tr>
        <w:tc>
          <w:tcPr>
            <w:tcW w:type="dxa" w:w="4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HubSpot Sales Training Session</w:t>
            </w:r>
          </w:p>
        </w:tc>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17 July 2026</w:t>
            </w:r>
          </w:p>
        </w:tc>
        <w:tc>
          <w:tcPr>
            <w:tcW w:type="dxa" w:w="3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Sales and marketing teams</w:t>
            </w:r>
          </w:p>
        </w:tc>
      </w:tr>
      <w:tr>
        <w:tc>
          <w:tcPr>
            <w:tcW w:type="dxa" w:w="42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Email and marketing setup session</w:t>
            </w:r>
          </w:p>
        </w:tc>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Scheduled on demand</w:t>
            </w:r>
          </w:p>
        </w:tc>
        <w:tc>
          <w:tcPr>
            <w:tcW w:type="dxa" w:w="38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Marketing owners</w:t>
            </w:r>
          </w:p>
        </w:tc>
      </w:tr>
    </w:tbl>
    <w:p>
      <w:pPr>
        <w:spacing w:after="180"/>
      </w:pPr>
    </w:p>
    <w:p>
      <w:pPr>
        <w:spacing w:after="140" w:line="280"/>
      </w:pPr>
      <w:r>
        <w:rPr>
          <w:rFonts w:ascii="Calibri" w:cs="Calibri" w:eastAsia="Calibri" w:hAnsi="Calibri"/>
          <w:color w:val="1A1A1A"/>
          <w:sz w:val="21"/>
          <w:szCs w:val="21"/>
        </w:rPr>
        <w:t xml:space="preserve">Enablement was also embedded throughout the plan rather than confined to set-piece sessions. Over twenty discrete education tasks cover workflow creation, lead statuses, record creation forms, uploading records, brand guidelines, campaigns, nurture content, lead scoring, blog settings, CTAs, forms, chatbot, custom ad audiences, source data, Google Analytics integration, sales sequences, meeting links, meeting and call outcomes, and sales collateral. Named client staff were enrolled in Quantum Academy.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C9A227" w:sz="4"/>
              <w:left w:val="single" w:color="C9A227" w:sz="24"/>
              <w:bottom w:val="single" w:color="C9A227" w:sz="4"/>
              <w:right w:val="single" w:color="C9A227" w:sz="4"/>
            </w:tcBorders>
            <w:shd w:fill="FDF6E3" w:val="clear"/>
            <w:tcMar>
              <w:top w:type="dxa" w:w="150"/>
              <w:left w:type="dxa" w:w="180"/>
              <w:bottom w:type="dxa" w:w="150"/>
              <w:right w:type="dxa" w:w="180"/>
            </w:tcMar>
          </w:tcPr>
          <w:p>
            <w:pPr>
              <w:spacing w:after="70"/>
            </w:pPr>
            <w:r>
              <w:rPr>
                <w:rFonts w:ascii="Calibri" w:cs="Calibri" w:eastAsia="Calibri" w:hAnsi="Calibri"/>
                <w:b/>
                <w:bCs/>
                <w:color w:val="C9A227"/>
                <w:sz w:val="20"/>
                <w:szCs w:val="20"/>
              </w:rPr>
              <w:t xml:space="preserve">TO COMPLETE BEFORE SUBMISSION</w:t>
            </w:r>
          </w:p>
          <w:p>
            <w:pPr>
              <w:spacing w:after="50" w:line="260"/>
            </w:pPr>
            <w:r>
              <w:rPr>
                <w:rFonts w:ascii="Calibri" w:cs="Calibri" w:eastAsia="Calibri" w:hAnsi="Calibri"/>
                <w:color w:val="1A1A1A"/>
                <w:sz w:val="20"/>
                <w:szCs w:val="20"/>
              </w:rPr>
              <w:t xml:space="preserve">HubSpot asks this section to name the documentation delivered — administrator guides, integration documentation, troubleshooting FAQs.</w:t>
            </w:r>
          </w:p>
          <w:p>
            <w:pPr>
              <w:spacing w:after="50" w:line="260"/>
            </w:pPr>
            <w:r>
              <w:rPr>
                <w:rFonts w:ascii="Calibri" w:cs="Calibri" w:eastAsia="Calibri" w:hAnsi="Calibri"/>
                <w:color w:val="1A1A1A"/>
                <w:sz w:val="20"/>
                <w:szCs w:val="20"/>
              </w:rPr>
              <w:t xml:space="preserve">Recorded sessions and Quantum Academy enrolment are evidenced. Confirm which written artefacts exist and attach them.</w:t>
            </w:r>
          </w:p>
          <w:p>
            <w:pPr>
              <w:spacing w:after="50" w:line="260"/>
            </w:pPr>
            <w:r>
              <w:rPr>
                <w:rFonts w:ascii="Calibri" w:cs="Calibri" w:eastAsia="Calibri" w:hAnsi="Calibri"/>
                <w:color w:val="1A1A1A"/>
                <w:sz w:val="20"/>
                <w:szCs w:val="20"/>
              </w:rPr>
              <w:t xml:space="preserve">Known candidate: the CalcFocus Outlook integration overview document.</w:t>
            </w:r>
          </w:p>
        </w:tc>
      </w:tr>
    </w:tbl>
    <w:p>
      <w:pPr>
        <w:pStyle w:val="Heading1"/>
        <w:spacing w:after="160" w:before="340"/>
      </w:pPr>
      <w:r>
        <w:rPr>
          <w:rFonts w:ascii="Calibri" w:cs="Calibri" w:eastAsia="Calibri" w:hAnsi="Calibri"/>
          <w:b/>
          <w:bCs/>
          <w:color w:val="0A1F44"/>
          <w:sz w:val="28"/>
          <w:szCs w:val="28"/>
        </w:rPr>
        <w:t xml:space="preserve">8. Feedback Mechanisms</w:t>
      </w:r>
    </w:p>
    <w:p>
      <w:pPr>
        <w:pStyle w:val="ListParagraph"/>
        <w:numPr>
          <w:ilvl w:val="0"/>
          <w:numId w:val="2"/>
        </w:numPr>
        <w:spacing w:after="80" w:line="280"/>
      </w:pPr>
      <w:r>
        <w:rPr>
          <w:rFonts w:ascii="Calibri" w:cs="Calibri" w:eastAsia="Calibri" w:hAnsi="Calibri"/>
          <w:color w:val="1A1A1A"/>
          <w:sz w:val="21"/>
          <w:szCs w:val="21"/>
        </w:rPr>
        <w:t xml:space="preserve">Weekly client success meeting as the standing feedback loop throughout the engagement</w:t>
      </w:r>
    </w:p>
    <w:p>
      <w:pPr>
        <w:pStyle w:val="ListParagraph"/>
        <w:numPr>
          <w:ilvl w:val="0"/>
          <w:numId w:val="2"/>
        </w:numPr>
        <w:spacing w:after="80" w:line="280"/>
      </w:pPr>
      <w:r>
        <w:rPr>
          <w:rFonts w:ascii="Calibri" w:cs="Calibri" w:eastAsia="Calibri" w:hAnsi="Calibri"/>
          <w:color w:val="1A1A1A"/>
          <w:sz w:val="21"/>
          <w:szCs w:val="21"/>
        </w:rPr>
        <w:t xml:space="preserve">Three client questionnaires — Email Type, Email Settings, Forms Settings — feeding configuration decisions directly</w:t>
      </w:r>
    </w:p>
    <w:p>
      <w:pPr>
        <w:pStyle w:val="ListParagraph"/>
        <w:numPr>
          <w:ilvl w:val="0"/>
          <w:numId w:val="2"/>
        </w:numPr>
        <w:spacing w:after="80" w:line="280"/>
      </w:pPr>
      <w:r>
        <w:rPr>
          <w:rFonts w:ascii="Calibri" w:cs="Calibri" w:eastAsia="Calibri" w:hAnsi="Calibri"/>
          <w:color w:val="1A1A1A"/>
          <w:sz w:val="21"/>
          <w:szCs w:val="21"/>
        </w:rPr>
        <w:t xml:space="preserve">Client review gate on migrated deal data before final import</w:t>
      </w:r>
    </w:p>
    <w:p>
      <w:pPr>
        <w:pStyle w:val="ListParagraph"/>
        <w:numPr>
          <w:ilvl w:val="0"/>
          <w:numId w:val="2"/>
        </w:numPr>
        <w:spacing w:after="80" w:line="280"/>
      </w:pPr>
      <w:r>
        <w:rPr>
          <w:rFonts w:ascii="Calibri" w:cs="Calibri" w:eastAsia="Calibri" w:hAnsi="Calibri"/>
          <w:color w:val="1A1A1A"/>
          <w:sz w:val="21"/>
          <w:szCs w:val="21"/>
        </w:rPr>
        <w:t xml:space="preserve">A standing plan task to provide ongoing support for dashboard and report adjustments as feedback is received, making feedback-driven iteration a planned activity rather than an incidental one</w:t>
      </w:r>
    </w:p>
    <w:p>
      <w:pPr>
        <w:pStyle w:val="ListParagraph"/>
        <w:numPr>
          <w:ilvl w:val="0"/>
          <w:numId w:val="2"/>
        </w:numPr>
        <w:spacing w:after="80" w:line="280"/>
      </w:pPr>
      <w:r>
        <w:rPr>
          <w:rFonts w:ascii="Calibri" w:cs="Calibri" w:eastAsia="Calibri" w:hAnsi="Calibri"/>
          <w:color w:val="1A1A1A"/>
          <w:sz w:val="21"/>
          <w:szCs w:val="21"/>
        </w:rPr>
        <w:t xml:space="preserve">Three formal client confirmation gates at hub and engagement level</w:t>
      </w:r>
    </w:p>
    <w:sectPr>
      <w:footerReference w:type="default" r:id="rId7"/>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0"/>
        <w:sz w:val="16"/>
        <w:szCs w:val="16"/>
      </w:rPr>
      <w:t xml:space="preserve">Quantum Business Solutions  |  HubSpot Solutions Partner Accreditation  |  Page </w:t>
    </w:r>
    <w:r>
      <w:rPr>
        <w:rFonts w:ascii="Calibri" w:cs="Calibri" w:eastAsia="Calibri" w:hAnsi="Calibri"/>
        <w:color w:val="5A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72d3cae56c42a3a41aa0550f2e39897dd13f4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2026-09-08T18:52:42.854Z</dcterms:created>
  <dcterms:modified xsi:type="dcterms:W3CDTF">2026-09-08T18:52:42.854Z</dcterms:modified>
</cp:coreProperties>
</file>

<file path=docProps/custom.xml><?xml version="1.0" encoding="utf-8"?>
<Properties xmlns="http://schemas.openxmlformats.org/officeDocument/2006/custom-properties" xmlns:vt="http://schemas.openxmlformats.org/officeDocument/2006/docPropsVTypes"/>
</file>