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left w:val="none"/>
              <w:bottom w:val="none"/>
              <w:right w:val="none"/>
            </w:tcBorders>
            <w:shd w:fill="0A1F44" w:val="clear"/>
            <w:tcMar>
              <w:top w:type="dxa" w:w="260"/>
              <w:left w:type="dxa" w:w="220"/>
              <w:bottom w:type="dxa" w:w="260"/>
              <w:right w:type="dxa" w:w="220"/>
            </w:tcMar>
          </w:tcPr>
          <w:p>
            <w:pPr>
              <w:spacing w:after="90"/>
            </w:pPr>
            <w:r>
              <w:rPr>
                <w:rFonts w:ascii="Calibri" w:cs="Calibri" w:eastAsia="Calibri" w:hAnsi="Calibri"/>
                <w:b/>
                <w:bCs/>
                <w:color w:val="C9A227"/>
                <w:spacing w:val="40"/>
                <w:sz w:val="18"/>
                <w:szCs w:val="18"/>
              </w:rPr>
              <w:t xml:space="preserve">ONBOARDING ACCREDITATION — SUBMISSION ITEM 3</w:t>
            </w:r>
          </w:p>
          <w:p>
            <w:pPr>
              <w:spacing w:after="80"/>
            </w:pPr>
            <w:r>
              <w:rPr>
                <w:rFonts w:ascii="Calibri" w:cs="Calibri" w:eastAsia="Calibri" w:hAnsi="Calibri"/>
                <w:b/>
                <w:bCs/>
                <w:color w:val="FFFFFF"/>
                <w:sz w:val="34"/>
                <w:szCs w:val="34"/>
              </w:rPr>
              <w:t xml:space="preserve">Project Review</w:t>
            </w:r>
          </w:p>
          <w:p>
            <w:pPr>
              <w:spacing w:after="0"/>
            </w:pPr>
            <w:r>
              <w:rPr>
                <w:rFonts w:ascii="Calibri" w:cs="Calibri" w:eastAsia="Calibri" w:hAnsi="Calibri"/>
                <w:color w:val="D8DDE3"/>
                <w:sz w:val="21"/>
                <w:szCs w:val="21"/>
              </w:rPr>
              <w:t xml:space="preserve">CalcFocus  |  Marketing Hub Professional + Sales Hub Professional  |  April – July 2026</w:t>
            </w:r>
          </w:p>
        </w:tc>
      </w:tr>
    </w:tbl>
    <w:p>
      <w:pPr>
        <w:spacing w:after="200"/>
      </w:pPr>
    </w:p>
    <w:p>
      <w:pPr>
        <w:spacing w:after="140" w:line="280"/>
      </w:pPr>
      <w:r>
        <w:rPr>
          <w:rFonts w:ascii="Calibri" w:cs="Calibri" w:eastAsia="Calibri" w:hAnsi="Calibri"/>
          <w:b/>
          <w:bCs/>
          <w:color w:val="1A1A1A"/>
          <w:sz w:val="21"/>
          <w:szCs w:val="21"/>
        </w:rPr>
        <w:t xml:space="preserve">Companion document. </w:t>
      </w:r>
      <w:r>
        <w:rPr>
          <w:rFonts w:ascii="Calibri" w:cs="Calibri" w:eastAsia="Calibri" w:hAnsi="Calibri"/>
          <w:color w:val="1A1A1A"/>
          <w:sz w:val="21"/>
          <w:szCs w:val="21"/>
        </w:rPr>
        <w:t xml:space="preserve">This review covers the same engagement profiled in submission item 1, the CalcFocus Objectives-Based Onboarding Project Plan, as the accreditation reuse rule requires.</w:t>
      </w:r>
    </w:p>
    <w:p>
      <w:pPr>
        <w:pBdr>
          <w:bottom w:val="single" w:color="C9A227" w:sz="8"/>
        </w:pBdr>
        <w:spacing w:after="180"/>
      </w:pPr>
      <w:r>
        <w:rPr>
          <w:sz w:val="2"/>
          <w:szCs w:val="2"/>
        </w:rPr>
        <w:t xml:space="preserve"/>
      </w:r>
    </w:p>
    <w:p>
      <w:pPr>
        <w:pStyle w:val="Heading1"/>
        <w:spacing w:after="160" w:before="340"/>
      </w:pPr>
      <w:r>
        <w:rPr>
          <w:rFonts w:ascii="Calibri" w:cs="Calibri" w:eastAsia="Calibri" w:hAnsi="Calibri"/>
          <w:b/>
          <w:bCs/>
          <w:color w:val="0A1F44"/>
          <w:sz w:val="28"/>
          <w:szCs w:val="28"/>
        </w:rPr>
        <w:t xml:space="preserve">1. Executive Summary</w:t>
      </w:r>
    </w:p>
    <w:p>
      <w:pPr>
        <w:spacing w:after="140" w:line="280"/>
      </w:pPr>
      <w:r>
        <w:rPr>
          <w:rFonts w:ascii="Calibri" w:cs="Calibri" w:eastAsia="Calibri" w:hAnsi="Calibri"/>
          <w:color w:val="1A1A1A"/>
          <w:sz w:val="21"/>
          <w:szCs w:val="21"/>
        </w:rPr>
        <w:t xml:space="preserve">CalcFocus moved from an unimplemented HubSpot instance to a live, two-hub revenue system inside 90 days of kickoff.</w:t>
      </w:r>
    </w:p>
    <w:p>
      <w:pPr>
        <w:spacing w:after="140" w:line="280"/>
      </w:pPr>
      <w:r>
        <w:rPr>
          <w:rFonts w:ascii="Calibri" w:cs="Calibri" w:eastAsia="Calibri" w:hAnsi="Calibri"/>
          <w:color w:val="1A1A1A"/>
          <w:sz w:val="21"/>
          <w:szCs w:val="21"/>
        </w:rPr>
        <w:t xml:space="preserve">At the point of engagement the business had bought HubSpot and done nothing with it. Contact data was scattered across spreadsheets, pipeline lived with individual sellers, and the deal stages available in the tool did not describe how the company actually forecast revenue. Quantum Business Solutions delivered a gated, objectives-based onboarding across Marketing Hub and Sales Hub, migrated four distinct data sets into the platform, built the lifecycle, segmentation, routing and reporting layers, and trained the team on their own live records.</w:t>
      </w:r>
    </w:p>
    <w:p>
      <w:pPr>
        <w:spacing w:after="140" w:line="280"/>
      </w:pPr>
      <w:r>
        <w:rPr>
          <w:rFonts w:ascii="Calibri" w:cs="Calibri" w:eastAsia="Calibri" w:hAnsi="Calibri"/>
          <w:color w:val="1A1A1A"/>
          <w:sz w:val="21"/>
          <w:szCs w:val="21"/>
        </w:rPr>
        <w:t xml:space="preserve">All 75 onboarding tasks were completed. The client confirmed completion at three separate formal gates — Marketing Hub, Sales Hub, and the onboarding overall. The engagement converted from a project into a retained relationship, with weekly client success meetings and monthly strategic reviews booked through December 2026.</w:t>
      </w:r>
    </w:p>
    <w:p>
      <w:pPr>
        <w:spacing w:after="140" w:line="280"/>
      </w:pPr>
      <w:r>
        <w:rPr>
          <w:rFonts w:ascii="Calibri" w:cs="Calibri" w:eastAsia="Calibri" w:hAnsi="Calibri"/>
          <w:color w:val="1A1A1A"/>
          <w:sz w:val="21"/>
          <w:szCs w:val="21"/>
        </w:rPr>
        <w:t xml:space="preserve">The defining characteristic of this engagement was adapting the platform to the business rather than the reverse: rebuilding the forecast model to the client's own nomenclature, and engineering around a licence-tier limitation instead of selling an upgrade.</w:t>
      </w:r>
    </w:p>
    <w:p>
      <w:pPr>
        <w:pStyle w:val="Heading1"/>
        <w:spacing w:after="160" w:before="340"/>
      </w:pPr>
      <w:r>
        <w:rPr>
          <w:rFonts w:ascii="Calibri" w:cs="Calibri" w:eastAsia="Calibri" w:hAnsi="Calibri"/>
          <w:b/>
          <w:bCs/>
          <w:color w:val="0A1F44"/>
          <w:sz w:val="28"/>
          <w:szCs w:val="28"/>
        </w:rPr>
        <w:t xml:space="preserve">2. Key Achievements and Deliverables</w:t>
      </w:r>
    </w:p>
    <w:p>
      <w:pPr>
        <w:pStyle w:val="Heading2"/>
        <w:spacing w:after="120" w:before="260"/>
      </w:pPr>
      <w:r>
        <w:rPr>
          <w:rFonts w:ascii="Calibri" w:cs="Calibri" w:eastAsia="Calibri" w:hAnsi="Calibri"/>
          <w:b/>
          <w:bCs/>
          <w:color w:val="2E4057"/>
          <w:sz w:val="23"/>
          <w:szCs w:val="23"/>
        </w:rPr>
        <w:t xml:space="preserve">Delivered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rPr>
          <w:tblHeader/>
        </w:trPr>
        <w:tc>
          <w:tcPr>
            <w:tcW w:type="dxa" w:w="240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Area</w:t>
            </w:r>
          </w:p>
        </w:tc>
        <w:tc>
          <w:tcPr>
            <w:tcW w:type="dxa" w:w="8040"/>
            <w:tcBorders>
              <w:top w:val="single" w:color="D8DDE3" w:sz="4"/>
              <w:left w:val="single" w:color="D8DDE3" w:sz="4"/>
              <w:bottom w:val="single" w:color="D8DDE3" w:sz="4"/>
              <w:right w:val="single" w:color="D8DDE3" w:sz="4"/>
            </w:tcBorders>
            <w:shd w:fill="0A1F44"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Delivered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Onboarding completion</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75 of 75 tasks complete; three client confirmation gates closed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Segmentation</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Q2 Universal List Library — 111 new lists</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Lifecycle and personas</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Q2 lifecycle stage workflows; persona properties and buyer persona workflow; “Former Customer” lifecycle workflow remediated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Routing</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Round-robin lead assignment workflow</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Attribution</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Q2 Attribution and Sequence Package deployed via Supered</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Marketing Hub</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Email sending domain with DKIM/SPF/DMARC; four form templates; nurture campaign framework; marketing dashboard; WordPress tracking code</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Sales Hub</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Sales dashboard; deals pipeline and active lists; task queues; custom call outcomes, meeting types and meeting outcomes</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Data migration</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Contacts; pipeline and deals with company associations and stages; carrier accounts with custom properties; product library; event-origin sourcing property; portal-wide domain backfill</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Integrations</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LinkedIn Sales Navigator; Microsoft 365 mail and calendar</w:t>
            </w:r>
          </w:p>
        </w:tc>
      </w:tr>
      <w:tr>
        <w:tc>
          <w:tcPr>
            <w:tcW w:type="dxa" w:w="240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Enablement</w:t>
            </w:r>
          </w:p>
        </w:tc>
        <w:tc>
          <w:tcPr>
            <w:tcW w:type="dxa" w:w="8040"/>
            <w:tcBorders>
              <w:top w:val="single" w:color="D8DDE3" w:sz="4"/>
              <w:left w:val="single" w:color="D8DDE3" w:sz="4"/>
              <w:bottom w:val="single" w:color="D8DDE3" w:sz="4"/>
              <w:right w:val="single" w:color="D8DDE3" w:sz="4"/>
            </w:tcBorders>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Three training sessions on live data; Quantum Academy enrolment; 20+ embedded education tasks</w:t>
            </w:r>
          </w:p>
        </w:tc>
      </w:tr>
    </w:tbl>
    <w:p>
      <w:pPr>
        <w:spacing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8B1E1E" w:sz="4"/>
              <w:left w:val="single" w:color="8B1E1E" w:sz="24"/>
              <w:bottom w:val="single" w:color="8B1E1E" w:sz="4"/>
              <w:right w:val="single" w:color="8B1E1E" w:sz="4"/>
            </w:tcBorders>
            <w:shd w:fill="FBEEEE" w:val="clear"/>
            <w:tcMar>
              <w:top w:type="dxa" w:w="150"/>
              <w:left w:type="dxa" w:w="180"/>
              <w:bottom w:type="dxa" w:w="150"/>
              <w:right w:type="dxa" w:w="180"/>
            </w:tcMar>
          </w:tcPr>
          <w:p>
            <w:pPr>
              <w:spacing w:after="70"/>
            </w:pPr>
            <w:r>
              <w:rPr>
                <w:rFonts w:ascii="Calibri" w:cs="Calibri" w:eastAsia="Calibri" w:hAnsi="Calibri"/>
                <w:b/>
                <w:bCs/>
                <w:color w:val="8B1E1E"/>
                <w:sz w:val="20"/>
                <w:szCs w:val="20"/>
              </w:rPr>
              <w:t xml:space="preserve">TO COMPLETE BEFORE SUBMISSION — REQUIRED</w:t>
            </w:r>
          </w:p>
          <w:p>
            <w:pPr>
              <w:spacing w:after="50" w:line="260"/>
            </w:pPr>
            <w:r>
              <w:rPr>
                <w:rFonts w:ascii="Calibri" w:cs="Calibri" w:eastAsia="Calibri" w:hAnsi="Calibri"/>
                <w:color w:val="1A1A1A"/>
                <w:sz w:val="20"/>
                <w:szCs w:val="20"/>
              </w:rPr>
              <w:t xml:space="preserve">HubSpot requires this section to report ACTUAL NUMBERS against the success metrics defined in submission item 1.</w:t>
            </w:r>
          </w:p>
          <w:p>
            <w:pPr>
              <w:spacing w:after="50" w:line="260"/>
            </w:pPr>
            <w:r>
              <w:rPr>
                <w:rFonts w:ascii="Calibri" w:cs="Calibri" w:eastAsia="Calibri" w:hAnsi="Calibri"/>
                <w:color w:val="1A1A1A"/>
                <w:sz w:val="20"/>
                <w:szCs w:val="20"/>
              </w:rPr>
              <w:t xml:space="preserve">Deliverable counts alone will not satisfy the requirement. The two documents must use the same metric set.</w:t>
            </w:r>
          </w:p>
          <w:p>
            <w:pPr>
              <w:spacing w:after="50" w:line="260"/>
            </w:pPr>
            <w:r>
              <w:rPr>
                <w:rFonts w:ascii="Calibri" w:cs="Calibri" w:eastAsia="Calibri" w:hAnsi="Calibri"/>
                <w:color w:val="1A1A1A"/>
                <w:sz w:val="20"/>
                <w:szCs w:val="20"/>
              </w:rPr>
              <w:t xml:space="preserve">Until real before-and-after figures are inserted here, this item is not ready to submit.</w:t>
            </w:r>
          </w:p>
          <w:p>
            <w:pPr>
              <w:spacing w:after="50" w:line="260"/>
            </w:pPr>
            <w:r>
              <w:rPr>
                <w:rFonts w:ascii="Calibri" w:cs="Calibri" w:eastAsia="Calibri" w:hAnsi="Calibri"/>
                <w:color w:val="1A1A1A"/>
                <w:sz w:val="20"/>
                <w:szCs w:val="20"/>
              </w:rPr>
              <w:t xml:space="preserve">Capture at the next monthly strategic review with Lucy and Christine Peart.</w:t>
            </w:r>
          </w:p>
        </w:tc>
      </w:tr>
    </w:tbl>
    <w:p>
      <w:pPr>
        <w:pStyle w:val="Heading1"/>
        <w:spacing w:after="160" w:before="340"/>
      </w:pPr>
      <w:r>
        <w:rPr>
          <w:rFonts w:ascii="Calibri" w:cs="Calibri" w:eastAsia="Calibri" w:hAnsi="Calibri"/>
          <w:b/>
          <w:bCs/>
          <w:color w:val="0A1F44"/>
          <w:sz w:val="28"/>
          <w:szCs w:val="28"/>
        </w:rPr>
        <w:t xml:space="preserve">3. Challenges, Issues and Lessons Learned</w:t>
      </w:r>
    </w:p>
    <w:p>
      <w:pPr>
        <w:pStyle w:val="Heading2"/>
        <w:spacing w:after="120" w:before="260"/>
      </w:pPr>
      <w:r>
        <w:rPr>
          <w:rFonts w:ascii="Calibri" w:cs="Calibri" w:eastAsia="Calibri" w:hAnsi="Calibri"/>
          <w:b/>
          <w:bCs/>
          <w:color w:val="2E4057"/>
          <w:sz w:val="23"/>
          <w:szCs w:val="23"/>
        </w:rPr>
        <w:t xml:space="preserve">No trustworthy data baseline</w:t>
      </w:r>
    </w:p>
    <w:p>
      <w:pPr>
        <w:spacing w:after="140" w:line="280"/>
      </w:pPr>
      <w:r>
        <w:rPr>
          <w:rFonts w:ascii="Calibri" w:cs="Calibri" w:eastAsia="Calibri" w:hAnsi="Calibri"/>
          <w:color w:val="1A1A1A"/>
          <w:sz w:val="21"/>
          <w:szCs w:val="21"/>
        </w:rPr>
        <w:t xml:space="preserve">Contact data was spread across spreadsheets and individual sellers, with no single reliable source. Rather than import and correct afterwards, a joint client/QBS verification step was gated into the plan, and migrated deal data was routed to the sales owner for review before final import. Lesson: a review gate before final import costs a week and saves a quarter of remediation.</w:t>
      </w:r>
    </w:p>
    <w:p>
      <w:pPr>
        <w:pStyle w:val="Heading2"/>
        <w:spacing w:after="120" w:before="260"/>
      </w:pPr>
      <w:r>
        <w:rPr>
          <w:rFonts w:ascii="Calibri" w:cs="Calibri" w:eastAsia="Calibri" w:hAnsi="Calibri"/>
          <w:b/>
          <w:bCs/>
          <w:color w:val="2E4057"/>
          <w:sz w:val="23"/>
          <w:szCs w:val="23"/>
        </w:rPr>
        <w:t xml:space="preserve">The forecast model did not match the tool</w:t>
      </w:r>
    </w:p>
    <w:p>
      <w:pPr>
        <w:spacing w:after="140" w:line="280"/>
      </w:pPr>
      <w:r>
        <w:rPr>
          <w:rFonts w:ascii="Calibri" w:cs="Calibri" w:eastAsia="Calibri" w:hAnsi="Calibri"/>
          <w:color w:val="1A1A1A"/>
          <w:sz w:val="21"/>
          <w:szCs w:val="21"/>
        </w:rPr>
        <w:t xml:space="preserve">Out-of-the-box deal stages did not reflect how CalcFocus forecast revenue. Stage nomenclature and probability percentages were rebuilt to the client's own model as specified by sales leadership. Lesson: where a business has a working forecast model, configure the CRM to it rather than asking the business to adopt the tool's defaults — adoption follows familiarity.</w:t>
      </w:r>
    </w:p>
    <w:p>
      <w:pPr>
        <w:pStyle w:val="Heading2"/>
        <w:spacing w:after="120" w:before="260"/>
      </w:pPr>
      <w:r>
        <w:rPr>
          <w:rFonts w:ascii="Calibri" w:cs="Calibri" w:eastAsia="Calibri" w:hAnsi="Calibri"/>
          <w:b/>
          <w:bCs/>
          <w:color w:val="2E4057"/>
          <w:sz w:val="23"/>
          <w:szCs w:val="23"/>
        </w:rPr>
        <w:t xml:space="preserve">A capability gap at the licensed tier</w:t>
      </w:r>
    </w:p>
    <w:p>
      <w:pPr>
        <w:spacing w:after="140" w:line="280"/>
      </w:pPr>
      <w:r>
        <w:rPr>
          <w:rFonts w:ascii="Calibri" w:cs="Calibri" w:eastAsia="Calibri" w:hAnsi="Calibri"/>
          <w:color w:val="1A1A1A"/>
          <w:sz w:val="21"/>
          <w:szCs w:val="21"/>
        </w:rPr>
        <w:t xml:space="preserve">Native churn reporting requires Enterprise; CalcFocus holds Professional. Instead of routing the requirement into a licence upgrade, workarounds were built using calculated properties. Lesson: the partner's first instinct on a tier gap should be engineering, not procurement. Trust earned here is what converted the engagement into a retainer.</w:t>
      </w:r>
    </w:p>
    <w:p>
      <w:pPr>
        <w:pStyle w:val="Heading2"/>
        <w:spacing w:after="120" w:before="260"/>
      </w:pPr>
      <w:r>
        <w:rPr>
          <w:rFonts w:ascii="Calibri" w:cs="Calibri" w:eastAsia="Calibri" w:hAnsi="Calibri"/>
          <w:b/>
          <w:bCs/>
          <w:color w:val="2E4057"/>
          <w:sz w:val="23"/>
          <w:szCs w:val="23"/>
        </w:rPr>
        <w:t xml:space="preserve">Sequencing training against migration</w:t>
      </w:r>
    </w:p>
    <w:p>
      <w:pPr>
        <w:spacing w:after="140" w:line="280"/>
      </w:pPr>
      <w:r>
        <w:rPr>
          <w:rFonts w:ascii="Calibri" w:cs="Calibri" w:eastAsia="Calibri" w:hAnsi="Calibri"/>
          <w:color w:val="1A1A1A"/>
          <w:sz w:val="21"/>
          <w:szCs w:val="21"/>
        </w:rPr>
        <w:t xml:space="preserve">Training scheduled before migration would have run on sample records and wasted the session. It was deliberately held until migration completed, so every attendee worked with their own live data. Lesson: training value is a function of data readiness, not calendar convenience.</w:t>
      </w:r>
    </w:p>
    <w:p>
      <w:pPr>
        <w:pStyle w:val="Heading2"/>
        <w:spacing w:after="120" w:before="260"/>
      </w:pPr>
      <w:r>
        <w:rPr>
          <w:rFonts w:ascii="Calibri" w:cs="Calibri" w:eastAsia="Calibri" w:hAnsi="Calibri"/>
          <w:b/>
          <w:bCs/>
          <w:color w:val="2E4057"/>
          <w:sz w:val="23"/>
          <w:szCs w:val="23"/>
        </w:rPr>
        <w:t xml:space="preserve">Scope discovered mid-flight</w:t>
      </w:r>
    </w:p>
    <w:p>
      <w:pPr>
        <w:spacing w:after="140" w:line="280"/>
      </w:pPr>
      <w:r>
        <w:rPr>
          <w:rFonts w:ascii="Calibri" w:cs="Calibri" w:eastAsia="Calibri" w:hAnsi="Calibri"/>
          <w:color w:val="1A1A1A"/>
          <w:sz w:val="21"/>
          <w:szCs w:val="21"/>
        </w:rPr>
        <w:t xml:space="preserve">New requirements surfaced continuously once the client saw the platform working. A standing out-of-scope wish list captured them without destabilising the plan or the timeline. Lesson: give mid-engagement scope somewhere legitimate to go, and it stops being a conflict.</w:t>
      </w:r>
    </w:p>
    <w:p>
      <w:pPr>
        <w:pStyle w:val="Heading1"/>
        <w:spacing w:after="160" w:before="340"/>
      </w:pPr>
      <w:r>
        <w:rPr>
          <w:rFonts w:ascii="Calibri" w:cs="Calibri" w:eastAsia="Calibri" w:hAnsi="Calibri"/>
          <w:b/>
          <w:bCs/>
          <w:color w:val="0A1F44"/>
          <w:sz w:val="28"/>
          <w:szCs w:val="28"/>
        </w:rPr>
        <w:t xml:space="preserve">4. Post-Onboarding Strategy</w:t>
      </w:r>
    </w:p>
    <w:p>
      <w:pPr>
        <w:spacing w:after="140" w:line="280"/>
      </w:pPr>
      <w:r>
        <w:rPr>
          <w:rFonts w:ascii="Calibri" w:cs="Calibri" w:eastAsia="Calibri" w:hAnsi="Calibri"/>
          <w:color w:val="1A1A1A"/>
          <w:sz w:val="21"/>
          <w:szCs w:val="21"/>
        </w:rPr>
        <w:t xml:space="preserve">CalcFocus transitioned directly from onboarding into a retained client success engagement. Weekly client success meetings and monthly strategic reviews are scheduled through December 2026, and 45 of 76 post-onboarding tickets are already closed.</w:t>
      </w:r>
    </w:p>
    <w:p>
      <w:pPr>
        <w:pStyle w:val="Heading2"/>
        <w:spacing w:after="120" w:before="260"/>
      </w:pPr>
      <w:r>
        <w:rPr>
          <w:rFonts w:ascii="Calibri" w:cs="Calibri" w:eastAsia="Calibri" w:hAnsi="Calibri"/>
          <w:b/>
          <w:bCs/>
          <w:color w:val="2E4057"/>
          <w:sz w:val="23"/>
          <w:szCs w:val="23"/>
        </w:rPr>
        <w:t xml:space="preserve">Immediate next steps for the customer</w:t>
      </w:r>
    </w:p>
    <w:p>
      <w:pPr>
        <w:pStyle w:val="ListParagraph"/>
        <w:numPr>
          <w:ilvl w:val="0"/>
          <w:numId w:val="2"/>
        </w:numPr>
        <w:spacing w:after="80" w:line="280"/>
      </w:pPr>
      <w:r>
        <w:rPr>
          <w:rFonts w:ascii="Calibri" w:cs="Calibri" w:eastAsia="Calibri" w:hAnsi="Calibri"/>
          <w:color w:val="1A1A1A"/>
          <w:sz w:val="21"/>
          <w:szCs w:val="21"/>
        </w:rPr>
        <w:t xml:space="preserve">Build KPI-driven dashboards and reports against the reporting requirements the team is finalising</w:t>
      </w:r>
    </w:p>
    <w:p>
      <w:pPr>
        <w:pStyle w:val="ListParagraph"/>
        <w:numPr>
          <w:ilvl w:val="0"/>
          <w:numId w:val="2"/>
        </w:numPr>
        <w:spacing w:after="80" w:line="280"/>
      </w:pPr>
      <w:r>
        <w:rPr>
          <w:rFonts w:ascii="Calibri" w:cs="Calibri" w:eastAsia="Calibri" w:hAnsi="Calibri"/>
          <w:color w:val="1A1A1A"/>
          <w:sz w:val="21"/>
          <w:szCs w:val="21"/>
        </w:rPr>
        <w:t xml:space="preserve">Continue data hygiene on imported records, including domain and association completeness</w:t>
      </w:r>
    </w:p>
    <w:p>
      <w:pPr>
        <w:pStyle w:val="ListParagraph"/>
        <w:numPr>
          <w:ilvl w:val="0"/>
          <w:numId w:val="2"/>
        </w:numPr>
        <w:spacing w:after="80" w:line="280"/>
      </w:pPr>
      <w:r>
        <w:rPr>
          <w:rFonts w:ascii="Calibri" w:cs="Calibri" w:eastAsia="Calibri" w:hAnsi="Calibri"/>
          <w:color w:val="1A1A1A"/>
          <w:sz w:val="21"/>
          <w:szCs w:val="21"/>
        </w:rPr>
        <w:t xml:space="preserve">Activate the nurture campaign framework with live content</w:t>
      </w:r>
    </w:p>
    <w:p>
      <w:pPr>
        <w:pStyle w:val="ListParagraph"/>
        <w:numPr>
          <w:ilvl w:val="0"/>
          <w:numId w:val="2"/>
        </w:numPr>
        <w:spacing w:after="80" w:line="280"/>
      </w:pPr>
      <w:r>
        <w:rPr>
          <w:rFonts w:ascii="Calibri" w:cs="Calibri" w:eastAsia="Calibri" w:hAnsi="Calibri"/>
          <w:color w:val="1A1A1A"/>
          <w:sz w:val="21"/>
          <w:szCs w:val="21"/>
        </w:rPr>
        <w:t xml:space="preserve">Work the out-of-scope wish list into a prioritised roadmap</w:t>
      </w:r>
    </w:p>
    <w:p>
      <w:pPr>
        <w:pStyle w:val="ListParagraph"/>
        <w:numPr>
          <w:ilvl w:val="0"/>
          <w:numId w:val="2"/>
        </w:numPr>
        <w:spacing w:after="80" w:line="280"/>
      </w:pPr>
      <w:r>
        <w:rPr>
          <w:rFonts w:ascii="Calibri" w:cs="Calibri" w:eastAsia="Calibri" w:hAnsi="Calibri"/>
          <w:color w:val="1A1A1A"/>
          <w:sz w:val="21"/>
          <w:szCs w:val="21"/>
        </w:rPr>
        <w:t xml:space="preserve">Extend adoption depth on sequences, task queues and meeting links across the wider sales team</w:t>
      </w:r>
    </w:p>
    <w:sectPr>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6"/>
        <w:szCs w:val="16"/>
      </w:rPr>
      <w:t xml:space="preserve">Quantum Business Solutions  |  HubSpot Solutions Partner Accreditation  |  Page </w:t>
    </w:r>
    <w:r>
      <w:rPr>
        <w:rFonts w:ascii="Calibri" w:cs="Calibri" w:eastAsia="Calibri" w:hAnsi="Calibri"/>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2026-09-08T18:52:43.026Z</dcterms:created>
  <dcterms:modified xsi:type="dcterms:W3CDTF">2026-09-08T18:52:43.026Z</dcterms:modified>
</cp:coreProperties>
</file>

<file path=docProps/custom.xml><?xml version="1.0" encoding="utf-8"?>
<Properties xmlns="http://schemas.openxmlformats.org/officeDocument/2006/custom-properties" xmlns:vt="http://schemas.openxmlformats.org/officeDocument/2006/docPropsVTypes"/>
</file>