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1DF6B38C" w:rsidR="00075FEB" w:rsidRPr="00075FEB" w:rsidRDefault="00F12573" w:rsidP="00075FEB">
      <w:pPr>
        <w:jc w:val="center"/>
        <w:rPr>
          <w:sz w:val="48"/>
        </w:rPr>
      </w:pPr>
      <w:r>
        <w:rPr>
          <w:sz w:val="48"/>
        </w:rPr>
        <w:t xml:space="preserve">Seminar </w:t>
      </w:r>
      <w:r w:rsidR="00513765">
        <w:rPr>
          <w:sz w:val="48"/>
        </w:rPr>
        <w:t>9</w:t>
      </w:r>
      <w:r w:rsidR="00A15BE3">
        <w:rPr>
          <w:sz w:val="48"/>
        </w:rPr>
        <w:t>8</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436AB44C" w:rsidR="009A1B94" w:rsidRDefault="00994A1C" w:rsidP="00C15BDA">
      <w:pPr>
        <w:pStyle w:val="TTPTitle"/>
        <w:spacing w:afterLines="50"/>
        <w:rPr>
          <w:sz w:val="28"/>
          <w:szCs w:val="22"/>
          <w:lang w:eastAsia="zh-CN"/>
        </w:rPr>
      </w:pPr>
      <w:r>
        <w:rPr>
          <w:sz w:val="28"/>
          <w:szCs w:val="22"/>
          <w:lang w:eastAsia="zh-CN"/>
        </w:rPr>
        <w:t>December</w:t>
      </w:r>
      <w:r w:rsidR="002F7978">
        <w:rPr>
          <w:sz w:val="28"/>
          <w:szCs w:val="22"/>
          <w:lang w:eastAsia="zh-CN"/>
        </w:rPr>
        <w:t xml:space="preserve"> </w:t>
      </w:r>
      <w:r>
        <w:rPr>
          <w:sz w:val="28"/>
          <w:szCs w:val="22"/>
          <w:lang w:eastAsia="zh-CN"/>
        </w:rPr>
        <w:t>3</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466F333"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6A4F10">
        <w:rPr>
          <w:sz w:val="28"/>
          <w:szCs w:val="22"/>
          <w:lang w:eastAsia="zh-CN"/>
        </w:rPr>
        <w:t>S</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6A4F10">
        <w:rPr>
          <w:sz w:val="28"/>
          <w:szCs w:val="22"/>
          <w:lang w:eastAsia="zh-CN"/>
        </w:rPr>
        <w:t>3</w:t>
      </w:r>
      <w:r w:rsidR="00F538C2">
        <w:rPr>
          <w:sz w:val="28"/>
          <w:szCs w:val="22"/>
          <w:lang w:eastAsia="zh-CN"/>
        </w:rPr>
        <w:t xml:space="preserve">:00 – </w:t>
      </w:r>
      <w:r w:rsidR="006A4F10">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A06041">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6A4F10">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6A4F10">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6A4F10">
        <w:rPr>
          <w:sz w:val="28"/>
          <w:szCs w:val="22"/>
          <w:lang w:eastAsia="zh-CN"/>
        </w:rPr>
        <w:t>1</w:t>
      </w:r>
      <w:r w:rsidR="00F96636">
        <w:rPr>
          <w:sz w:val="28"/>
          <w:szCs w:val="22"/>
          <w:lang w:eastAsia="zh-CN"/>
        </w:rPr>
        <w:t xml:space="preserve"> pm</w:t>
      </w:r>
      <w:r w:rsidR="0075149E">
        <w:rPr>
          <w:sz w:val="28"/>
          <w:szCs w:val="22"/>
          <w:lang w:eastAsia="zh-CN"/>
        </w:rPr>
        <w:t xml:space="preserve"> – 1</w:t>
      </w:r>
      <w:r w:rsidR="006A4F10">
        <w:rPr>
          <w:sz w:val="28"/>
          <w:szCs w:val="22"/>
          <w:lang w:eastAsia="zh-CN"/>
        </w:rPr>
        <w:t>2</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654B0FA2"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4B2E30">
        <w:rPr>
          <w:rFonts w:ascii="Times New Roman" w:hAnsi="Times New Roman"/>
          <w:sz w:val="28"/>
          <w:szCs w:val="28"/>
          <w:lang w:val="en-US"/>
        </w:rPr>
        <w:t>Hongli Guo</w:t>
      </w:r>
      <w:r w:rsidR="007D2542">
        <w:rPr>
          <w:rFonts w:ascii="Times New Roman" w:hAnsi="Times New Roman"/>
          <w:sz w:val="28"/>
          <w:szCs w:val="28"/>
          <w:lang w:val="en-US"/>
        </w:rPr>
        <w:t xml:space="preserve">, </w:t>
      </w:r>
      <w:r w:rsidR="004B2E30">
        <w:rPr>
          <w:rFonts w:ascii="Times New Roman" w:hAnsi="Times New Roman"/>
          <w:sz w:val="28"/>
          <w:szCs w:val="28"/>
          <w:lang w:val="en-US"/>
        </w:rPr>
        <w:t xml:space="preserve">Zhejiang </w:t>
      </w:r>
      <w:r w:rsidR="002673AE">
        <w:rPr>
          <w:rFonts w:ascii="Times New Roman" w:hAnsi="Times New Roman"/>
          <w:sz w:val="28"/>
          <w:szCs w:val="28"/>
          <w:lang w:val="en-US"/>
        </w:rPr>
        <w:t>Universit</w:t>
      </w:r>
      <w:r w:rsidR="009467BA">
        <w:rPr>
          <w:rFonts w:ascii="Times New Roman" w:hAnsi="Times New Roman"/>
          <w:sz w:val="28"/>
          <w:szCs w:val="28"/>
          <w:lang w:val="en-US"/>
        </w:rPr>
        <w:t xml:space="preserve">y, </w:t>
      </w:r>
      <w:r w:rsidR="004B2E30">
        <w:rPr>
          <w:rFonts w:ascii="Times New Roman" w:hAnsi="Times New Roman"/>
          <w:sz w:val="28"/>
          <w:szCs w:val="28"/>
          <w:lang w:val="en-US"/>
        </w:rPr>
        <w:t>China……...</w:t>
      </w:r>
      <w:r w:rsidR="00007956">
        <w:rPr>
          <w:rFonts w:ascii="Times New Roman" w:hAnsi="Times New Roman"/>
          <w:sz w:val="28"/>
          <w:szCs w:val="28"/>
          <w:lang w:val="en-US"/>
        </w:rPr>
        <w:t>……...</w:t>
      </w:r>
      <w:r w:rsidR="00B63BF7">
        <w:rPr>
          <w:rFonts w:ascii="Times New Roman" w:hAnsi="Times New Roman"/>
          <w:sz w:val="28"/>
          <w:szCs w:val="28"/>
          <w:lang w:val="en-US"/>
        </w:rPr>
        <w:t>.</w:t>
      </w:r>
      <w:r w:rsidR="005832E9">
        <w:rPr>
          <w:rFonts w:ascii="Times New Roman" w:hAnsi="Times New Roman"/>
          <w:sz w:val="28"/>
          <w:szCs w:val="28"/>
          <w:lang w:val="en-US"/>
        </w:rPr>
        <w:t>.</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48DDE3F4"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007956" w:rsidRPr="00091462">
        <w:rPr>
          <w:rFonts w:ascii="Times New Roman" w:hAnsi="Times New Roman"/>
          <w:sz w:val="28"/>
          <w:szCs w:val="28"/>
        </w:rPr>
        <w:t>D</w:t>
      </w:r>
      <w:r w:rsidR="007818EF" w:rsidRPr="00091462">
        <w:rPr>
          <w:rFonts w:ascii="Times New Roman" w:hAnsi="Times New Roman"/>
          <w:sz w:val="28"/>
          <w:szCs w:val="28"/>
        </w:rPr>
        <w:t>r</w:t>
      </w:r>
      <w:r w:rsidR="005746EB" w:rsidRPr="00091462">
        <w:rPr>
          <w:rFonts w:ascii="Times New Roman" w:hAnsi="Times New Roman"/>
          <w:sz w:val="28"/>
          <w:szCs w:val="28"/>
        </w:rPr>
        <w:t xml:space="preserve">. </w:t>
      </w:r>
      <w:r w:rsidR="00091462" w:rsidRPr="00091462">
        <w:rPr>
          <w:rFonts w:ascii="Times New Roman" w:hAnsi="Times New Roman"/>
          <w:sz w:val="28"/>
          <w:szCs w:val="28"/>
        </w:rPr>
        <w:t>Xinju (Spancer) Dong</w:t>
      </w:r>
      <w:r w:rsidR="00DF4ABB" w:rsidRPr="00091462">
        <w:rPr>
          <w:rFonts w:ascii="Times New Roman" w:hAnsi="Times New Roman"/>
          <w:sz w:val="28"/>
          <w:szCs w:val="28"/>
        </w:rPr>
        <w:t xml:space="preserve">, </w:t>
      </w:r>
      <w:r w:rsidR="00091462" w:rsidRPr="00091462">
        <w:rPr>
          <w:rFonts w:ascii="Times New Roman" w:hAnsi="Times New Roman"/>
          <w:sz w:val="28"/>
          <w:szCs w:val="28"/>
        </w:rPr>
        <w:t>Oak Ridge National Laboratory, USA</w:t>
      </w:r>
      <w:r w:rsidR="00091462">
        <w:rPr>
          <w:rFonts w:ascii="Times New Roman" w:hAnsi="Times New Roman"/>
          <w:sz w:val="28"/>
          <w:szCs w:val="28"/>
        </w:rPr>
        <w:t>………………………………………………………………………….</w:t>
      </w:r>
      <w:r w:rsidR="00007956" w:rsidRPr="00091462">
        <w:rPr>
          <w:rFonts w:ascii="Times New Roman" w:hAnsi="Times New Roman"/>
          <w:sz w:val="28"/>
          <w:szCs w:val="28"/>
        </w:rPr>
        <w:t>.</w:t>
      </w:r>
      <w:r w:rsidRPr="00091462">
        <w:rPr>
          <w:rFonts w:ascii="Times New Roman" w:hAnsi="Times New Roman"/>
          <w:sz w:val="28"/>
          <w:szCs w:val="28"/>
        </w:rPr>
        <w:t xml:space="preserve">page </w:t>
      </w:r>
      <w:r w:rsidR="00B37CD0" w:rsidRPr="0009146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Pr="009467BA" w:rsidRDefault="009467BA" w:rsidP="009467BA"/>
    <w:p w14:paraId="500C15ED" w14:textId="77777777" w:rsidR="0000124D" w:rsidRDefault="0000124D" w:rsidP="0000124D"/>
    <w:p w14:paraId="5CEF0DCD" w14:textId="0261147C" w:rsidR="004B2E30" w:rsidRDefault="004B2E30" w:rsidP="004B2E30">
      <w:pPr>
        <w:pStyle w:val="Heading1"/>
        <w:jc w:val="center"/>
        <w:rPr>
          <w:rFonts w:ascii="Times New Roman" w:hAnsi="Times New Roman" w:cs="Times New Roman"/>
          <w:b/>
          <w:bCs/>
          <w:color w:val="auto"/>
          <w:sz w:val="28"/>
          <w:szCs w:val="28"/>
        </w:rPr>
      </w:pPr>
      <w:r w:rsidRPr="004B2E30">
        <w:rPr>
          <w:rFonts w:ascii="Times New Roman" w:hAnsi="Times New Roman" w:cs="Times New Roman"/>
          <w:b/>
          <w:bCs/>
          <w:color w:val="auto"/>
          <w:sz w:val="28"/>
          <w:szCs w:val="28"/>
        </w:rPr>
        <w:lastRenderedPageBreak/>
        <w:t>First-Principles Calculations of Moiré Excitons in Twisted Two-Dimensional Materials</w:t>
      </w:r>
    </w:p>
    <w:p w14:paraId="0F1F8561" w14:textId="77777777" w:rsidR="004B2E30" w:rsidRPr="004B2E30" w:rsidRDefault="004B2E30" w:rsidP="004B2E30"/>
    <w:p w14:paraId="59F1671C" w14:textId="77777777" w:rsidR="004B2E30" w:rsidRDefault="004B2E30" w:rsidP="004B2E30">
      <w:pPr>
        <w:jc w:val="center"/>
        <w:rPr>
          <w:rFonts w:ascii="Times New Roman" w:hAnsi="Times New Roman"/>
          <w:sz w:val="24"/>
          <w:szCs w:val="24"/>
          <w:vertAlign w:val="superscript"/>
          <w:lang w:val="fr-FR"/>
        </w:rPr>
      </w:pPr>
      <w:r w:rsidRPr="004B2E30">
        <w:rPr>
          <w:rFonts w:ascii="Times New Roman" w:hAnsi="Times New Roman" w:hint="eastAsia"/>
          <w:sz w:val="24"/>
          <w:szCs w:val="24"/>
          <w:u w:val="single"/>
          <w:lang w:val="fr-FR"/>
        </w:rPr>
        <w:t>Hongli Guo</w:t>
      </w:r>
      <w:r w:rsidRPr="004B2E30">
        <w:rPr>
          <w:rFonts w:ascii="Times New Roman" w:hAnsi="Times New Roman" w:hint="eastAsia"/>
          <w:sz w:val="24"/>
          <w:szCs w:val="24"/>
          <w:vertAlign w:val="superscript"/>
          <w:lang w:val="fr-FR"/>
        </w:rPr>
        <w:t>1,2</w:t>
      </w:r>
      <w:r w:rsidRPr="004B2E30">
        <w:rPr>
          <w:rFonts w:ascii="Times New Roman" w:hAnsi="Times New Roman" w:hint="eastAsia"/>
          <w:sz w:val="24"/>
          <w:szCs w:val="24"/>
          <w:lang w:val="fr-FR"/>
        </w:rPr>
        <w:t>, Xu Zhang</w:t>
      </w:r>
      <w:r w:rsidRPr="004B2E30">
        <w:rPr>
          <w:rFonts w:ascii="Times New Roman" w:hAnsi="Times New Roman" w:hint="eastAsia"/>
          <w:sz w:val="24"/>
          <w:szCs w:val="24"/>
          <w:vertAlign w:val="superscript"/>
          <w:lang w:val="fr-FR"/>
        </w:rPr>
        <w:t>2</w:t>
      </w:r>
      <w:r w:rsidRPr="004B2E30">
        <w:rPr>
          <w:rFonts w:ascii="Times New Roman" w:hAnsi="Times New Roman" w:hint="eastAsia"/>
          <w:sz w:val="24"/>
          <w:szCs w:val="24"/>
          <w:lang w:val="fr-FR"/>
        </w:rPr>
        <w:t>, Gang Lu</w:t>
      </w:r>
      <w:r w:rsidRPr="004B2E30">
        <w:rPr>
          <w:rFonts w:ascii="Times New Roman" w:hAnsi="Times New Roman" w:hint="eastAsia"/>
          <w:sz w:val="24"/>
          <w:szCs w:val="24"/>
          <w:vertAlign w:val="superscript"/>
          <w:lang w:val="fr-FR"/>
        </w:rPr>
        <w:t>2</w:t>
      </w:r>
    </w:p>
    <w:p w14:paraId="36A57175" w14:textId="77777777" w:rsidR="00091462" w:rsidRPr="004B2E30" w:rsidRDefault="00091462" w:rsidP="004B2E30">
      <w:pPr>
        <w:jc w:val="center"/>
        <w:rPr>
          <w:rFonts w:ascii="Times New Roman" w:hAnsi="Times New Roman"/>
          <w:sz w:val="24"/>
          <w:szCs w:val="24"/>
          <w:vertAlign w:val="superscript"/>
          <w:lang w:val="fr-FR"/>
        </w:rPr>
      </w:pPr>
    </w:p>
    <w:p w14:paraId="1D0D7DC2" w14:textId="77777777" w:rsidR="004B2E30" w:rsidRPr="004B2E30" w:rsidRDefault="004B2E30" w:rsidP="004B2E30">
      <w:pPr>
        <w:jc w:val="center"/>
        <w:rPr>
          <w:rFonts w:ascii="Times New Roman" w:hAnsi="Times New Roman"/>
          <w:i/>
          <w:iCs/>
          <w:sz w:val="24"/>
          <w:szCs w:val="24"/>
        </w:rPr>
      </w:pPr>
      <w:r w:rsidRPr="004B2E30">
        <w:rPr>
          <w:rFonts w:ascii="Times New Roman" w:hAnsi="Times New Roman" w:hint="eastAsia"/>
          <w:i/>
          <w:iCs/>
          <w:sz w:val="24"/>
          <w:szCs w:val="24"/>
          <w:vertAlign w:val="superscript"/>
        </w:rPr>
        <w:t>1</w:t>
      </w:r>
      <w:r w:rsidRPr="004B2E30">
        <w:rPr>
          <w:rFonts w:ascii="Times New Roman" w:hAnsi="Times New Roman" w:hint="eastAsia"/>
          <w:i/>
          <w:iCs/>
          <w:sz w:val="24"/>
          <w:szCs w:val="24"/>
        </w:rPr>
        <w:t>School of Physics, Zhejiang University, Hangzhou 310058, P. R. China</w:t>
      </w:r>
    </w:p>
    <w:p w14:paraId="299E3420" w14:textId="77777777" w:rsidR="004B2E30" w:rsidRPr="004B2E30" w:rsidRDefault="004B2E30" w:rsidP="004B2E30">
      <w:pPr>
        <w:jc w:val="center"/>
        <w:rPr>
          <w:rFonts w:ascii="Times New Roman" w:hAnsi="Times New Roman"/>
          <w:i/>
          <w:iCs/>
          <w:sz w:val="24"/>
          <w:szCs w:val="24"/>
        </w:rPr>
      </w:pPr>
      <w:r w:rsidRPr="004B2E30">
        <w:rPr>
          <w:rFonts w:ascii="Times New Roman" w:hAnsi="Times New Roman" w:hint="eastAsia"/>
          <w:i/>
          <w:iCs/>
          <w:sz w:val="24"/>
          <w:szCs w:val="24"/>
          <w:vertAlign w:val="superscript"/>
        </w:rPr>
        <w:t>2</w:t>
      </w:r>
      <w:r w:rsidRPr="004B2E30">
        <w:rPr>
          <w:rFonts w:ascii="Times New Roman" w:hAnsi="Times New Roman" w:hint="eastAsia"/>
          <w:i/>
          <w:iCs/>
          <w:sz w:val="24"/>
          <w:szCs w:val="24"/>
        </w:rPr>
        <w:t>Department of Physics and Astronomy, California State University Northridge, Northridge, California 91330-8268, United States</w:t>
      </w:r>
    </w:p>
    <w:p w14:paraId="35426F64" w14:textId="2A787F8C" w:rsidR="004B2E30" w:rsidRPr="004B2E30" w:rsidRDefault="004B2E30" w:rsidP="004B2E30">
      <w:pPr>
        <w:jc w:val="center"/>
        <w:rPr>
          <w:rFonts w:ascii="Times New Roman" w:hAnsi="Times New Roman"/>
          <w:i/>
          <w:iCs/>
          <w:sz w:val="24"/>
          <w:szCs w:val="24"/>
        </w:rPr>
      </w:pPr>
      <w:r w:rsidRPr="004B2E30">
        <w:rPr>
          <w:rFonts w:ascii="Times New Roman" w:hAnsi="Times New Roman" w:hint="eastAsia"/>
          <w:i/>
          <w:iCs/>
          <w:sz w:val="24"/>
          <w:szCs w:val="24"/>
        </w:rPr>
        <w:t xml:space="preserve">Email: </w:t>
      </w:r>
      <w:hyperlink r:id="rId8" w:history="1">
        <w:r w:rsidRPr="004B2E30">
          <w:rPr>
            <w:rStyle w:val="Hyperlink"/>
            <w:rFonts w:ascii="Times New Roman" w:hAnsi="Times New Roman" w:hint="eastAsia"/>
            <w:i/>
            <w:iCs/>
            <w:sz w:val="24"/>
            <w:szCs w:val="24"/>
          </w:rPr>
          <w:t>hongliguo@zju.edu.cn</w:t>
        </w:r>
      </w:hyperlink>
      <w:r w:rsidRPr="004B2E30">
        <w:rPr>
          <w:rFonts w:ascii="Times New Roman" w:hAnsi="Times New Roman"/>
          <w:i/>
          <w:iCs/>
          <w:sz w:val="24"/>
          <w:szCs w:val="24"/>
        </w:rPr>
        <w:t xml:space="preserve"> </w:t>
      </w:r>
    </w:p>
    <w:p w14:paraId="3941A6EA" w14:textId="77777777" w:rsidR="004B2E30" w:rsidRDefault="004B2E30" w:rsidP="004B2E30">
      <w:pPr>
        <w:rPr>
          <w:rFonts w:ascii="Times New Roman" w:hAnsi="Times New Roman"/>
          <w:i/>
          <w:iCs/>
          <w:szCs w:val="21"/>
        </w:rPr>
      </w:pPr>
    </w:p>
    <w:p w14:paraId="50B818E8" w14:textId="15715E77" w:rsidR="004B2E30" w:rsidRDefault="004B2E30" w:rsidP="004B2E30">
      <w:pPr>
        <w:rPr>
          <w:rFonts w:ascii="Times New Roman" w:hAnsi="Times New Roman"/>
          <w:szCs w:val="21"/>
          <w:vertAlign w:val="superscript"/>
        </w:rPr>
      </w:pPr>
      <w:r>
        <w:rPr>
          <w:noProof/>
        </w:rPr>
        <w:drawing>
          <wp:inline distT="0" distB="0" distL="114300" distR="114300" wp14:anchorId="43C7A8BB" wp14:editId="2561C4BA">
            <wp:extent cx="2046809" cy="1634151"/>
            <wp:effectExtent l="0" t="0" r="0" b="4445"/>
            <wp:docPr id="7" name="Picture 6" descr="A diagram of a diamond with different colored circl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diamond with different colored circles and numbers&#10;&#10;AI-generated content may be incorrect."/>
                    <pic:cNvPicPr>
                      <a:picLocks noChangeAspect="1"/>
                    </pic:cNvPicPr>
                  </pic:nvPicPr>
                  <pic:blipFill>
                    <a:blip r:embed="rId9"/>
                    <a:stretch>
                      <a:fillRect/>
                    </a:stretch>
                  </pic:blipFill>
                  <pic:spPr>
                    <a:xfrm>
                      <a:off x="0" y="0"/>
                      <a:ext cx="2074309" cy="1656107"/>
                    </a:xfrm>
                    <a:prstGeom prst="rect">
                      <a:avLst/>
                    </a:prstGeom>
                  </pic:spPr>
                </pic:pic>
              </a:graphicData>
            </a:graphic>
          </wp:inline>
        </w:drawing>
      </w:r>
      <w:r>
        <w:rPr>
          <w:noProof/>
        </w:rPr>
        <w:drawing>
          <wp:inline distT="0" distB="0" distL="114300" distR="114300" wp14:anchorId="0207DBAC" wp14:editId="4E001785">
            <wp:extent cx="2230215" cy="1652257"/>
            <wp:effectExtent l="0" t="0" r="0" b="5715"/>
            <wp:docPr id="5" name="图片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A diagram of a graph&#10;&#10;AI-generated content may be incorrect."/>
                    <pic:cNvPicPr>
                      <a:picLocks noChangeAspect="1"/>
                    </pic:cNvPicPr>
                  </pic:nvPicPr>
                  <pic:blipFill>
                    <a:blip r:embed="rId10"/>
                    <a:stretch>
                      <a:fillRect/>
                    </a:stretch>
                  </pic:blipFill>
                  <pic:spPr>
                    <a:xfrm>
                      <a:off x="0" y="0"/>
                      <a:ext cx="2255876" cy="1671268"/>
                    </a:xfrm>
                    <a:prstGeom prst="rect">
                      <a:avLst/>
                    </a:prstGeom>
                    <a:noFill/>
                    <a:ln>
                      <a:noFill/>
                    </a:ln>
                  </pic:spPr>
                </pic:pic>
              </a:graphicData>
            </a:graphic>
          </wp:inline>
        </w:drawing>
      </w:r>
      <w:r>
        <w:rPr>
          <w:rFonts w:ascii="Times New Roman" w:hAnsi="Times New Roman"/>
          <w:noProof/>
          <w:szCs w:val="21"/>
          <w:vertAlign w:val="superscript"/>
        </w:rPr>
        <w:drawing>
          <wp:inline distT="0" distB="0" distL="114300" distR="114300" wp14:anchorId="7965C6BE" wp14:editId="7FF55D07">
            <wp:extent cx="1661311" cy="1661311"/>
            <wp:effectExtent l="0" t="0" r="0" b="0"/>
            <wp:docPr id="3" name="图片 3" descr="Hongli-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ongli-photo"/>
                    <pic:cNvPicPr>
                      <a:picLocks noChangeAspect="1"/>
                    </pic:cNvPicPr>
                  </pic:nvPicPr>
                  <pic:blipFill>
                    <a:blip r:embed="rId11"/>
                    <a:stretch>
                      <a:fillRect/>
                    </a:stretch>
                  </pic:blipFill>
                  <pic:spPr>
                    <a:xfrm>
                      <a:off x="0" y="0"/>
                      <a:ext cx="1675937" cy="1675937"/>
                    </a:xfrm>
                    <a:prstGeom prst="rect">
                      <a:avLst/>
                    </a:prstGeom>
                  </pic:spPr>
                </pic:pic>
              </a:graphicData>
            </a:graphic>
          </wp:inline>
        </w:drawing>
      </w:r>
    </w:p>
    <w:p w14:paraId="47C369AA" w14:textId="77777777" w:rsidR="004B2E30" w:rsidRDefault="004B2E30" w:rsidP="004B2E30">
      <w:pPr>
        <w:ind w:firstLineChars="300" w:firstLine="720"/>
        <w:rPr>
          <w:rFonts w:ascii="Times New Roman" w:hAnsi="Times New Roman"/>
          <w:sz w:val="24"/>
          <w:szCs w:val="24"/>
        </w:rPr>
      </w:pPr>
    </w:p>
    <w:p w14:paraId="40AE033E" w14:textId="690A35EB" w:rsidR="004B2E30" w:rsidRPr="004B2E30" w:rsidRDefault="004B2E30" w:rsidP="004B2E30">
      <w:pPr>
        <w:ind w:firstLineChars="300" w:firstLine="720"/>
        <w:rPr>
          <w:rFonts w:ascii="Times New Roman" w:hAnsi="Times New Roman"/>
          <w:sz w:val="24"/>
          <w:szCs w:val="24"/>
        </w:rPr>
      </w:pPr>
      <w:r w:rsidRPr="004B2E30">
        <w:rPr>
          <w:rFonts w:ascii="Times New Roman" w:hAnsi="Times New Roman"/>
          <w:sz w:val="24"/>
          <w:szCs w:val="24"/>
        </w:rPr>
        <w:t xml:space="preserve">By combining linear-response time-dependent density-functional theory (LR-TDDFT) with </w:t>
      </w:r>
      <w:r w:rsidRPr="004B2E30">
        <w:rPr>
          <w:rFonts w:ascii="Times New Roman" w:hAnsi="Times New Roman" w:hint="eastAsia"/>
          <w:sz w:val="24"/>
          <w:szCs w:val="24"/>
        </w:rPr>
        <w:t>range separated</w:t>
      </w:r>
      <w:r w:rsidRPr="004B2E30">
        <w:rPr>
          <w:rFonts w:ascii="Times New Roman" w:hAnsi="Times New Roman"/>
          <w:sz w:val="24"/>
          <w:szCs w:val="24"/>
        </w:rPr>
        <w:t xml:space="preserve"> hybrid functional, we overcome the difficulty of accurately treating excitonic effects at large scales and successfully compute the key properties of moiré excitons in twisted materials containing more than 2,000 atoms. These properties include exciton energy, dispersion, spatial localization, polarity, and optical absorption, as well as their tunability through external and structural control. Our theoretical analysis also predicts a variety of mechanisms for manipulating moiré exciton states, offering useful design guidelines for optoelectronic and quantum-photonic devices.We further propose a mechanism to realize high-temperature intralayer exciton Bose–Einstein condensation (BEC) using chemical doping. Our results reveal the essential roles of the moiré potential and exciton interactions in exciton condensation and provide key physical parameters and phase diagrams that can guide the search for optimal materials.</w:t>
      </w:r>
      <w:r w:rsidRPr="004B2E30">
        <w:rPr>
          <w:rFonts w:ascii="Times New Roman" w:hAnsi="Times New Roman" w:hint="eastAsia"/>
          <w:sz w:val="24"/>
          <w:szCs w:val="24"/>
        </w:rPr>
        <w:t xml:space="preserve"> </w:t>
      </w:r>
      <w:r w:rsidRPr="004B2E30">
        <w:rPr>
          <w:rFonts w:ascii="Times New Roman" w:hAnsi="Times New Roman"/>
          <w:sz w:val="24"/>
          <w:szCs w:val="24"/>
        </w:rPr>
        <w:t>To capture ultrafast dynamics, we integrate LR-TDDFT with nonadiabatic molecular dynamics, allowing us to include many-body effects while maintaining computational feasibility for large systems. For moiré excitons in black phosphorus, we obtain time- and space-resolved exciton dynamics, revealing charge and energy transfer processes involved in bright–dark exciton conversion. We determine exciton transfer times and lifetimes and uncover the significant effects of electron–hole interactions and exciton–phonon coupling on exciton transport and relaxation.</w:t>
      </w:r>
    </w:p>
    <w:p w14:paraId="6D153386" w14:textId="77777777" w:rsidR="004B2E30" w:rsidRDefault="004B2E30" w:rsidP="004B2E30">
      <w:pPr>
        <w:ind w:firstLineChars="300" w:firstLine="720"/>
        <w:rPr>
          <w:rStyle w:val="Strong"/>
          <w:rFonts w:ascii="Times New Roman" w:hAnsi="Times New Roman"/>
          <w:sz w:val="24"/>
          <w:szCs w:val="24"/>
          <w:lang w:val="fr-FR"/>
        </w:rPr>
      </w:pPr>
      <w:r w:rsidRPr="004B7945">
        <w:rPr>
          <w:rFonts w:ascii="Times New Roman" w:hAnsi="Times New Roman"/>
          <w:sz w:val="24"/>
          <w:szCs w:val="24"/>
          <w:lang w:val="fr-FR"/>
        </w:rPr>
        <w:br/>
      </w:r>
      <w:r w:rsidRPr="004B2E30">
        <w:rPr>
          <w:rStyle w:val="Strong"/>
          <w:rFonts w:ascii="Times New Roman" w:hAnsi="Times New Roman"/>
          <w:sz w:val="24"/>
          <w:szCs w:val="24"/>
          <w:lang w:val="fr-FR"/>
        </w:rPr>
        <w:t>References</w:t>
      </w:r>
      <w:r>
        <w:rPr>
          <w:rStyle w:val="Strong"/>
          <w:rFonts w:ascii="Times New Roman" w:hAnsi="Times New Roman"/>
          <w:sz w:val="24"/>
          <w:szCs w:val="24"/>
          <w:lang w:val="fr-FR"/>
        </w:rPr>
        <w:t> :</w:t>
      </w:r>
    </w:p>
    <w:p w14:paraId="745B56A9" w14:textId="7CA550AF" w:rsidR="004B2E30" w:rsidRDefault="004B2E30" w:rsidP="004B2E30">
      <w:pPr>
        <w:ind w:firstLineChars="300" w:firstLine="720"/>
        <w:rPr>
          <w:rFonts w:ascii="Times New Roman" w:hAnsi="Times New Roman"/>
          <w:sz w:val="24"/>
          <w:szCs w:val="24"/>
          <w:lang w:val="fr-FR"/>
        </w:rPr>
      </w:pPr>
      <w:r w:rsidRPr="004B2E30">
        <w:rPr>
          <w:rFonts w:ascii="Times New Roman" w:hAnsi="Times New Roman"/>
          <w:sz w:val="24"/>
          <w:szCs w:val="24"/>
          <w:lang w:val="fr-FR"/>
        </w:rPr>
        <w:br/>
        <w:t xml:space="preserve">[1] Guo et al., </w:t>
      </w:r>
      <w:r w:rsidRPr="004B2E30">
        <w:rPr>
          <w:rStyle w:val="Emphasis"/>
          <w:rFonts w:ascii="Times New Roman" w:hAnsi="Times New Roman"/>
          <w:sz w:val="24"/>
          <w:szCs w:val="24"/>
          <w:lang w:val="fr-FR"/>
        </w:rPr>
        <w:t>Science Advances</w:t>
      </w:r>
      <w:r w:rsidRPr="004B2E30">
        <w:rPr>
          <w:rFonts w:ascii="Times New Roman" w:hAnsi="Times New Roman"/>
          <w:sz w:val="24"/>
          <w:szCs w:val="24"/>
          <w:lang w:val="fr-FR"/>
        </w:rPr>
        <w:t xml:space="preserve"> </w:t>
      </w:r>
      <w:r w:rsidRPr="004B2E30">
        <w:rPr>
          <w:rStyle w:val="Strong"/>
          <w:rFonts w:ascii="Times New Roman" w:hAnsi="Times New Roman"/>
          <w:sz w:val="24"/>
          <w:szCs w:val="24"/>
          <w:lang w:val="fr-FR"/>
        </w:rPr>
        <w:t>6</w:t>
      </w:r>
      <w:r w:rsidRPr="004B2E30">
        <w:rPr>
          <w:rFonts w:ascii="Times New Roman" w:hAnsi="Times New Roman"/>
          <w:sz w:val="24"/>
          <w:szCs w:val="24"/>
          <w:lang w:val="fr-FR"/>
        </w:rPr>
        <w:t>, eabc5638 (2020).</w:t>
      </w:r>
    </w:p>
    <w:p w14:paraId="18691C71" w14:textId="50EAC1C0" w:rsidR="004B2E30" w:rsidRPr="00994A1C" w:rsidRDefault="004B2E30" w:rsidP="004B2E30">
      <w:pPr>
        <w:rPr>
          <w:rFonts w:ascii="Times New Roman" w:hAnsi="Times New Roman"/>
          <w:sz w:val="24"/>
          <w:szCs w:val="24"/>
          <w:lang w:val="fr-FR"/>
        </w:rPr>
      </w:pPr>
      <w:r w:rsidRPr="00994A1C">
        <w:rPr>
          <w:rFonts w:ascii="Times New Roman" w:hAnsi="Times New Roman"/>
          <w:sz w:val="24"/>
          <w:szCs w:val="24"/>
          <w:lang w:val="fr-FR"/>
        </w:rPr>
        <w:t xml:space="preserve">[2] Guo et al., </w:t>
      </w:r>
      <w:r w:rsidRPr="00994A1C">
        <w:rPr>
          <w:rStyle w:val="Emphasis"/>
          <w:rFonts w:ascii="Times New Roman" w:hAnsi="Times New Roman"/>
          <w:sz w:val="24"/>
          <w:szCs w:val="24"/>
          <w:lang w:val="fr-FR"/>
        </w:rPr>
        <w:t>PNAS</w:t>
      </w:r>
      <w:r w:rsidRPr="00994A1C">
        <w:rPr>
          <w:rFonts w:ascii="Times New Roman" w:hAnsi="Times New Roman"/>
          <w:sz w:val="24"/>
          <w:szCs w:val="24"/>
          <w:lang w:val="fr-FR"/>
        </w:rPr>
        <w:t xml:space="preserve"> </w:t>
      </w:r>
      <w:r w:rsidRPr="00994A1C">
        <w:rPr>
          <w:rStyle w:val="Strong"/>
          <w:rFonts w:ascii="Times New Roman" w:hAnsi="Times New Roman"/>
          <w:sz w:val="24"/>
          <w:szCs w:val="24"/>
          <w:lang w:val="fr-FR"/>
        </w:rPr>
        <w:t>118</w:t>
      </w:r>
      <w:r w:rsidRPr="00994A1C">
        <w:rPr>
          <w:rFonts w:ascii="Times New Roman" w:hAnsi="Times New Roman"/>
          <w:sz w:val="24"/>
          <w:szCs w:val="24"/>
          <w:lang w:val="fr-FR"/>
        </w:rPr>
        <w:t xml:space="preserve"> (32), e2105468118 (2021).</w:t>
      </w:r>
    </w:p>
    <w:p w14:paraId="00E27102" w14:textId="0BAEEDF0" w:rsidR="004B2E30" w:rsidRDefault="004B2E30" w:rsidP="004B2E30">
      <w:pPr>
        <w:rPr>
          <w:rFonts w:ascii="Times New Roman" w:hAnsi="Times New Roman"/>
          <w:sz w:val="24"/>
          <w:szCs w:val="24"/>
          <w:lang w:val="fr-FR"/>
        </w:rPr>
      </w:pPr>
      <w:r w:rsidRPr="004B2E30">
        <w:rPr>
          <w:rFonts w:ascii="Times New Roman" w:hAnsi="Times New Roman"/>
          <w:sz w:val="24"/>
          <w:szCs w:val="24"/>
          <w:lang w:val="fr-FR"/>
        </w:rPr>
        <w:t xml:space="preserve">[3] Guo et al., </w:t>
      </w:r>
      <w:r w:rsidRPr="004B2E30">
        <w:rPr>
          <w:rStyle w:val="Emphasis"/>
          <w:rFonts w:ascii="Times New Roman" w:hAnsi="Times New Roman"/>
          <w:sz w:val="24"/>
          <w:szCs w:val="24"/>
          <w:lang w:val="fr-FR"/>
        </w:rPr>
        <w:t>Science Advances</w:t>
      </w:r>
      <w:r w:rsidRPr="004B2E30">
        <w:rPr>
          <w:rFonts w:ascii="Times New Roman" w:hAnsi="Times New Roman"/>
          <w:sz w:val="24"/>
          <w:szCs w:val="24"/>
          <w:lang w:val="fr-FR"/>
        </w:rPr>
        <w:t xml:space="preserve"> </w:t>
      </w:r>
      <w:r w:rsidRPr="004B2E30">
        <w:rPr>
          <w:rStyle w:val="Strong"/>
          <w:rFonts w:ascii="Times New Roman" w:hAnsi="Times New Roman"/>
          <w:sz w:val="24"/>
          <w:szCs w:val="24"/>
          <w:lang w:val="fr-FR"/>
        </w:rPr>
        <w:t>8</w:t>
      </w:r>
      <w:r w:rsidRPr="004B2E30">
        <w:rPr>
          <w:rFonts w:ascii="Times New Roman" w:hAnsi="Times New Roman"/>
          <w:sz w:val="24"/>
          <w:szCs w:val="24"/>
          <w:lang w:val="fr-FR"/>
        </w:rPr>
        <w:t xml:space="preserve"> (40), eabp9757 (2022).</w:t>
      </w:r>
    </w:p>
    <w:p w14:paraId="41A0645B" w14:textId="0A1611A0" w:rsidR="004B2E30" w:rsidRPr="004B2E30" w:rsidRDefault="004B2E30" w:rsidP="004B2E30">
      <w:pPr>
        <w:rPr>
          <w:rFonts w:ascii="Times New Roman" w:hAnsi="Times New Roman"/>
          <w:sz w:val="24"/>
          <w:szCs w:val="24"/>
          <w:lang w:val="fr-FR"/>
        </w:rPr>
      </w:pPr>
      <w:r w:rsidRPr="004B2E30">
        <w:rPr>
          <w:rFonts w:ascii="Times New Roman" w:hAnsi="Times New Roman"/>
          <w:sz w:val="24"/>
          <w:szCs w:val="24"/>
          <w:lang w:val="fr-FR"/>
        </w:rPr>
        <w:t xml:space="preserve">[4] Guo et al., </w:t>
      </w:r>
      <w:r w:rsidRPr="004B2E30">
        <w:rPr>
          <w:rStyle w:val="Emphasis"/>
          <w:rFonts w:ascii="Times New Roman" w:hAnsi="Times New Roman"/>
          <w:sz w:val="24"/>
          <w:szCs w:val="24"/>
          <w:lang w:val="fr-FR"/>
        </w:rPr>
        <w:t>Science Advances</w:t>
      </w:r>
      <w:r w:rsidRPr="004B2E30">
        <w:rPr>
          <w:rFonts w:ascii="Times New Roman" w:hAnsi="Times New Roman"/>
          <w:sz w:val="24"/>
          <w:szCs w:val="24"/>
          <w:lang w:val="fr-FR"/>
        </w:rPr>
        <w:t xml:space="preserve"> </w:t>
      </w:r>
      <w:r w:rsidRPr="004B2E30">
        <w:rPr>
          <w:rStyle w:val="Strong"/>
          <w:rFonts w:ascii="Times New Roman" w:hAnsi="Times New Roman"/>
          <w:sz w:val="24"/>
          <w:szCs w:val="24"/>
          <w:lang w:val="fr-FR"/>
        </w:rPr>
        <w:t>9</w:t>
      </w:r>
      <w:r w:rsidRPr="004B2E30">
        <w:rPr>
          <w:rFonts w:ascii="Times New Roman" w:hAnsi="Times New Roman"/>
          <w:sz w:val="24"/>
          <w:szCs w:val="24"/>
          <w:lang w:val="fr-FR"/>
        </w:rPr>
        <w:t xml:space="preserve"> (29), eadi5404 (2023).</w:t>
      </w:r>
    </w:p>
    <w:p w14:paraId="4136DC5D" w14:textId="77777777" w:rsidR="004B2E30" w:rsidRPr="004B2E30" w:rsidRDefault="004B2E30" w:rsidP="004B2E30">
      <w:pPr>
        <w:rPr>
          <w:rFonts w:ascii="Times New Roman" w:hAnsi="Times New Roman"/>
          <w:lang w:val="fr-FR"/>
        </w:rPr>
      </w:pPr>
    </w:p>
    <w:p w14:paraId="70B0A570" w14:textId="77777777" w:rsidR="004B2E30" w:rsidRPr="004B2E30" w:rsidRDefault="004B2E30" w:rsidP="004B2E30">
      <w:pPr>
        <w:rPr>
          <w:rFonts w:ascii="Times New Roman" w:hAnsi="Times New Roman"/>
          <w:lang w:val="fr-FR"/>
        </w:rPr>
      </w:pPr>
    </w:p>
    <w:p w14:paraId="3EEE31E8" w14:textId="61668673" w:rsidR="00A15BE3" w:rsidRPr="00A15BE3" w:rsidRDefault="00A15BE3" w:rsidP="00A15BE3">
      <w:pPr>
        <w:spacing w:line="276" w:lineRule="auto"/>
        <w:jc w:val="center"/>
        <w:rPr>
          <w:rFonts w:ascii="Times New Roman" w:hAnsi="Times New Roman"/>
          <w:b/>
          <w:bCs/>
          <w:sz w:val="28"/>
          <w:szCs w:val="28"/>
        </w:rPr>
      </w:pPr>
      <w:r w:rsidRPr="00A15BE3">
        <w:rPr>
          <w:rFonts w:ascii="Times New Roman" w:hAnsi="Times New Roman"/>
          <w:b/>
          <w:bCs/>
          <w:sz w:val="28"/>
          <w:szCs w:val="28"/>
        </w:rPr>
        <w:lastRenderedPageBreak/>
        <w:t>Inter(Intra)molecular Singlet Fission Study Using GronOR Non-Orthogonal Configuration Interaction Method</w:t>
      </w:r>
    </w:p>
    <w:p w14:paraId="52FD5F0E" w14:textId="2EB96AD0" w:rsidR="00A15BE3" w:rsidRDefault="00A15BE3" w:rsidP="00A15BE3">
      <w:pPr>
        <w:spacing w:line="276" w:lineRule="auto"/>
        <w:jc w:val="center"/>
        <w:rPr>
          <w:rFonts w:ascii="Times New Roman" w:hAnsi="Times New Roman"/>
          <w:sz w:val="24"/>
          <w:szCs w:val="24"/>
          <w:vertAlign w:val="superscript"/>
        </w:rPr>
      </w:pPr>
      <w:r w:rsidRPr="00A15BE3">
        <w:rPr>
          <w:rFonts w:ascii="Times New Roman" w:hAnsi="Times New Roman"/>
          <w:sz w:val="24"/>
          <w:szCs w:val="24"/>
          <w:u w:val="single"/>
        </w:rPr>
        <w:t>Xinju</w:t>
      </w:r>
      <w:r w:rsidR="004B2E30">
        <w:rPr>
          <w:rFonts w:ascii="Times New Roman" w:hAnsi="Times New Roman"/>
          <w:sz w:val="24"/>
          <w:szCs w:val="24"/>
          <w:u w:val="single"/>
        </w:rPr>
        <w:t xml:space="preserve"> </w:t>
      </w:r>
      <w:r w:rsidRPr="00A15BE3">
        <w:rPr>
          <w:rFonts w:ascii="Times New Roman" w:hAnsi="Times New Roman"/>
          <w:sz w:val="24"/>
          <w:szCs w:val="24"/>
          <w:u w:val="single"/>
        </w:rPr>
        <w:t>(Spancer) Dong</w:t>
      </w:r>
      <w:r>
        <w:rPr>
          <w:rFonts w:ascii="Times New Roman" w:hAnsi="Times New Roman"/>
          <w:sz w:val="24"/>
          <w:szCs w:val="24"/>
          <w:u w:val="single"/>
        </w:rPr>
        <w:t>,</w:t>
      </w:r>
      <w:r w:rsidRPr="00A15BE3">
        <w:rPr>
          <w:rFonts w:ascii="Times New Roman" w:hAnsi="Times New Roman"/>
          <w:sz w:val="24"/>
          <w:szCs w:val="24"/>
          <w:vertAlign w:val="superscript"/>
        </w:rPr>
        <w:t>1</w:t>
      </w:r>
      <w:r w:rsidRPr="00A15BE3">
        <w:rPr>
          <w:rFonts w:ascii="Times New Roman" w:hAnsi="Times New Roman"/>
          <w:sz w:val="24"/>
          <w:szCs w:val="24"/>
        </w:rPr>
        <w:t xml:space="preserve"> Coen de Graaf</w:t>
      </w:r>
      <w:r>
        <w:rPr>
          <w:rFonts w:ascii="Times New Roman" w:hAnsi="Times New Roman"/>
          <w:sz w:val="24"/>
          <w:szCs w:val="24"/>
        </w:rPr>
        <w:t>,</w:t>
      </w:r>
      <w:r w:rsidRPr="00A15BE3">
        <w:rPr>
          <w:rFonts w:ascii="Times New Roman" w:hAnsi="Times New Roman"/>
          <w:sz w:val="24"/>
          <w:szCs w:val="24"/>
          <w:vertAlign w:val="superscript"/>
        </w:rPr>
        <w:t>2,3</w:t>
      </w:r>
      <w:r w:rsidRPr="00A15BE3">
        <w:rPr>
          <w:rFonts w:ascii="Times New Roman" w:hAnsi="Times New Roman"/>
          <w:sz w:val="24"/>
          <w:szCs w:val="24"/>
        </w:rPr>
        <w:t xml:space="preserve"> Ria Broer</w:t>
      </w:r>
      <w:r>
        <w:rPr>
          <w:rFonts w:ascii="Times New Roman" w:hAnsi="Times New Roman"/>
          <w:sz w:val="24"/>
          <w:szCs w:val="24"/>
        </w:rPr>
        <w:t>,</w:t>
      </w:r>
      <w:r w:rsidRPr="00A15BE3">
        <w:rPr>
          <w:rFonts w:ascii="Times New Roman" w:hAnsi="Times New Roman"/>
          <w:sz w:val="24"/>
          <w:szCs w:val="24"/>
          <w:vertAlign w:val="superscript"/>
        </w:rPr>
        <w:t>4</w:t>
      </w:r>
      <w:r w:rsidRPr="00A15BE3">
        <w:rPr>
          <w:rFonts w:ascii="Times New Roman" w:hAnsi="Times New Roman"/>
          <w:sz w:val="24"/>
          <w:szCs w:val="24"/>
        </w:rPr>
        <w:t xml:space="preserve"> Carmen Sousa</w:t>
      </w:r>
      <w:r>
        <w:rPr>
          <w:rFonts w:ascii="Times New Roman" w:hAnsi="Times New Roman"/>
          <w:sz w:val="24"/>
          <w:szCs w:val="24"/>
        </w:rPr>
        <w:t>,</w:t>
      </w:r>
      <w:r w:rsidRPr="00A15BE3">
        <w:rPr>
          <w:rFonts w:ascii="Times New Roman" w:hAnsi="Times New Roman"/>
          <w:sz w:val="24"/>
          <w:szCs w:val="24"/>
          <w:vertAlign w:val="superscript"/>
        </w:rPr>
        <w:t>5</w:t>
      </w:r>
      <w:r w:rsidRPr="00A15BE3">
        <w:rPr>
          <w:rFonts w:ascii="Times New Roman" w:hAnsi="Times New Roman"/>
          <w:sz w:val="24"/>
          <w:szCs w:val="24"/>
        </w:rPr>
        <w:t xml:space="preserve"> Jordi Ribas</w:t>
      </w:r>
      <w:r>
        <w:rPr>
          <w:rFonts w:ascii="Times New Roman" w:hAnsi="Times New Roman"/>
          <w:sz w:val="24"/>
          <w:szCs w:val="24"/>
        </w:rPr>
        <w:t>,</w:t>
      </w:r>
      <w:r w:rsidRPr="00A15BE3">
        <w:rPr>
          <w:rFonts w:ascii="Times New Roman" w:hAnsi="Times New Roman"/>
          <w:sz w:val="24"/>
          <w:szCs w:val="24"/>
          <w:vertAlign w:val="superscript"/>
        </w:rPr>
        <w:t>5</w:t>
      </w:r>
      <w:r w:rsidRPr="00A15BE3">
        <w:rPr>
          <w:rFonts w:ascii="Times New Roman" w:hAnsi="Times New Roman"/>
          <w:sz w:val="24"/>
          <w:szCs w:val="24"/>
        </w:rPr>
        <w:t xml:space="preserve"> Xavier López</w:t>
      </w:r>
      <w:r>
        <w:rPr>
          <w:rFonts w:ascii="Times New Roman" w:hAnsi="Times New Roman"/>
          <w:sz w:val="24"/>
          <w:szCs w:val="24"/>
        </w:rPr>
        <w:t>,</w:t>
      </w:r>
      <w:r w:rsidRPr="00A15BE3">
        <w:rPr>
          <w:rFonts w:ascii="Times New Roman" w:hAnsi="Times New Roman"/>
          <w:sz w:val="24"/>
          <w:szCs w:val="24"/>
          <w:vertAlign w:val="superscript"/>
        </w:rPr>
        <w:t>2</w:t>
      </w:r>
      <w:r w:rsidRPr="00A15BE3">
        <w:rPr>
          <w:rFonts w:ascii="Times New Roman" w:hAnsi="Times New Roman"/>
          <w:sz w:val="24"/>
          <w:szCs w:val="24"/>
        </w:rPr>
        <w:t xml:space="preserve"> Tjerk Straatsma</w:t>
      </w:r>
      <w:r w:rsidRPr="00A15BE3">
        <w:rPr>
          <w:rFonts w:ascii="Times New Roman" w:hAnsi="Times New Roman"/>
          <w:sz w:val="24"/>
          <w:szCs w:val="24"/>
          <w:vertAlign w:val="superscript"/>
        </w:rPr>
        <w:t>1,6</w:t>
      </w:r>
    </w:p>
    <w:p w14:paraId="5D348AC1" w14:textId="77777777" w:rsidR="00A15BE3" w:rsidRPr="00A15BE3" w:rsidRDefault="00A15BE3" w:rsidP="00A15BE3">
      <w:pPr>
        <w:spacing w:line="276" w:lineRule="auto"/>
        <w:jc w:val="center"/>
        <w:rPr>
          <w:rFonts w:ascii="Times New Roman" w:hAnsi="Times New Roman"/>
          <w:i/>
          <w:iCs/>
          <w:sz w:val="24"/>
          <w:szCs w:val="24"/>
        </w:rPr>
      </w:pPr>
      <w:r w:rsidRPr="00A15BE3">
        <w:rPr>
          <w:rFonts w:ascii="Times New Roman" w:hAnsi="Times New Roman"/>
          <w:i/>
          <w:iCs/>
          <w:sz w:val="24"/>
          <w:szCs w:val="24"/>
        </w:rPr>
        <w:t>1). Oak Ridge National Laboratory, Oak Ridge, TN, USA. 2) Universitat Rovira i Virgili, Tarragona, Spain 3) ICREA, Barecelona, Spain. 4) University of</w:t>
      </w:r>
    </w:p>
    <w:p w14:paraId="43BBF2D1" w14:textId="77777777" w:rsidR="00A15BE3" w:rsidRPr="00A15BE3" w:rsidRDefault="00A15BE3" w:rsidP="00A15BE3">
      <w:pPr>
        <w:spacing w:line="276" w:lineRule="auto"/>
        <w:jc w:val="center"/>
        <w:rPr>
          <w:rFonts w:ascii="Times New Roman" w:hAnsi="Times New Roman"/>
          <w:i/>
          <w:iCs/>
          <w:sz w:val="24"/>
          <w:szCs w:val="24"/>
        </w:rPr>
      </w:pPr>
      <w:r w:rsidRPr="00A15BE3">
        <w:rPr>
          <w:rFonts w:ascii="Times New Roman" w:hAnsi="Times New Roman"/>
          <w:i/>
          <w:iCs/>
          <w:sz w:val="24"/>
          <w:szCs w:val="24"/>
        </w:rPr>
        <w:t>Groningen, Groningen, the Netherlands. 5). Universitat de Barcelona, Barcelona, Spain, 6). University of Alabama, Tuscaloosa, AB</w:t>
      </w:r>
    </w:p>
    <w:p w14:paraId="0E51428F" w14:textId="03E47887" w:rsidR="00A15BE3" w:rsidRDefault="00A15BE3" w:rsidP="00A15BE3">
      <w:pPr>
        <w:spacing w:line="276" w:lineRule="auto"/>
        <w:jc w:val="center"/>
        <w:rPr>
          <w:rFonts w:ascii="Times New Roman" w:hAnsi="Times New Roman"/>
          <w:i/>
          <w:iCs/>
          <w:sz w:val="24"/>
          <w:szCs w:val="24"/>
        </w:rPr>
      </w:pPr>
      <w:r w:rsidRPr="00A15BE3">
        <w:rPr>
          <w:rFonts w:ascii="Times New Roman" w:hAnsi="Times New Roman"/>
          <w:i/>
          <w:iCs/>
          <w:sz w:val="24"/>
          <w:szCs w:val="24"/>
        </w:rPr>
        <w:t xml:space="preserve">Email: </w:t>
      </w:r>
      <w:hyperlink r:id="rId12" w:history="1">
        <w:r w:rsidRPr="00A15BE3">
          <w:rPr>
            <w:rStyle w:val="Hyperlink"/>
            <w:rFonts w:ascii="Times New Roman" w:hAnsi="Times New Roman"/>
            <w:i/>
            <w:iCs/>
            <w:sz w:val="24"/>
            <w:szCs w:val="24"/>
          </w:rPr>
          <w:t>spancerdong86@gmail.com</w:t>
        </w:r>
      </w:hyperlink>
    </w:p>
    <w:p w14:paraId="590990F2" w14:textId="17E6596B" w:rsidR="00A15BE3" w:rsidRPr="00A15BE3" w:rsidRDefault="00A15BE3" w:rsidP="00A15BE3">
      <w:pPr>
        <w:spacing w:line="276" w:lineRule="auto"/>
        <w:jc w:val="center"/>
        <w:rPr>
          <w:rFonts w:ascii="Times New Roman" w:hAnsi="Times New Roman"/>
          <w:sz w:val="24"/>
          <w:szCs w:val="24"/>
        </w:rPr>
      </w:pPr>
      <w:r w:rsidRPr="00A15BE3">
        <w:rPr>
          <w:rFonts w:ascii="Times New Roman" w:hAnsi="Times New Roman"/>
          <w:noProof/>
          <w:sz w:val="24"/>
          <w:szCs w:val="24"/>
        </w:rPr>
        <w:drawing>
          <wp:inline distT="0" distB="0" distL="0" distR="0" wp14:anchorId="7C95D94B" wp14:editId="5F8D3AC2">
            <wp:extent cx="4168180" cy="2000816"/>
            <wp:effectExtent l="0" t="0" r="3810" b="0"/>
            <wp:docPr id="672382665" name="Picture 1"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2665" name="Picture 1" descr="A diagram of a molecule&#10;&#10;AI-generated content may be incorrect."/>
                    <pic:cNvPicPr/>
                  </pic:nvPicPr>
                  <pic:blipFill>
                    <a:blip r:embed="rId13"/>
                    <a:stretch>
                      <a:fillRect/>
                    </a:stretch>
                  </pic:blipFill>
                  <pic:spPr>
                    <a:xfrm>
                      <a:off x="0" y="0"/>
                      <a:ext cx="4205547" cy="2018753"/>
                    </a:xfrm>
                    <a:prstGeom prst="rect">
                      <a:avLst/>
                    </a:prstGeom>
                  </pic:spPr>
                </pic:pic>
              </a:graphicData>
            </a:graphic>
          </wp:inline>
        </w:drawing>
      </w:r>
      <w:r>
        <w:rPr>
          <w:rFonts w:ascii="Times New Roman" w:hAnsi="Times New Roman"/>
          <w:sz w:val="24"/>
          <w:szCs w:val="24"/>
        </w:rPr>
        <w:t xml:space="preserve">     </w:t>
      </w:r>
      <w:r w:rsidRPr="00A15BE3">
        <w:rPr>
          <w:rFonts w:ascii="Times New Roman" w:hAnsi="Times New Roman"/>
          <w:noProof/>
          <w:sz w:val="24"/>
          <w:szCs w:val="24"/>
        </w:rPr>
        <w:drawing>
          <wp:inline distT="0" distB="0" distL="0" distR="0" wp14:anchorId="22595B20" wp14:editId="2A3E8AC7">
            <wp:extent cx="1506067" cy="1973655"/>
            <wp:effectExtent l="0" t="0" r="0" b="7620"/>
            <wp:docPr id="1227124268" name="Picture 3" descr="A person with long hair wearing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4268" name="Picture 3" descr="A person with long hair wearing glass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5131" cy="1985533"/>
                    </a:xfrm>
                    <a:prstGeom prst="rect">
                      <a:avLst/>
                    </a:prstGeom>
                    <a:noFill/>
                    <a:ln>
                      <a:noFill/>
                    </a:ln>
                  </pic:spPr>
                </pic:pic>
              </a:graphicData>
            </a:graphic>
          </wp:inline>
        </w:drawing>
      </w:r>
    </w:p>
    <w:p w14:paraId="282698FC" w14:textId="44B4C02B" w:rsidR="00A15BE3" w:rsidRDefault="00A15BE3" w:rsidP="00A15BE3">
      <w:pPr>
        <w:spacing w:line="276" w:lineRule="auto"/>
        <w:rPr>
          <w:rFonts w:ascii="Times New Roman" w:hAnsi="Times New Roman"/>
          <w:sz w:val="24"/>
          <w:szCs w:val="24"/>
        </w:rPr>
      </w:pPr>
      <w:r w:rsidRPr="00A15BE3">
        <w:rPr>
          <w:rFonts w:ascii="Times New Roman" w:hAnsi="Times New Roman"/>
          <w:sz w:val="24"/>
          <w:szCs w:val="24"/>
        </w:rPr>
        <w:t>The couplings among electronic states provide essential clues to reveal details of the</w:t>
      </w:r>
      <w:r>
        <w:rPr>
          <w:rFonts w:ascii="Times New Roman" w:hAnsi="Times New Roman"/>
          <w:sz w:val="24"/>
          <w:szCs w:val="24"/>
        </w:rPr>
        <w:t xml:space="preserve"> </w:t>
      </w:r>
      <w:r w:rsidRPr="00A15BE3">
        <w:rPr>
          <w:rFonts w:ascii="Times New Roman" w:hAnsi="Times New Roman"/>
          <w:sz w:val="24"/>
          <w:szCs w:val="24"/>
        </w:rPr>
        <w:t>electron transfer mechanism within photochemistry processes, such as singlet fission.</w:t>
      </w:r>
      <w:r>
        <w:rPr>
          <w:rFonts w:ascii="Times New Roman" w:hAnsi="Times New Roman"/>
          <w:sz w:val="24"/>
          <w:szCs w:val="24"/>
        </w:rPr>
        <w:t xml:space="preserve"> </w:t>
      </w:r>
      <w:r w:rsidRPr="00A15BE3">
        <w:rPr>
          <w:rFonts w:ascii="Times New Roman" w:hAnsi="Times New Roman"/>
          <w:sz w:val="24"/>
          <w:szCs w:val="24"/>
        </w:rPr>
        <w:t>Singlet fission processes play a significant role in the design of more e</w:t>
      </w:r>
      <w:r w:rsidR="004B2E30">
        <w:rPr>
          <w:rFonts w:ascii="Times New Roman" w:hAnsi="Times New Roman"/>
          <w:sz w:val="24"/>
          <w:szCs w:val="24"/>
        </w:rPr>
        <w:t>ff</w:t>
      </w:r>
      <w:r w:rsidRPr="00A15BE3">
        <w:rPr>
          <w:rFonts w:ascii="Times New Roman" w:hAnsi="Times New Roman"/>
          <w:sz w:val="24"/>
          <w:szCs w:val="24"/>
        </w:rPr>
        <w:t>icient photoharvesting</w:t>
      </w:r>
      <w:r>
        <w:rPr>
          <w:rFonts w:ascii="Times New Roman" w:hAnsi="Times New Roman"/>
          <w:sz w:val="24"/>
          <w:szCs w:val="24"/>
        </w:rPr>
        <w:t xml:space="preserve"> </w:t>
      </w:r>
      <w:r w:rsidRPr="00A15BE3">
        <w:rPr>
          <w:rFonts w:ascii="Times New Roman" w:hAnsi="Times New Roman"/>
          <w:sz w:val="24"/>
          <w:szCs w:val="24"/>
        </w:rPr>
        <w:t>solar cells. The GronOR</w:t>
      </w:r>
      <w:r w:rsidRPr="00A15BE3">
        <w:rPr>
          <w:rFonts w:ascii="Times New Roman" w:hAnsi="Times New Roman"/>
          <w:sz w:val="24"/>
          <w:szCs w:val="24"/>
          <w:vertAlign w:val="superscript"/>
        </w:rPr>
        <w:t>1,2</w:t>
      </w:r>
      <w:r w:rsidRPr="00A15BE3">
        <w:rPr>
          <w:rFonts w:ascii="Times New Roman" w:hAnsi="Times New Roman"/>
          <w:sz w:val="24"/>
          <w:szCs w:val="24"/>
        </w:rPr>
        <w:t xml:space="preserve"> software package renders a computational description</w:t>
      </w:r>
      <w:r>
        <w:rPr>
          <w:rFonts w:ascii="Times New Roman" w:hAnsi="Times New Roman"/>
          <w:sz w:val="24"/>
          <w:szCs w:val="24"/>
        </w:rPr>
        <w:t xml:space="preserve"> </w:t>
      </w:r>
      <w:r w:rsidRPr="00A15BE3">
        <w:rPr>
          <w:rFonts w:ascii="Times New Roman" w:hAnsi="Times New Roman"/>
          <w:sz w:val="24"/>
          <w:szCs w:val="24"/>
        </w:rPr>
        <w:t>of couplings to enable theoretical insight into the singlet fission process, which cannot be</w:t>
      </w:r>
      <w:r>
        <w:rPr>
          <w:rFonts w:ascii="Times New Roman" w:hAnsi="Times New Roman"/>
          <w:sz w:val="24"/>
          <w:szCs w:val="24"/>
        </w:rPr>
        <w:t xml:space="preserve"> </w:t>
      </w:r>
      <w:r w:rsidRPr="00A15BE3">
        <w:rPr>
          <w:rFonts w:ascii="Times New Roman" w:hAnsi="Times New Roman"/>
          <w:sz w:val="24"/>
          <w:szCs w:val="24"/>
        </w:rPr>
        <w:t>obtained directly from experiments. The core methodology of GronOR is non-orthogonal</w:t>
      </w:r>
      <w:r>
        <w:rPr>
          <w:rFonts w:ascii="Times New Roman" w:hAnsi="Times New Roman"/>
          <w:sz w:val="24"/>
          <w:szCs w:val="24"/>
        </w:rPr>
        <w:t xml:space="preserve"> </w:t>
      </w:r>
      <w:r w:rsidRPr="00A15BE3">
        <w:rPr>
          <w:rFonts w:ascii="Times New Roman" w:hAnsi="Times New Roman"/>
          <w:sz w:val="24"/>
          <w:szCs w:val="24"/>
        </w:rPr>
        <w:t>configuration interaction using fragment wave functions (NOCI-F) and allows an intuitive</w:t>
      </w:r>
      <w:r>
        <w:rPr>
          <w:rFonts w:ascii="Times New Roman" w:hAnsi="Times New Roman"/>
          <w:sz w:val="24"/>
          <w:szCs w:val="24"/>
        </w:rPr>
        <w:t xml:space="preserve"> </w:t>
      </w:r>
      <w:r w:rsidRPr="00A15BE3">
        <w:rPr>
          <w:rFonts w:ascii="Times New Roman" w:hAnsi="Times New Roman"/>
          <w:sz w:val="24"/>
          <w:szCs w:val="24"/>
        </w:rPr>
        <w:t>way of interpreting wavefunctions in terms of individually optimized diabatic states. Based</w:t>
      </w:r>
      <w:r>
        <w:rPr>
          <w:rFonts w:ascii="Times New Roman" w:hAnsi="Times New Roman"/>
          <w:sz w:val="24"/>
          <w:szCs w:val="24"/>
        </w:rPr>
        <w:t xml:space="preserve"> </w:t>
      </w:r>
      <w:r w:rsidRPr="00A15BE3">
        <w:rPr>
          <w:rFonts w:ascii="Times New Roman" w:hAnsi="Times New Roman"/>
          <w:sz w:val="24"/>
          <w:szCs w:val="24"/>
        </w:rPr>
        <w:t>on an advanced worker-master execution model, GronOR computes the Hamiltonian matrix</w:t>
      </w:r>
      <w:r>
        <w:rPr>
          <w:rFonts w:ascii="Times New Roman" w:hAnsi="Times New Roman"/>
          <w:sz w:val="24"/>
          <w:szCs w:val="24"/>
        </w:rPr>
        <w:t xml:space="preserve"> </w:t>
      </w:r>
      <w:r w:rsidRPr="00A15BE3">
        <w:rPr>
          <w:rFonts w:ascii="Times New Roman" w:hAnsi="Times New Roman"/>
          <w:sz w:val="24"/>
          <w:szCs w:val="24"/>
        </w:rPr>
        <w:t>(the computationally most demanding step) in parallel, and scales linearly on the largest</w:t>
      </w:r>
      <w:r>
        <w:rPr>
          <w:rFonts w:ascii="Times New Roman" w:hAnsi="Times New Roman"/>
          <w:sz w:val="24"/>
          <w:szCs w:val="24"/>
        </w:rPr>
        <w:t xml:space="preserve"> </w:t>
      </w:r>
      <w:r w:rsidRPr="00A15BE3">
        <w:rPr>
          <w:rFonts w:ascii="Times New Roman" w:hAnsi="Times New Roman"/>
          <w:sz w:val="24"/>
          <w:szCs w:val="24"/>
        </w:rPr>
        <w:t>modern HPC systems. In this talk, examples in inter-</w:t>
      </w:r>
      <w:r w:rsidRPr="00A15BE3">
        <w:rPr>
          <w:rFonts w:ascii="Times New Roman" w:hAnsi="Times New Roman"/>
          <w:sz w:val="24"/>
          <w:szCs w:val="24"/>
          <w:vertAlign w:val="superscript"/>
        </w:rPr>
        <w:t>3</w:t>
      </w:r>
      <w:r w:rsidRPr="00A15BE3">
        <w:rPr>
          <w:rFonts w:ascii="Times New Roman" w:hAnsi="Times New Roman"/>
          <w:sz w:val="24"/>
          <w:szCs w:val="24"/>
        </w:rPr>
        <w:t xml:space="preserve"> and intra-</w:t>
      </w:r>
      <w:r w:rsidRPr="00A15BE3">
        <w:rPr>
          <w:rFonts w:ascii="Times New Roman" w:hAnsi="Times New Roman"/>
          <w:sz w:val="24"/>
          <w:szCs w:val="24"/>
          <w:vertAlign w:val="superscript"/>
        </w:rPr>
        <w:t>4</w:t>
      </w:r>
      <w:r w:rsidRPr="00A15BE3">
        <w:rPr>
          <w:rFonts w:ascii="Times New Roman" w:hAnsi="Times New Roman"/>
          <w:sz w:val="24"/>
          <w:szCs w:val="24"/>
        </w:rPr>
        <w:t xml:space="preserve"> molecular singlet fission</w:t>
      </w:r>
      <w:r>
        <w:rPr>
          <w:rFonts w:ascii="Times New Roman" w:hAnsi="Times New Roman"/>
          <w:sz w:val="24"/>
          <w:szCs w:val="24"/>
        </w:rPr>
        <w:t xml:space="preserve"> </w:t>
      </w:r>
      <w:r w:rsidRPr="00A15BE3">
        <w:rPr>
          <w:rFonts w:ascii="Times New Roman" w:hAnsi="Times New Roman"/>
          <w:sz w:val="24"/>
          <w:szCs w:val="24"/>
        </w:rPr>
        <w:t>and performance of GronOR on HPCs will be illustrated.</w:t>
      </w:r>
    </w:p>
    <w:p w14:paraId="64040FB5" w14:textId="77777777" w:rsidR="00A15BE3" w:rsidRPr="00A15BE3" w:rsidRDefault="00A15BE3" w:rsidP="00A15BE3">
      <w:pPr>
        <w:spacing w:line="276" w:lineRule="auto"/>
        <w:rPr>
          <w:rFonts w:ascii="Times New Roman" w:hAnsi="Times New Roman"/>
          <w:sz w:val="24"/>
          <w:szCs w:val="24"/>
        </w:rPr>
      </w:pPr>
    </w:p>
    <w:p w14:paraId="6BC7D17D" w14:textId="211FEEB3" w:rsidR="00A15BE3" w:rsidRPr="00A15BE3" w:rsidRDefault="00A15BE3" w:rsidP="00A15BE3">
      <w:pPr>
        <w:spacing w:line="276" w:lineRule="auto"/>
        <w:rPr>
          <w:rFonts w:ascii="Times New Roman" w:hAnsi="Times New Roman"/>
          <w:b/>
          <w:bCs/>
          <w:sz w:val="24"/>
          <w:szCs w:val="24"/>
        </w:rPr>
      </w:pPr>
      <w:r w:rsidRPr="00A15BE3">
        <w:rPr>
          <w:rFonts w:ascii="Times New Roman" w:hAnsi="Times New Roman"/>
          <w:b/>
          <w:bCs/>
          <w:sz w:val="24"/>
          <w:szCs w:val="24"/>
        </w:rPr>
        <w:t>References</w:t>
      </w:r>
      <w:r>
        <w:rPr>
          <w:rFonts w:ascii="Times New Roman" w:hAnsi="Times New Roman"/>
          <w:b/>
          <w:bCs/>
          <w:sz w:val="24"/>
          <w:szCs w:val="24"/>
        </w:rPr>
        <w:t>:</w:t>
      </w:r>
    </w:p>
    <w:p w14:paraId="3BD4AC71" w14:textId="1F46705E" w:rsidR="00A15BE3" w:rsidRPr="00A15BE3" w:rsidRDefault="00A15BE3" w:rsidP="00A15BE3">
      <w:pPr>
        <w:spacing w:line="276" w:lineRule="auto"/>
        <w:rPr>
          <w:rFonts w:ascii="Times New Roman" w:hAnsi="Times New Roman"/>
          <w:sz w:val="20"/>
          <w:szCs w:val="20"/>
        </w:rPr>
      </w:pPr>
      <w:r w:rsidRPr="00A15BE3">
        <w:rPr>
          <w:rFonts w:ascii="Times New Roman" w:hAnsi="Times New Roman"/>
          <w:sz w:val="20"/>
          <w:szCs w:val="20"/>
        </w:rPr>
        <w:t>1). Straatsma, T. P., Broer, R., Faraji, S., Havenith, R. W. A., Suarez, L. E., Kathir, R. K., ... &amp; De Graaf, C. (2020). GronOR: Massively parallel and GPUaccelerated</w:t>
      </w:r>
      <w:r w:rsidRPr="004B2E30">
        <w:rPr>
          <w:rFonts w:ascii="Times New Roman" w:hAnsi="Times New Roman"/>
          <w:sz w:val="20"/>
          <w:szCs w:val="20"/>
        </w:rPr>
        <w:t xml:space="preserve"> </w:t>
      </w:r>
      <w:r w:rsidRPr="00A15BE3">
        <w:rPr>
          <w:rFonts w:ascii="Times New Roman" w:hAnsi="Times New Roman"/>
          <w:sz w:val="20"/>
          <w:szCs w:val="20"/>
        </w:rPr>
        <w:t>non-orthogonal configuration interaction for large molecular systems. The Journal of Chemical Physics, 152(6).</w:t>
      </w:r>
    </w:p>
    <w:p w14:paraId="2F184DFD" w14:textId="0E0411AB" w:rsidR="00A15BE3" w:rsidRPr="00A15BE3" w:rsidRDefault="00A15BE3" w:rsidP="00A15BE3">
      <w:pPr>
        <w:spacing w:line="276" w:lineRule="auto"/>
        <w:rPr>
          <w:rFonts w:ascii="Times New Roman" w:hAnsi="Times New Roman"/>
          <w:sz w:val="20"/>
          <w:szCs w:val="20"/>
        </w:rPr>
      </w:pPr>
      <w:r w:rsidRPr="00A15BE3">
        <w:rPr>
          <w:rFonts w:ascii="Times New Roman" w:hAnsi="Times New Roman"/>
          <w:sz w:val="20"/>
          <w:szCs w:val="20"/>
        </w:rPr>
        <w:t>2). Straatsma, T. P., Broer, R., Sánchez-Mansilla, A., Sousa, C., &amp; De Graaf, C. (2022). GronOR: Scalable and accelerated nonorthogonal</w:t>
      </w:r>
      <w:r w:rsidRPr="004B2E30">
        <w:rPr>
          <w:rFonts w:ascii="Times New Roman" w:hAnsi="Times New Roman"/>
          <w:sz w:val="20"/>
          <w:szCs w:val="20"/>
        </w:rPr>
        <w:t xml:space="preserve"> </w:t>
      </w:r>
      <w:r w:rsidRPr="00A15BE3">
        <w:rPr>
          <w:rFonts w:ascii="Times New Roman" w:hAnsi="Times New Roman"/>
          <w:sz w:val="20"/>
          <w:szCs w:val="20"/>
        </w:rPr>
        <w:t xml:space="preserve">configuration interaction for molecular fragment wave functions. </w:t>
      </w:r>
      <w:r w:rsidRPr="00A15BE3">
        <w:rPr>
          <w:rFonts w:ascii="Times New Roman" w:hAnsi="Times New Roman"/>
          <w:i/>
          <w:iCs/>
          <w:sz w:val="20"/>
          <w:szCs w:val="20"/>
        </w:rPr>
        <w:t>Journal of Chemical Theory and Computation</w:t>
      </w:r>
      <w:r w:rsidRPr="00A15BE3">
        <w:rPr>
          <w:rFonts w:ascii="Times New Roman" w:hAnsi="Times New Roman"/>
          <w:sz w:val="20"/>
          <w:szCs w:val="20"/>
        </w:rPr>
        <w:t xml:space="preserve">, </w:t>
      </w:r>
      <w:r w:rsidRPr="00A15BE3">
        <w:rPr>
          <w:rFonts w:ascii="Times New Roman" w:hAnsi="Times New Roman"/>
          <w:i/>
          <w:iCs/>
          <w:sz w:val="20"/>
          <w:szCs w:val="20"/>
        </w:rPr>
        <w:t>18</w:t>
      </w:r>
      <w:r w:rsidRPr="00A15BE3">
        <w:rPr>
          <w:rFonts w:ascii="Times New Roman" w:hAnsi="Times New Roman"/>
          <w:sz w:val="20"/>
          <w:szCs w:val="20"/>
        </w:rPr>
        <w:t>(6), 3549-3565.</w:t>
      </w:r>
    </w:p>
    <w:p w14:paraId="607D45D2" w14:textId="5B8D2351" w:rsidR="00A15BE3" w:rsidRPr="00A15BE3" w:rsidRDefault="00A15BE3" w:rsidP="00A15BE3">
      <w:pPr>
        <w:spacing w:line="276" w:lineRule="auto"/>
        <w:rPr>
          <w:rFonts w:ascii="Times New Roman" w:hAnsi="Times New Roman"/>
          <w:sz w:val="20"/>
          <w:szCs w:val="20"/>
        </w:rPr>
      </w:pPr>
      <w:r w:rsidRPr="00A15BE3">
        <w:rPr>
          <w:rFonts w:ascii="Times New Roman" w:hAnsi="Times New Roman"/>
          <w:sz w:val="20"/>
          <w:szCs w:val="20"/>
        </w:rPr>
        <w:t>3). Sousa, C., Lopez, X., Dong, X., Broer, R., Straatsma, T. P., &amp; de Graaf, C. (2025). Nonorthogonal Configuration Interaction for Singlet Fission:</w:t>
      </w:r>
      <w:r w:rsidRPr="004B2E30">
        <w:rPr>
          <w:rFonts w:ascii="Times New Roman" w:hAnsi="Times New Roman"/>
          <w:sz w:val="20"/>
          <w:szCs w:val="20"/>
        </w:rPr>
        <w:t xml:space="preserve"> </w:t>
      </w:r>
      <w:r w:rsidRPr="00A15BE3">
        <w:rPr>
          <w:rFonts w:ascii="Times New Roman" w:hAnsi="Times New Roman"/>
          <w:sz w:val="20"/>
          <w:szCs w:val="20"/>
        </w:rPr>
        <w:t>Beyond the Dimer. The Journal of Physical Chemistry C, 129(8), 4290-4302.</w:t>
      </w:r>
    </w:p>
    <w:p w14:paraId="4BA763D1" w14:textId="5EE3F262" w:rsidR="00A15BE3" w:rsidRPr="004B2E30" w:rsidRDefault="00A15BE3" w:rsidP="00A15BE3">
      <w:pPr>
        <w:spacing w:line="276" w:lineRule="auto"/>
        <w:rPr>
          <w:rFonts w:ascii="Times New Roman" w:hAnsi="Times New Roman"/>
          <w:sz w:val="20"/>
          <w:szCs w:val="20"/>
        </w:rPr>
      </w:pPr>
      <w:r w:rsidRPr="00A15BE3">
        <w:rPr>
          <w:rFonts w:ascii="Times New Roman" w:hAnsi="Times New Roman"/>
          <w:sz w:val="20"/>
          <w:szCs w:val="20"/>
        </w:rPr>
        <w:t>4). Sousa, C., Dong, X., Broer, R., Straatsma, T. P., &amp; de Graaf, C. (2025). The overlapping fragment approach for Non-orthogonal Configuration</w:t>
      </w:r>
      <w:r w:rsidRPr="004B2E30">
        <w:rPr>
          <w:rFonts w:ascii="Times New Roman" w:hAnsi="Times New Roman"/>
          <w:sz w:val="20"/>
          <w:szCs w:val="20"/>
        </w:rPr>
        <w:t xml:space="preserve"> Interaction with fragments. Physical Chemistry Chemical Physics.</w:t>
      </w:r>
    </w:p>
    <w:p w14:paraId="04F42274" w14:textId="6744B4CD"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64A9364E" w14:textId="77777777" w:rsidR="004B2E30" w:rsidRPr="004B2E30" w:rsidRDefault="004B2E30" w:rsidP="004B2E30">
      <w:pPr>
        <w:rPr>
          <w:rFonts w:ascii="Times New Roman" w:hAnsi="Times New Roman"/>
          <w:sz w:val="24"/>
          <w:szCs w:val="24"/>
        </w:rPr>
      </w:pPr>
      <w:r w:rsidRPr="004B2E30">
        <w:rPr>
          <w:rFonts w:ascii="Times New Roman" w:hAnsi="Times New Roman"/>
          <w:sz w:val="24"/>
          <w:szCs w:val="24"/>
        </w:rPr>
        <w:t>Alexey Akimov is inviting you to a scheduled Zoom meeting.</w:t>
      </w:r>
    </w:p>
    <w:p w14:paraId="4A954027" w14:textId="77777777" w:rsidR="004B2E30" w:rsidRPr="004B2E30" w:rsidRDefault="004B2E30" w:rsidP="004B2E30">
      <w:pPr>
        <w:rPr>
          <w:rFonts w:ascii="Times New Roman" w:hAnsi="Times New Roman"/>
          <w:sz w:val="24"/>
          <w:szCs w:val="24"/>
        </w:rPr>
      </w:pPr>
    </w:p>
    <w:p w14:paraId="5ACAEEA2" w14:textId="77777777" w:rsidR="004B2E30" w:rsidRPr="004B2E30" w:rsidRDefault="004B2E30" w:rsidP="004B2E30">
      <w:pPr>
        <w:rPr>
          <w:rFonts w:ascii="Times New Roman" w:hAnsi="Times New Roman"/>
          <w:sz w:val="24"/>
          <w:szCs w:val="24"/>
        </w:rPr>
      </w:pPr>
      <w:r w:rsidRPr="004B2E30">
        <w:rPr>
          <w:rFonts w:ascii="Times New Roman" w:hAnsi="Times New Roman"/>
          <w:sz w:val="24"/>
          <w:szCs w:val="24"/>
        </w:rPr>
        <w:t>Topic: VISTA, Seminar 98</w:t>
      </w:r>
    </w:p>
    <w:p w14:paraId="3631AE38" w14:textId="37BFCBD3" w:rsidR="004B2E30" w:rsidRPr="004B2E30" w:rsidRDefault="004B2E30" w:rsidP="004B2E30">
      <w:pPr>
        <w:rPr>
          <w:rFonts w:ascii="Times New Roman" w:hAnsi="Times New Roman"/>
          <w:sz w:val="24"/>
          <w:szCs w:val="24"/>
        </w:rPr>
      </w:pPr>
      <w:r w:rsidRPr="004B2E30">
        <w:rPr>
          <w:rFonts w:ascii="Times New Roman" w:hAnsi="Times New Roman"/>
          <w:sz w:val="24"/>
          <w:szCs w:val="24"/>
        </w:rPr>
        <w:t xml:space="preserve">Time: </w:t>
      </w:r>
      <w:r w:rsidR="004B7945">
        <w:rPr>
          <w:rFonts w:ascii="Times New Roman" w:hAnsi="Times New Roman"/>
          <w:sz w:val="24"/>
          <w:szCs w:val="24"/>
        </w:rPr>
        <w:t>Dec.</w:t>
      </w:r>
      <w:r w:rsidRPr="004B2E30">
        <w:rPr>
          <w:rFonts w:ascii="Times New Roman" w:hAnsi="Times New Roman"/>
          <w:sz w:val="24"/>
          <w:szCs w:val="24"/>
        </w:rPr>
        <w:t xml:space="preserve"> </w:t>
      </w:r>
      <w:r w:rsidR="004B7945">
        <w:rPr>
          <w:rFonts w:ascii="Times New Roman" w:hAnsi="Times New Roman"/>
          <w:sz w:val="24"/>
          <w:szCs w:val="24"/>
        </w:rPr>
        <w:t>3</w:t>
      </w:r>
      <w:r w:rsidRPr="004B2E30">
        <w:rPr>
          <w:rFonts w:ascii="Times New Roman" w:hAnsi="Times New Roman"/>
          <w:sz w:val="24"/>
          <w:szCs w:val="24"/>
        </w:rPr>
        <w:t>, 2025 10:00 AM Eastern Time (US and Canada)</w:t>
      </w:r>
    </w:p>
    <w:p w14:paraId="2AF56D5E" w14:textId="77777777" w:rsidR="004B2E30" w:rsidRPr="004B2E30" w:rsidRDefault="004B2E30" w:rsidP="004B2E30">
      <w:pPr>
        <w:rPr>
          <w:rFonts w:ascii="Times New Roman" w:hAnsi="Times New Roman"/>
          <w:sz w:val="24"/>
          <w:szCs w:val="24"/>
        </w:rPr>
      </w:pPr>
      <w:r w:rsidRPr="004B2E30">
        <w:rPr>
          <w:rFonts w:ascii="Times New Roman" w:hAnsi="Times New Roman"/>
          <w:sz w:val="24"/>
          <w:szCs w:val="24"/>
        </w:rPr>
        <w:t>Join Zoom Meeting</w:t>
      </w:r>
    </w:p>
    <w:p w14:paraId="24716C84" w14:textId="01A5FE7C" w:rsidR="004B2E30" w:rsidRPr="004B2E30" w:rsidRDefault="004B2E30" w:rsidP="004B2E30">
      <w:pPr>
        <w:rPr>
          <w:rFonts w:ascii="Times New Roman" w:hAnsi="Times New Roman"/>
          <w:sz w:val="24"/>
          <w:szCs w:val="24"/>
        </w:rPr>
      </w:pPr>
      <w:hyperlink r:id="rId15" w:history="1">
        <w:r w:rsidRPr="005A76C5">
          <w:rPr>
            <w:rStyle w:val="Hyperlink"/>
            <w:rFonts w:ascii="Times New Roman" w:hAnsi="Times New Roman"/>
            <w:sz w:val="24"/>
            <w:szCs w:val="24"/>
          </w:rPr>
          <w:t>https://buffalo.zoom.us/j/92091092386?pwd=MXP0jAnpQrKMKtQ23nfsZN57RLSgw5.1</w:t>
        </w:r>
      </w:hyperlink>
      <w:r>
        <w:rPr>
          <w:rFonts w:ascii="Times New Roman" w:hAnsi="Times New Roman"/>
          <w:sz w:val="24"/>
          <w:szCs w:val="24"/>
        </w:rPr>
        <w:t xml:space="preserve"> </w:t>
      </w:r>
    </w:p>
    <w:p w14:paraId="2E5CD4BA" w14:textId="77777777" w:rsidR="004B2E30" w:rsidRPr="004B2E30" w:rsidRDefault="004B2E30" w:rsidP="004B2E30">
      <w:pPr>
        <w:rPr>
          <w:rFonts w:ascii="Times New Roman" w:hAnsi="Times New Roman"/>
          <w:sz w:val="24"/>
          <w:szCs w:val="24"/>
        </w:rPr>
      </w:pPr>
    </w:p>
    <w:p w14:paraId="3A59B611" w14:textId="77777777" w:rsidR="004B2E30" w:rsidRPr="004B2E30" w:rsidRDefault="004B2E30" w:rsidP="004B2E30">
      <w:pPr>
        <w:jc w:val="center"/>
        <w:rPr>
          <w:rFonts w:ascii="Times New Roman" w:hAnsi="Times New Roman"/>
          <w:b/>
          <w:bCs/>
          <w:color w:val="EE0000"/>
          <w:sz w:val="36"/>
          <w:szCs w:val="36"/>
        </w:rPr>
      </w:pPr>
      <w:r w:rsidRPr="004B2E30">
        <w:rPr>
          <w:rFonts w:ascii="Times New Roman" w:hAnsi="Times New Roman"/>
          <w:b/>
          <w:bCs/>
          <w:color w:val="EE0000"/>
          <w:sz w:val="36"/>
          <w:szCs w:val="36"/>
        </w:rPr>
        <w:t>Meeting ID: 920 9109 2386</w:t>
      </w:r>
    </w:p>
    <w:p w14:paraId="1EAA837E" w14:textId="77777777" w:rsidR="004B2E30" w:rsidRPr="004B2E30" w:rsidRDefault="004B2E30" w:rsidP="004B2E30">
      <w:pPr>
        <w:jc w:val="center"/>
        <w:rPr>
          <w:rFonts w:ascii="Times New Roman" w:hAnsi="Times New Roman"/>
          <w:b/>
          <w:bCs/>
          <w:color w:val="EE0000"/>
          <w:sz w:val="36"/>
          <w:szCs w:val="36"/>
        </w:rPr>
      </w:pPr>
      <w:r w:rsidRPr="004B2E30">
        <w:rPr>
          <w:rFonts w:ascii="Times New Roman" w:hAnsi="Times New Roman"/>
          <w:b/>
          <w:bCs/>
          <w:color w:val="EE0000"/>
          <w:sz w:val="36"/>
          <w:szCs w:val="36"/>
        </w:rPr>
        <w:t>Passcode: 503287</w:t>
      </w:r>
    </w:p>
    <w:p w14:paraId="6A9C89E9" w14:textId="77777777" w:rsidR="002112ED" w:rsidRDefault="002112ED" w:rsidP="002112ED">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6"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much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7"/>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8"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9"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BA754" w14:textId="77777777" w:rsidR="00E93E73" w:rsidRDefault="00E93E73" w:rsidP="00C15BDA">
      <w:r>
        <w:separator/>
      </w:r>
    </w:p>
  </w:endnote>
  <w:endnote w:type="continuationSeparator" w:id="0">
    <w:p w14:paraId="017A61DA" w14:textId="77777777" w:rsidR="00E93E73" w:rsidRDefault="00E93E73"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5A86A" w14:textId="77777777" w:rsidR="00E93E73" w:rsidRDefault="00E93E73" w:rsidP="00C15BDA">
      <w:r>
        <w:separator/>
      </w:r>
    </w:p>
  </w:footnote>
  <w:footnote w:type="continuationSeparator" w:id="0">
    <w:p w14:paraId="047FDE6D" w14:textId="77777777" w:rsidR="00E93E73" w:rsidRDefault="00E93E73"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1A3C"/>
    <w:rsid w:val="001043C4"/>
    <w:rsid w:val="00115AAD"/>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2E30"/>
    <w:rsid w:val="004B6FF6"/>
    <w:rsid w:val="004B7945"/>
    <w:rsid w:val="004C3BD1"/>
    <w:rsid w:val="004E0AB2"/>
    <w:rsid w:val="004E581A"/>
    <w:rsid w:val="004E7B45"/>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8EF"/>
    <w:rsid w:val="00781C18"/>
    <w:rsid w:val="0079056A"/>
    <w:rsid w:val="00794656"/>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14F0"/>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F11BB"/>
    <w:rsid w:val="008F1807"/>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041"/>
    <w:rsid w:val="00A06583"/>
    <w:rsid w:val="00A15BE3"/>
    <w:rsid w:val="00A2064B"/>
    <w:rsid w:val="00A328D8"/>
    <w:rsid w:val="00A652A8"/>
    <w:rsid w:val="00A65416"/>
    <w:rsid w:val="00A777C3"/>
    <w:rsid w:val="00A83F6D"/>
    <w:rsid w:val="00A9140D"/>
    <w:rsid w:val="00AB2A56"/>
    <w:rsid w:val="00AB54BA"/>
    <w:rsid w:val="00AC4023"/>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924E3"/>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liguo@zju.edu.cn" TargetMode="External"/><Relationship Id="rId13" Type="http://schemas.openxmlformats.org/officeDocument/2006/relationships/image" Target="media/image4.png"/><Relationship Id="rId18" Type="http://schemas.openxmlformats.org/officeDocument/2006/relationships/hyperlink" Target="https://join.slack.com/t/vista-atk8254/shared_invite/zt-mdlteo5v-P1Hc7XVupkwMbnGhNG4KI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pancerdong86@gmail.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listserv.buffalo.edu/scripts/wa.exe?A0=CHE-VISTA-LIST&amp;X=OA41BBB2DC6071987DF&amp;Y=alexeyak%40buffalo.ed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buffalo.zoom.us/j/92091092386?pwd=MXP0jAnpQrKMKtQ23nfsZN57RLSgw5.1"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join.slack.com/t/quantumdynamicshub/shared_invite/zt-mjbhjssx-GGhsbYHxeBMvhmumK_j7L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2398</TotalTime>
  <Pages>4</Pages>
  <Words>928</Words>
  <Characters>5949</Characters>
  <Application>Microsoft Office Word</Application>
  <DocSecurity>0</DocSecurity>
  <Lines>156</Lines>
  <Paragraphs>58</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277</cp:revision>
  <cp:lastPrinted>2025-03-11T18:10:00Z</cp:lastPrinted>
  <dcterms:created xsi:type="dcterms:W3CDTF">2020-09-21T18:32:00Z</dcterms:created>
  <dcterms:modified xsi:type="dcterms:W3CDTF">2025-11-25T15:30:00Z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