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Purpose-Built</w:t>
      </w:r>
      <w:r>
        <w:t xml:space="preserve"> </w:t>
      </w:r>
      <w:r>
        <w:t xml:space="preserve">Embedding</w:t>
      </w:r>
      <w:r>
        <w:t xml:space="preserve"> </w:t>
      </w:r>
      <w:r>
        <w:t xml:space="preserve">Models</w:t>
      </w:r>
      <w:r>
        <w:t xml:space="preserve"> </w:t>
      </w:r>
      <w:r>
        <w:t xml:space="preserve">for</w:t>
      </w:r>
      <w:r>
        <w:t xml:space="preserve"> </w:t>
      </w:r>
      <w:r>
        <w:t xml:space="preserve">Rule-Bearing</w:t>
      </w:r>
      <w:r>
        <w:t xml:space="preserve"> </w:t>
      </w:r>
      <w:r>
        <w:t xml:space="preserve">Text</w:t>
      </w:r>
    </w:p>
    <w:p>
      <w:pPr>
        <w:pStyle w:val="Subtitle"/>
      </w:pPr>
      <w:r>
        <w:t xml:space="preserve">Why</w:t>
      </w:r>
      <w:r>
        <w:t xml:space="preserve"> </w:t>
      </w:r>
      <w:r>
        <w:t xml:space="preserve">General-Purpose</w:t>
      </w:r>
      <w:r>
        <w:t xml:space="preserve"> </w:t>
      </w:r>
      <w:r>
        <w:t xml:space="preserve">Embeddings</w:t>
      </w:r>
      <w:r>
        <w:t xml:space="preserve"> </w:t>
      </w:r>
      <w:r>
        <w:t xml:space="preserve">Score</w:t>
      </w:r>
      <w:r>
        <w:t xml:space="preserve"> </w:t>
      </w:r>
      <w:r>
        <w:t xml:space="preserve">F1</w:t>
      </w:r>
      <w:r>
        <w:t xml:space="preserve"> </w:t>
      </w:r>
      <w:r>
        <w:t xml:space="preserve">=</w:t>
      </w:r>
      <w:r>
        <w:t xml:space="preserve"> </w:t>
      </w:r>
      <w:r>
        <w:t xml:space="preserve">0</w:t>
      </w:r>
      <w:r>
        <w:t xml:space="preserve"> </w:t>
      </w:r>
      <w:r>
        <w:t xml:space="preserve">on</w:t>
      </w:r>
      <w:r>
        <w:t xml:space="preserve"> </w:t>
      </w:r>
      <w:r>
        <w:t xml:space="preserve">Regulatory</w:t>
      </w:r>
      <w:r>
        <w:t xml:space="preserve"> </w:t>
      </w:r>
      <w:r>
        <w:t xml:space="preserve">Conflict</w:t>
      </w:r>
      <w:r>
        <w:t xml:space="preserve"> </w:t>
      </w:r>
      <w:r>
        <w:t xml:space="preserve">and</w:t>
      </w:r>
      <w:r>
        <w:t xml:space="preserve"> </w:t>
      </w:r>
      <w:r>
        <w:t xml:space="preserve">What</w:t>
      </w:r>
      <w:r>
        <w:t xml:space="preserve"> </w:t>
      </w:r>
      <w:r>
        <w:t xml:space="preserve">a</w:t>
      </w:r>
      <w:r>
        <w:t xml:space="preserve"> </w:t>
      </w:r>
      <w:r>
        <w:t xml:space="preserve">Compliance-Grade</w:t>
      </w:r>
      <w:r>
        <w:t xml:space="preserve"> </w:t>
      </w:r>
      <w:r>
        <w:t xml:space="preserve">Model</w:t>
      </w:r>
      <w:r>
        <w:t xml:space="preserve"> </w:t>
      </w:r>
      <w:r>
        <w:t xml:space="preserve">Must</w:t>
      </w:r>
      <w:r>
        <w:t xml:space="preserve"> </w:t>
      </w:r>
      <w:r>
        <w:t xml:space="preserve">Preserve</w:t>
      </w:r>
    </w:p>
    <w:p>
      <w:pPr>
        <w:pStyle w:val="Date"/>
      </w:pPr>
      <w:r>
        <w:t xml:space="preserve">21</w:t>
      </w:r>
      <w:r>
        <w:t xml:space="preserve"> </w:t>
      </w:r>
      <w:r>
        <w:t xml:space="preserve">April</w:t>
      </w:r>
      <w:r>
        <w:t xml:space="preserve"> </w:t>
      </w:r>
      <w:r>
        <w:t xml:space="preserve">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The</w:t>
      </w:r>
      <w:r>
        <w:t xml:space="preserve"> </w:t>
      </w:r>
      <w:r>
        <w:t xml:space="preserve">default</w:t>
      </w:r>
      <w:r>
        <w:t xml:space="preserve"> </w:t>
      </w:r>
      <w:r>
        <w:t xml:space="preserve">assumption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retrieval-augmented</w:t>
      </w:r>
      <w:r>
        <w:t xml:space="preserve"> </w:t>
      </w:r>
      <w:r>
        <w:t xml:space="preserve">ecosystem</w:t>
      </w:r>
      <w:r>
        <w:t xml:space="preserve"> </w:t>
      </w:r>
      <w:r>
        <w:t xml:space="preserve">is</w:t>
      </w:r>
      <w:r>
        <w:t xml:space="preserve"> </w:t>
      </w:r>
      <w:r>
        <w:t xml:space="preserve">that</w:t>
      </w:r>
      <w:r>
        <w:t xml:space="preserve"> </w:t>
      </w:r>
      <w:r>
        <w:t xml:space="preserve">embedding</w:t>
      </w:r>
      <w:r>
        <w:t xml:space="preserve"> </w:t>
      </w:r>
      <w:r>
        <w:t xml:space="preserve">models</w:t>
      </w:r>
      <w:r>
        <w:t xml:space="preserve"> </w:t>
      </w:r>
      <w:r>
        <w:t xml:space="preserve">are</w:t>
      </w:r>
      <w:r>
        <w:t xml:space="preserve"> </w:t>
      </w:r>
      <w:r>
        <w:t xml:space="preserve">interchangeable:</w:t>
      </w:r>
      <w:r>
        <w:t xml:space="preserve"> </w:t>
      </w:r>
      <w:r>
        <w:t xml:space="preserve">pick</w:t>
      </w:r>
      <w:r>
        <w:t xml:space="preserve"> </w:t>
      </w:r>
      <w:r>
        <w:t xml:space="preserve">any</w:t>
      </w:r>
      <w:r>
        <w:t xml:space="preserve"> </w:t>
      </w:r>
      <w:r>
        <w:t xml:space="preserve">sufficiently</w:t>
      </w:r>
      <w:r>
        <w:t xml:space="preserve"> </w:t>
      </w:r>
      <w:r>
        <w:t xml:space="preserve">large</w:t>
      </w:r>
      <w:r>
        <w:t xml:space="preserve"> </w:t>
      </w:r>
      <w:r>
        <w:t xml:space="preserve">one,</w:t>
      </w:r>
      <w:r>
        <w:t xml:space="preserve"> </w:t>
      </w:r>
      <w:r>
        <w:t xml:space="preserve">wire</w:t>
      </w:r>
      <w:r>
        <w:t xml:space="preserve"> </w:t>
      </w:r>
      <w:r>
        <w:t xml:space="preserve">it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vector</w:t>
      </w:r>
      <w:r>
        <w:t xml:space="preserve"> </w:t>
      </w:r>
      <w:r>
        <w:t xml:space="preserve">store,</w:t>
      </w:r>
      <w:r>
        <w:t xml:space="preserve"> </w:t>
      </w:r>
      <w:r>
        <w:t xml:space="preserve">and</w:t>
      </w:r>
      <w:r>
        <w:t xml:space="preserve"> </w:t>
      </w:r>
      <w:r>
        <w:t xml:space="preserve">tune</w:t>
      </w:r>
      <w:r>
        <w:t xml:space="preserve"> </w:t>
      </w:r>
      <w:r>
        <w:t xml:space="preserve">the</w:t>
      </w:r>
      <w:r>
        <w:t xml:space="preserve"> </w:t>
      </w:r>
      <w:r>
        <w:t xml:space="preserve">prompt.</w:t>
      </w:r>
      <w:r>
        <w:t xml:space="preserve"> </w:t>
      </w:r>
      <w:r>
        <w:t xml:space="preserve">This</w:t>
      </w:r>
      <w:r>
        <w:t xml:space="preserve"> </w:t>
      </w:r>
      <w:r>
        <w:t xml:space="preserve">position</w:t>
      </w:r>
      <w:r>
        <w:t xml:space="preserve"> </w:t>
      </w:r>
      <w:r>
        <w:t xml:space="preserve">paper</w:t>
      </w:r>
      <w:r>
        <w:t xml:space="preserve"> </w:t>
      </w:r>
      <w:r>
        <w:t xml:space="preserve">argues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assumption</w:t>
      </w:r>
      <w:r>
        <w:t xml:space="preserve"> </w:t>
      </w:r>
      <w:r>
        <w:t xml:space="preserve">is</w:t>
      </w:r>
      <w:r>
        <w:t xml:space="preserve"> </w:t>
      </w:r>
      <w:r>
        <w:t xml:space="preserve">false</w:t>
      </w:r>
      <w:r>
        <w:t xml:space="preserve"> </w:t>
      </w:r>
      <w:r>
        <w:t xml:space="preserve">for</w:t>
      </w:r>
      <w:r>
        <w:t xml:space="preserve"> </w:t>
      </w:r>
      <w:r>
        <w:t xml:space="preserve">rule-bearing</w:t>
      </w:r>
      <w:r>
        <w:t xml:space="preserve"> </w:t>
      </w:r>
      <w:r>
        <w:t xml:space="preserve">text</w:t>
      </w:r>
      <w:r>
        <w:t xml:space="preserve"> </w:t>
      </w:r>
      <w:r>
        <w:t xml:space="preserve">—</w:t>
      </w:r>
      <w:r>
        <w:t xml:space="preserve"> </w:t>
      </w:r>
      <w:r>
        <w:t xml:space="preserve">regulations,</w:t>
      </w:r>
      <w:r>
        <w:t xml:space="preserve"> </w:t>
      </w:r>
      <w:r>
        <w:t xml:space="preserve">policies,</w:t>
      </w:r>
      <w:r>
        <w:t xml:space="preserve"> </w:t>
      </w:r>
      <w:r>
        <w:t xml:space="preserve">contracts,</w:t>
      </w:r>
      <w:r>
        <w:t xml:space="preserve"> </w:t>
      </w:r>
      <w:r>
        <w:t xml:space="preserve">clinical</w:t>
      </w:r>
      <w:r>
        <w:t xml:space="preserve"> </w:t>
      </w:r>
      <w:r>
        <w:t xml:space="preserve">guidelines</w:t>
      </w:r>
      <w:r>
        <w:t xml:space="preserve"> </w:t>
      </w:r>
      <w:r>
        <w:t xml:space="preserve">—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failure</w:t>
      </w:r>
      <w:r>
        <w:t xml:space="preserve"> </w:t>
      </w:r>
      <w:r>
        <w:t xml:space="preserve">is</w:t>
      </w:r>
      <w:r>
        <w:t xml:space="preserve"> </w:t>
      </w:r>
      <w:r>
        <w:t xml:space="preserve">architectural,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question</w:t>
      </w:r>
      <w:r>
        <w:t xml:space="preserve"> </w:t>
      </w:r>
      <w:r>
        <w:t xml:space="preserve">of</w:t>
      </w:r>
      <w:r>
        <w:t xml:space="preserve"> </w:t>
      </w:r>
      <w:r>
        <w:t xml:space="preserve">scale.</w:t>
      </w:r>
    </w:p>
    <w:p>
      <w:pPr>
        <w:pStyle w:val="Abstract"/>
      </w:pPr>
      <w:r>
        <w:t xml:space="preserve">We</w:t>
      </w:r>
      <w:r>
        <w:t xml:space="preserve"> </w:t>
      </w:r>
      <w:r>
        <w:t xml:space="preserve">enumerate</w:t>
      </w:r>
      <w:r>
        <w:t xml:space="preserve"> </w:t>
      </w:r>
      <w:r>
        <w:t xml:space="preserve">six</w:t>
      </w:r>
      <w:r>
        <w:t xml:space="preserve"> </w:t>
      </w:r>
      <w:r>
        <w:t xml:space="preserve">properties</w:t>
      </w:r>
      <w:r>
        <w:t xml:space="preserve"> </w:t>
      </w:r>
      <w:r>
        <w:t xml:space="preserve">any</w:t>
      </w:r>
      <w:r>
        <w:t xml:space="preserve"> </w:t>
      </w:r>
      <w:r>
        <w:t xml:space="preserve">embedding</w:t>
      </w:r>
      <w:r>
        <w:t xml:space="preserve"> </w:t>
      </w:r>
      <w:r>
        <w:t xml:space="preserve">layer</w:t>
      </w:r>
      <w:r>
        <w:t xml:space="preserve"> </w:t>
      </w:r>
      <w:r>
        <w:t xml:space="preserve">must</w:t>
      </w:r>
      <w:r>
        <w:t xml:space="preserve"> </w:t>
      </w:r>
      <w:r>
        <w:t xml:space="preserve">preserve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automated</w:t>
      </w:r>
      <w:r>
        <w:t xml:space="preserve"> </w:t>
      </w:r>
      <w:r>
        <w:t xml:space="preserve">reasoning</w:t>
      </w:r>
      <w:r>
        <w:t xml:space="preserve"> </w:t>
      </w:r>
      <w:r>
        <w:t xml:space="preserve">over</w:t>
      </w:r>
      <w:r>
        <w:t xml:space="preserve"> </w:t>
      </w:r>
      <w:r>
        <w:t xml:space="preserve">rules:</w:t>
      </w:r>
      <w:r>
        <w:t xml:space="preserve"> </w:t>
      </w:r>
      <w:r>
        <w:t xml:space="preserve">polarity,</w:t>
      </w:r>
      <w:r>
        <w:t xml:space="preserve"> </w:t>
      </w:r>
      <w:r>
        <w:t xml:space="preserve">quantifier</w:t>
      </w:r>
      <w:r>
        <w:t xml:space="preserve"> </w:t>
      </w:r>
      <w:r>
        <w:t xml:space="preserve">scope,</w:t>
      </w:r>
      <w:r>
        <w:t xml:space="preserve"> </w:t>
      </w:r>
      <w:r>
        <w:t xml:space="preserve">structured</w:t>
      </w:r>
      <w:r>
        <w:t xml:space="preserve"> </w:t>
      </w:r>
      <w:r>
        <w:t xml:space="preserve">conditions,</w:t>
      </w:r>
      <w:r>
        <w:t xml:space="preserve"> </w:t>
      </w:r>
      <w:r>
        <w:t xml:space="preserve">obligation</w:t>
      </w:r>
      <w:r>
        <w:t xml:space="preserve"> </w:t>
      </w:r>
      <w:r>
        <w:t xml:space="preserve">strength,</w:t>
      </w:r>
      <w:r>
        <w:t xml:space="preserve"> </w:t>
      </w:r>
      <w:r>
        <w:t xml:space="preserve">cross-rule</w:t>
      </w:r>
      <w:r>
        <w:t xml:space="preserve"> </w:t>
      </w:r>
      <w:r>
        <w:t xml:space="preserve">correlation,</w:t>
      </w:r>
      <w:r>
        <w:t xml:space="preserve"> </w:t>
      </w:r>
      <w:r>
        <w:t xml:space="preserve">and</w:t>
      </w:r>
      <w:r>
        <w:t xml:space="preserve"> </w:t>
      </w:r>
      <w:r>
        <w:t xml:space="preserve">signed</w:t>
      </w:r>
      <w:r>
        <w:t xml:space="preserve"> </w:t>
      </w:r>
      <w:r>
        <w:t xml:space="preserve">interference.</w:t>
      </w:r>
      <w:r>
        <w:t xml:space="preserve"> </w:t>
      </w:r>
      <w:r>
        <w:t xml:space="preserve">We</w:t>
      </w:r>
      <w:r>
        <w:t xml:space="preserve"> </w:t>
      </w:r>
      <w:r>
        <w:t xml:space="preserve">show</w:t>
      </w:r>
      <w:r>
        <w:t xml:space="preserve"> </w:t>
      </w:r>
      <w:r>
        <w:t xml:space="preserve">that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properties</w:t>
      </w:r>
      <w:r>
        <w:t xml:space="preserve"> </w:t>
      </w:r>
      <w:r>
        <w:t xml:space="preserve">is,</w:t>
      </w:r>
      <w:r>
        <w:t xml:space="preserve"> </w:t>
      </w:r>
      <w:r>
        <w:t xml:space="preserve">by</w:t>
      </w:r>
      <w:r>
        <w:t xml:space="preserve"> </w:t>
      </w:r>
      <w:r>
        <w:t xml:space="preserve">construction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standard</w:t>
      </w:r>
      <w:r>
        <w:t xml:space="preserve"> </w:t>
      </w:r>
      <w:r>
        <w:t xml:space="preserve">contrastive</w:t>
      </w:r>
      <w:r>
        <w:t xml:space="preserve"> </w:t>
      </w:r>
      <w:r>
        <w:t xml:space="preserve">training</w:t>
      </w:r>
      <w:r>
        <w:t xml:space="preserve"> </w:t>
      </w:r>
      <w:r>
        <w:t xml:space="preserve">objective,</w:t>
      </w:r>
      <w:r>
        <w:t xml:space="preserve"> </w:t>
      </w:r>
      <w:r>
        <w:t xml:space="preserve">absent</w:t>
      </w:r>
      <w:r>
        <w:t xml:space="preserve"> </w:t>
      </w:r>
      <w:r>
        <w:t xml:space="preserve">from</w:t>
      </w:r>
      <w:r>
        <w:t xml:space="preserve"> </w:t>
      </w:r>
      <w:r>
        <w:t xml:space="preserve">general-purpose</w:t>
      </w:r>
      <w:r>
        <w:t xml:space="preserve"> </w:t>
      </w:r>
      <w:r>
        <w:t xml:space="preserve">embedding</w:t>
      </w:r>
      <w:r>
        <w:t xml:space="preserve"> </w:t>
      </w:r>
      <w:r>
        <w:t xml:space="preserve">models</w:t>
      </w:r>
      <w:r>
        <w:t xml:space="preserve"> </w:t>
      </w:r>
      <w:r>
        <w:t xml:space="preserve">trained</w:t>
      </w:r>
      <w:r>
        <w:t xml:space="preserve"> </w:t>
      </w:r>
      <w:r>
        <w:t xml:space="preserve">on</w:t>
      </w:r>
      <w:r>
        <w:t xml:space="preserve"> </w:t>
      </w:r>
      <w:r>
        <w:t xml:space="preserve">open-web</w:t>
      </w:r>
      <w:r>
        <w:t xml:space="preserve"> </w:t>
      </w:r>
      <w:r>
        <w:t xml:space="preserve">prose.</w:t>
      </w:r>
      <w:r>
        <w:t xml:space="preserve"> </w:t>
      </w:r>
      <w:r>
        <w:t xml:space="preserve">The</w:t>
      </w:r>
      <w:r>
        <w:t xml:space="preserve"> </w:t>
      </w:r>
      <w:r>
        <w:t xml:space="preserve">canonical</w:t>
      </w:r>
      <w:r>
        <w:t xml:space="preserve"> </w:t>
      </w:r>
      <w:r>
        <w:t xml:space="preserve">pathology</w:t>
      </w:r>
      <w:r>
        <w:t xml:space="preserve"> </w:t>
      </w:r>
      <w:r>
        <w:t xml:space="preserve">follows:</w:t>
      </w:r>
      <w:r>
        <w:t xml:space="preserve"> </w:t>
      </w:r>
      <w:r>
        <w:t xml:space="preserve">“</w:t>
      </w:r>
      <w:r>
        <w:t xml:space="preserve">must</w:t>
      </w:r>
      <w:r>
        <w:t xml:space="preserve"> </w:t>
      </w:r>
      <w:r>
        <w:t xml:space="preserve">report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must</w:t>
      </w:r>
      <w:r>
        <w:t xml:space="preserve"> </w:t>
      </w:r>
      <w:r>
        <w:t xml:space="preserve">not</w:t>
      </w:r>
      <w:r>
        <w:t xml:space="preserve"> </w:t>
      </w:r>
      <w:r>
        <w:t xml:space="preserve">report</w:t>
      </w:r>
      <w:r>
        <w:t xml:space="preserve">”</w:t>
      </w:r>
      <w:r>
        <w:t xml:space="preserve"> </w:t>
      </w:r>
      <w:r>
        <w:t xml:space="preserve">are</w:t>
      </w:r>
      <w:r>
        <w:t xml:space="preserve"> </w:t>
      </w:r>
      <w:r>
        <w:t xml:space="preserve">retrieved</w:t>
      </w:r>
      <w:r>
        <w:t xml:space="preserve"> </w:t>
      </w:r>
      <w:r>
        <w:t xml:space="preserve">as</w:t>
      </w:r>
      <w:r>
        <w:t xml:space="preserve"> </w:t>
      </w:r>
      <w:r>
        <w:t xml:space="preserve">near-duplicates;</w:t>
      </w:r>
      <w:r>
        <w:t xml:space="preserve"> </w:t>
      </w:r>
      <w:r>
        <w:t xml:space="preserve">a</w:t>
      </w:r>
      <w:r>
        <w:t xml:space="preserve"> </w:t>
      </w:r>
      <w:r>
        <w:t xml:space="preserve">downstream</w:t>
      </w:r>
      <w:r>
        <w:t xml:space="preserve"> </w:t>
      </w:r>
      <w:r>
        <w:t xml:space="preserve">generator</w:t>
      </w:r>
      <w:r>
        <w:t xml:space="preserve"> </w:t>
      </w:r>
      <w:r>
        <w:t xml:space="preserve">trained</w:t>
      </w:r>
      <w:r>
        <w:t xml:space="preserve"> </w:t>
      </w:r>
      <w:r>
        <w:t xml:space="preserve">to</w:t>
      </w:r>
      <w:r>
        <w:t xml:space="preserve"> </w:t>
      </w:r>
      <w:r>
        <w:t xml:space="preserve">synthesise</w:t>
      </w:r>
      <w:r>
        <w:t xml:space="preserve"> </w:t>
      </w:r>
      <w:r>
        <w:t xml:space="preserve">produces</w:t>
      </w:r>
      <w:r>
        <w:t xml:space="preserve"> </w:t>
      </w:r>
      <w:r>
        <w:t xml:space="preserve">a</w:t>
      </w:r>
      <w:r>
        <w:t xml:space="preserve"> </w:t>
      </w:r>
      <w:r>
        <w:t xml:space="preserve">confident</w:t>
      </w:r>
      <w:r>
        <w:t xml:space="preserve"> </w:t>
      </w:r>
      <w:r>
        <w:t xml:space="preserve">and</w:t>
      </w:r>
      <w:r>
        <w:t xml:space="preserve"> </w:t>
      </w:r>
      <w:r>
        <w:t xml:space="preserve">wrong</w:t>
      </w:r>
      <w:r>
        <w:t xml:space="preserve"> </w:t>
      </w:r>
      <w:r>
        <w:t xml:space="preserve">answer;</w:t>
      </w:r>
      <w:r>
        <w:t xml:space="preserve"> </w:t>
      </w:r>
      <w:r>
        <w:t xml:space="preserve">the</w:t>
      </w:r>
      <w:r>
        <w:t xml:space="preserve"> </w:t>
      </w:r>
      <w:r>
        <w:t xml:space="preserve">audit</w:t>
      </w:r>
      <w:r>
        <w:t xml:space="preserve"> </w:t>
      </w:r>
      <w:r>
        <w:t xml:space="preserve">record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liability.</w:t>
      </w:r>
    </w:p>
    <w:p>
      <w:pPr>
        <w:pStyle w:val="Abstract"/>
      </w:pPr>
      <w:r>
        <w:t xml:space="preserve">We</w:t>
      </w:r>
      <w:r>
        <w:t xml:space="preserve"> </w:t>
      </w:r>
      <w:r>
        <w:t xml:space="preserve">then</w:t>
      </w:r>
      <w:r>
        <w:t xml:space="preserve"> </w:t>
      </w:r>
      <w:r>
        <w:t xml:space="preserve">describe</w:t>
      </w:r>
      <w:r>
        <w:t xml:space="preserve"> </w:t>
      </w:r>
      <w:r>
        <w:t xml:space="preserve">the</w:t>
      </w:r>
      <w:r>
        <w:t xml:space="preserve"> </w:t>
      </w:r>
      <w:r>
        <w:t xml:space="preserve">design</w:t>
      </w:r>
      <w:r>
        <w:t xml:space="preserve"> </w:t>
      </w:r>
      <w:r>
        <w:t xml:space="preserve">premise</w:t>
      </w:r>
      <w:r>
        <w:t xml:space="preserve"> </w:t>
      </w:r>
      <w:r>
        <w:t xml:space="preserve">of</w:t>
      </w:r>
      <w:r>
        <w:t xml:space="preserve"> </w:t>
      </w:r>
      <w:r>
        <w:rPr>
          <w:bCs/>
          <w:b/>
        </w:rPr>
        <w:t xml:space="preserve">Q-Prime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t xml:space="preserve">purpose-built</w:t>
      </w:r>
      <w:r>
        <w:t xml:space="preserve"> </w:t>
      </w:r>
      <w:r>
        <w:t xml:space="preserve">embedding</w:t>
      </w:r>
      <w:r>
        <w:t xml:space="preserve"> </w:t>
      </w:r>
      <w:r>
        <w:t xml:space="preserve">model</w:t>
      </w:r>
      <w:r>
        <w:t xml:space="preserve"> </w:t>
      </w:r>
      <w:r>
        <w:t xml:space="preserve">built</w:t>
      </w:r>
      <w:r>
        <w:t xml:space="preserve"> </w:t>
      </w:r>
      <w:r>
        <w:t xml:space="preserve">around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signed</w:t>
      </w:r>
      <w:r>
        <w:rPr>
          <w:iCs/>
          <w:i/>
        </w:rPr>
        <w:t xml:space="preserve"> </w:t>
      </w:r>
      <w:r>
        <w:rPr>
          <w:iCs/>
          <w:i/>
        </w:rPr>
        <w:t xml:space="preserve">interference</w:t>
      </w:r>
      <w:r>
        <w:t xml:space="preserve"> </w:t>
      </w:r>
      <w:r>
        <w:t xml:space="preserve">operation</w:t>
      </w:r>
      <w:r>
        <w:t xml:space="preserve"> </w:t>
      </w:r>
      <w:r>
        <w:t xml:space="preserve">of</w:t>
      </w:r>
      <w:r>
        <w:t xml:space="preserve"> </w:t>
      </w:r>
      <w:r>
        <w:t xml:space="preserve">quantum</w:t>
      </w:r>
      <w:r>
        <w:t xml:space="preserve"> </w:t>
      </w:r>
      <w:r>
        <w:t xml:space="preserve">probability.</w:t>
      </w:r>
      <w:r>
        <w:t xml:space="preserve"> </w:t>
      </w:r>
      <w:r>
        <w:t xml:space="preserve">Q-Prime</w:t>
      </w:r>
      <w:r>
        <w:t xml:space="preserve"> </w:t>
      </w:r>
      <w:r>
        <w:t xml:space="preserve">preserves</w:t>
      </w:r>
      <w:r>
        <w:t xml:space="preserve"> </w:t>
      </w:r>
      <w:r>
        <w:t xml:space="preserve">the</w:t>
      </w:r>
      <w:r>
        <w:t xml:space="preserve"> </w:t>
      </w:r>
      <w:r>
        <w:t xml:space="preserve">six</w:t>
      </w:r>
      <w:r>
        <w:t xml:space="preserve"> </w:t>
      </w:r>
      <w:r>
        <w:t xml:space="preserve">properties</w:t>
      </w:r>
      <w:r>
        <w:t xml:space="preserve"> </w:t>
      </w:r>
      <w:r>
        <w:t xml:space="preserve">above</w:t>
      </w:r>
      <w:r>
        <w:t xml:space="preserve"> </w:t>
      </w:r>
      <w:r>
        <w:t xml:space="preserve">as</w:t>
      </w:r>
      <w:r>
        <w:t xml:space="preserve"> </w:t>
      </w:r>
      <w:r>
        <w:t xml:space="preserve">separable</w:t>
      </w:r>
      <w:r>
        <w:t xml:space="preserve"> </w:t>
      </w:r>
      <w:r>
        <w:t xml:space="preserve">directions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1,536-dimensional</w:t>
      </w:r>
      <w:r>
        <w:t xml:space="preserve"> </w:t>
      </w:r>
      <w:r>
        <w:t xml:space="preserve">Hilbert</w:t>
      </w:r>
      <w:r>
        <w:t xml:space="preserve"> </w:t>
      </w:r>
      <w:r>
        <w:t xml:space="preserve">space,</w:t>
      </w:r>
      <w:r>
        <w:t xml:space="preserve"> </w:t>
      </w:r>
      <w:r>
        <w:t xml:space="preserve">making</w:t>
      </w:r>
      <w:r>
        <w:t xml:space="preserve"> </w:t>
      </w:r>
      <w:r>
        <w:t xml:space="preserve">each</w:t>
      </w:r>
      <w:r>
        <w:t xml:space="preserve"> </w:t>
      </w:r>
      <w:r>
        <w:t xml:space="preserve">recoverable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named</w:t>
      </w:r>
      <w:r>
        <w:t xml:space="preserve"> </w:t>
      </w:r>
      <w:r>
        <w:t xml:space="preserve">projection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requiring</w:t>
      </w:r>
      <w:r>
        <w:t xml:space="preserve"> </w:t>
      </w:r>
      <w:r>
        <w:t xml:space="preserve">a</w:t>
      </w:r>
      <w:r>
        <w:t xml:space="preserve"> </w:t>
      </w:r>
      <w:r>
        <w:t xml:space="preserve">downstream</w:t>
      </w:r>
      <w:r>
        <w:t xml:space="preserve"> </w:t>
      </w:r>
      <w:r>
        <w:t xml:space="preserve">classifier.</w:t>
      </w:r>
      <w:r>
        <w:t xml:space="preserve"> </w:t>
      </w:r>
      <w:r>
        <w:t xml:space="preserve">The</w:t>
      </w:r>
      <w:r>
        <w:t xml:space="preserve"> </w:t>
      </w:r>
      <w:r>
        <w:t xml:space="preserve">headline</w:t>
      </w:r>
      <w:r>
        <w:t xml:space="preserve"> </w:t>
      </w:r>
      <w:r>
        <w:t xml:space="preserve">empirical</w:t>
      </w:r>
      <w:r>
        <w:t xml:space="preserve"> </w:t>
      </w:r>
      <w:r>
        <w:t xml:space="preserve">consequence:</w:t>
      </w:r>
      <w:r>
        <w:t xml:space="preserve"> </w:t>
      </w:r>
      <w:r>
        <w:t xml:space="preserve">on</w:t>
      </w:r>
      <w:r>
        <w:t xml:space="preserve"> </w:t>
      </w:r>
      <w:r>
        <w:t xml:space="preserve">QGI’s</w:t>
      </w:r>
      <w:r>
        <w:t xml:space="preserve"> </w:t>
      </w:r>
      <w:r>
        <w:t xml:space="preserve">regulatory-conflict</w:t>
      </w:r>
      <w:r>
        <w:t xml:space="preserve"> </w:t>
      </w:r>
      <w:r>
        <w:t xml:space="preserve">benchmark,</w:t>
      </w:r>
      <w:r>
        <w:t xml:space="preserve"> </w:t>
      </w:r>
      <w:r>
        <w:t xml:space="preserve">classical</w:t>
      </w:r>
      <w:r>
        <w:t xml:space="preserve"> </w:t>
      </w:r>
      <w:r>
        <w:t xml:space="preserve">cosine</w:t>
      </w:r>
      <w:r>
        <w:t xml:space="preserve"> </w:t>
      </w:r>
      <w:r>
        <w:t xml:space="preserve">similarity</w:t>
      </w:r>
      <w:r>
        <w:t xml:space="preserve"> </w:t>
      </w:r>
      <w:r>
        <w:t xml:space="preserve">across</w:t>
      </w:r>
      <w:r>
        <w:t xml:space="preserve"> </w:t>
      </w:r>
      <w:r>
        <w:t xml:space="preserve">five</w:t>
      </w:r>
      <w:r>
        <w:t xml:space="preserve"> </w:t>
      </w:r>
      <w:r>
        <w:t xml:space="preserve">widely</w:t>
      </w:r>
      <w:r>
        <w:t xml:space="preserve"> </w:t>
      </w:r>
      <w:r>
        <w:t xml:space="preserve">used</w:t>
      </w:r>
      <w:r>
        <w:t xml:space="preserve"> </w:t>
      </w:r>
      <w:r>
        <w:t xml:space="preserve">embedding</w:t>
      </w:r>
      <w:r>
        <w:t xml:space="preserve"> </w:t>
      </w:r>
      <w:r>
        <w:t xml:space="preserve">models</w:t>
      </w:r>
      <w:r>
        <w:t xml:space="preserve"> </w:t>
      </w:r>
      <w:r>
        <w:t xml:space="preserve">from</w:t>
      </w:r>
      <w:r>
        <w:t xml:space="preserve"> </w:t>
      </w:r>
      <w:r>
        <w:t xml:space="preserve">four</w:t>
      </w:r>
      <w:r>
        <w:t xml:space="preserve"> </w:t>
      </w:r>
      <w:r>
        <w:t xml:space="preserve">organisations</w:t>
      </w:r>
      <w:r>
        <w:t xml:space="preserve"> </w:t>
      </w:r>
      <w:r>
        <w:t xml:space="preserve">scores</w:t>
      </w:r>
      <w:r>
        <w:t xml:space="preserve"> </w:t>
      </w:r>
      <w:r>
        <w:t xml:space="preserve">an</w:t>
      </w:r>
      <w:r>
        <w:t xml:space="preserve"> </w:t>
      </w:r>
      <w:r>
        <w:t xml:space="preserve">F1</w:t>
      </w:r>
      <w:r>
        <w:t xml:space="preserve"> </w:t>
      </w:r>
      <w:r>
        <w:t xml:space="preserve">of</w:t>
      </w:r>
      <w:r>
        <w:t xml:space="preserve"> </w:t>
      </w:r>
      <w:r>
        <w:rPr>
          <w:bCs/>
          <w:b/>
        </w:rPr>
        <w:t xml:space="preserve">0.000</w:t>
      </w:r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t xml:space="preserve">QAG</w:t>
      </w:r>
      <w:r>
        <w:t xml:space="preserve"> </w:t>
      </w:r>
      <w:r>
        <w:t xml:space="preserve">interference</w:t>
      </w:r>
      <w:r>
        <w:t xml:space="preserve"> </w:t>
      </w:r>
      <w:r>
        <w:t xml:space="preserve">signal</w:t>
      </w:r>
      <w:r>
        <w:t xml:space="preserve"> </w:t>
      </w:r>
      <w:r>
        <w:t xml:space="preserve">driven</w:t>
      </w:r>
      <w:r>
        <w:t xml:space="preserve"> </w:t>
      </w:r>
      <w:r>
        <w:t xml:space="preserve">by</w:t>
      </w:r>
      <w:r>
        <w:t xml:space="preserve"> </w:t>
      </w:r>
      <w:r>
        <w:t xml:space="preserve">Q-Prime</w:t>
      </w:r>
      <w:r>
        <w:t xml:space="preserve"> </w:t>
      </w:r>
      <w:r>
        <w:t xml:space="preserve">scores</w:t>
      </w:r>
      <w:r>
        <w:t xml:space="preserve"> </w:t>
      </w:r>
      <w:r>
        <w:t xml:space="preserve">an</w:t>
      </w:r>
      <w:r>
        <w:t xml:space="preserve"> </w:t>
      </w:r>
      <w:r>
        <w:t xml:space="preserve">F1</w:t>
      </w:r>
      <w:r>
        <w:t xml:space="preserve"> </w:t>
      </w:r>
      <w:r>
        <w:t xml:space="preserve">of</w:t>
      </w:r>
      <w:r>
        <w:t xml:space="preserve"> </w:t>
      </w:r>
      <w:r>
        <w:rPr>
          <w:bCs/>
          <w:b/>
        </w:rPr>
        <w:t xml:space="preserve">1.000</w:t>
      </w:r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r>
        <w:t xml:space="preserve">discuss</w:t>
      </w:r>
      <w:r>
        <w:t xml:space="preserve"> </w:t>
      </w:r>
      <w:r>
        <w:t xml:space="preserve">what</w:t>
      </w:r>
      <w:r>
        <w:t xml:space="preserve"> </w:t>
      </w:r>
      <w:r>
        <w:t xml:space="preserve">the</w:t>
      </w:r>
      <w:r>
        <w:t xml:space="preserve"> </w:t>
      </w:r>
      <w:r>
        <w:t xml:space="preserve">gap</w:t>
      </w:r>
      <w:r>
        <w:t xml:space="preserve"> </w:t>
      </w:r>
      <w:r>
        <w:t xml:space="preserve">means</w:t>
      </w:r>
      <w:r>
        <w:t xml:space="preserve"> </w:t>
      </w:r>
      <w:r>
        <w:t xml:space="preserve">for</w:t>
      </w:r>
      <w:r>
        <w:t xml:space="preserve"> </w:t>
      </w:r>
      <w:r>
        <w:t xml:space="preserve">practitioners</w:t>
      </w:r>
      <w:r>
        <w:t xml:space="preserve"> </w:t>
      </w:r>
      <w:r>
        <w:t xml:space="preserve">and</w:t>
      </w:r>
      <w:r>
        <w:t xml:space="preserve"> </w:t>
      </w:r>
      <w:r>
        <w:t xml:space="preserve">provide</w:t>
      </w:r>
      <w:r>
        <w:t xml:space="preserve"> </w:t>
      </w:r>
      <w:r>
        <w:t xml:space="preserve">a</w:t>
      </w:r>
      <w:r>
        <w:t xml:space="preserve"> </w:t>
      </w:r>
      <w:r>
        <w:t xml:space="preserve">short</w:t>
      </w:r>
      <w:r>
        <w:t xml:space="preserve"> </w:t>
      </w:r>
      <w:r>
        <w:t xml:space="preserve">evaluation</w:t>
      </w:r>
      <w:r>
        <w:t xml:space="preserve"> </w:t>
      </w:r>
      <w:r>
        <w:t xml:space="preserve">checklist</w:t>
      </w:r>
      <w:r>
        <w:t xml:space="preserve"> </w:t>
      </w:r>
      <w:r>
        <w:t xml:space="preserve">for</w:t>
      </w:r>
      <w:r>
        <w:t xml:space="preserve"> </w:t>
      </w:r>
      <w:r>
        <w:t xml:space="preserve">teams</w:t>
      </w:r>
      <w:r>
        <w:t xml:space="preserve"> </w:t>
      </w:r>
      <w:r>
        <w:t xml:space="preserve">choosing</w:t>
      </w:r>
      <w:r>
        <w:t xml:space="preserve"> </w:t>
      </w:r>
      <w:r>
        <w:t xml:space="preserve">an</w:t>
      </w:r>
      <w:r>
        <w:t xml:space="preserve"> </w:t>
      </w:r>
      <w:r>
        <w:t xml:space="preserve">embedding</w:t>
      </w:r>
      <w:r>
        <w:t xml:space="preserve"> </w:t>
      </w:r>
      <w:r>
        <w:t xml:space="preserve">model</w:t>
      </w:r>
      <w:r>
        <w:t xml:space="preserve"> </w:t>
      </w:r>
      <w:r>
        <w:t xml:space="preserve">for</w:t>
      </w:r>
      <w:r>
        <w:t xml:space="preserve"> </w:t>
      </w:r>
      <w:r>
        <w:t xml:space="preserve">rule-bearing</w:t>
      </w:r>
      <w:r>
        <w:t xml:space="preserve"> </w:t>
      </w:r>
      <w:r>
        <w:t xml:space="preserve">content.</w:t>
      </w:r>
      <w:r>
        <w:t xml:space="preserve"> </w:t>
      </w:r>
      <w:r>
        <w:t xml:space="preserve">Detailed</w:t>
      </w:r>
      <w:r>
        <w:t xml:space="preserve"> </w:t>
      </w:r>
      <w:r>
        <w:t xml:space="preserve">benchmark</w:t>
      </w:r>
      <w:r>
        <w:t xml:space="preserve"> </w:t>
      </w:r>
      <w:r>
        <w:t xml:space="preserve">methodology</w:t>
      </w:r>
      <w:r>
        <w:t xml:space="preserve"> </w:t>
      </w:r>
      <w:r>
        <w:t xml:space="preserve">is</w:t>
      </w:r>
      <w:r>
        <w:t xml:space="preserve"> </w:t>
      </w:r>
      <w:r>
        <w:t xml:space="preserve">reserved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forthcoming</w:t>
      </w:r>
      <w:r>
        <w:t xml:space="preserve"> </w:t>
      </w:r>
      <w:r>
        <w:t xml:space="preserve">companion</w:t>
      </w:r>
      <w:r>
        <w:t xml:space="preserve"> </w:t>
      </w:r>
      <w:r>
        <w:t xml:space="preserve">evaluation</w:t>
      </w:r>
      <w:r>
        <w:t xml:space="preserve"> </w:t>
      </w:r>
      <w:r>
        <w:t xml:space="preserve">paper.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Cs/>
          <w:b/>
        </w:rPr>
        <w:t xml:space="preserve">Preprint — v1.0, 21 April 2026.</w:t>
      </w:r>
      <w:r>
        <w:t xml:space="preserve"> </w:t>
      </w:r>
      <w:r>
        <w:t xml:space="preserve">Not peer-reviewed. Authored by Dr. Sam Sammane, CTO and Founder,</w:t>
      </w:r>
      <w:r>
        <w:t xml:space="preserve"> </w:t>
      </w:r>
      <w:r>
        <w:t xml:space="preserve">Quantum General Intelligence, Inc. (</w:t>
      </w:r>
      <w:r>
        <w:rPr>
          <w:rStyle w:val="VerbatimChar"/>
        </w:rPr>
        <w:t xml:space="preserve">sam@qgi.dev</w:t>
      </w:r>
      <w:r>
        <w:t xml:space="preserve">). Companion to the</w:t>
      </w:r>
      <w:r>
        <w:t xml:space="preserve"> </w:t>
      </w:r>
      <w:r>
        <w:t xml:space="preserve">canonical QAG engine preprint [QGI-TR-2026-01]. Comments welcome at</w:t>
      </w:r>
      <w:r>
        <w:t xml:space="preserve"> </w:t>
      </w:r>
      <w:r>
        <w:rPr>
          <w:rStyle w:val="VerbatimChar"/>
        </w:rPr>
        <w:t xml:space="preserve">research@qgi.dev</w:t>
      </w:r>
      <w:r>
        <w:t xml:space="preserve">.</w:t>
      </w:r>
    </w:p>
    <w:bookmarkStart w:id="20" w:name="the-embedding-layer-is-load-bearing"/>
    <w:p>
      <w:pPr>
        <w:pStyle w:val="Heading1"/>
      </w:pPr>
      <w:r>
        <w:t xml:space="preserve">The embedding layer is load-bearing</w:t>
      </w:r>
    </w:p>
    <w:p>
      <w:pPr>
        <w:pStyle w:val="FirstParagraph"/>
      </w:pPr>
      <w:r>
        <w:t xml:space="preserve">Retrieval-Augmented Generation (RAG) is the dominant pattern for</w:t>
      </w:r>
      <w:r>
        <w:t xml:space="preserve"> </w:t>
      </w:r>
      <w:r>
        <w:t xml:space="preserve">grounding language-model answers in a corpus of documents. Under the</w:t>
      </w:r>
      <w:r>
        <w:t xml:space="preserve"> </w:t>
      </w:r>
      <w:r>
        <w:t xml:space="preserve">hood, RAG rests on one quiet assumption: the embedding model flattens a</w:t>
      </w:r>
      <w:r>
        <w:t xml:space="preserve"> </w:t>
      </w:r>
      <w:r>
        <w:t xml:space="preserve">passage to a vector, and nearby vectors are considered interchangeable</w:t>
      </w:r>
      <w:r>
        <w:t xml:space="preserve"> </w:t>
      </w:r>
      <w:r>
        <w:t xml:space="preserve">for the purpose of retrieval. The assumption is benign for many</w:t>
      </w:r>
      <w:r>
        <w:t xml:space="preserve"> </w:t>
      </w:r>
      <w:r>
        <w:t xml:space="preserve">applications — product search, FAQ retrieval, conversational agents</w:t>
      </w:r>
      <w:r>
        <w:t xml:space="preserve"> </w:t>
      </w:r>
      <w:r>
        <w:t xml:space="preserve">whose factual claims can tolerate small drift. It is catastrophic for</w:t>
      </w:r>
      <w:r>
        <w:t xml:space="preserve"> </w:t>
      </w:r>
      <w:r>
        <w:t xml:space="preserve">any application that depends on</w:t>
      </w:r>
      <w:r>
        <w:t xml:space="preserve"> </w:t>
      </w:r>
      <w:r>
        <w:rPr>
          <w:iCs/>
          <w:i/>
        </w:rPr>
        <w:t xml:space="preserve">rules</w:t>
      </w:r>
      <w:r>
        <w:t xml:space="preserve"> </w:t>
      </w:r>
      <w:r>
        <w:t xml:space="preserve">rather than on prose.</w:t>
      </w:r>
    </w:p>
    <w:p>
      <w:pPr>
        <w:pStyle w:val="BodyText"/>
      </w:pPr>
      <w:r>
        <w:t xml:space="preserve">A regulation is not a paragraph. It is a rule: a structured</w:t>
      </w:r>
      <w:r>
        <w:t xml:space="preserve"> </w:t>
      </w:r>
      <w:r>
        <w:t xml:space="preserve">conditional with a trigger, a set of conditions, an obligation, an</w:t>
      </w:r>
      <w:r>
        <w:t xml:space="preserve"> </w:t>
      </w:r>
      <w:r>
        <w:t xml:space="preserve">exception, and a sanction. Two rules can be lexically and semantically</w:t>
      </w:r>
      <w:r>
        <w:t xml:space="preserve"> </w:t>
      </w:r>
      <w:r>
        <w:t xml:space="preserve">very close —</w:t>
      </w:r>
      <w:r>
        <w:t xml:space="preserve"> </w:t>
      </w:r>
      <w:r>
        <w:t xml:space="preserve">“</w:t>
      </w:r>
      <w:r>
        <w:t xml:space="preserve">a broker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disclose material conflicts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</w:t>
      </w:r>
      <w:r>
        <w:t xml:space="preserve"> </w:t>
      </w:r>
      <w:r>
        <w:t xml:space="preserve">broker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disclose material conflicts</w:t>
      </w:r>
      <w:r>
        <w:t xml:space="preserve">”</w:t>
      </w:r>
      <w:r>
        <w:t xml:space="preserve"> </w:t>
      </w:r>
      <w:r>
        <w:t xml:space="preserve">— and differ only</w:t>
      </w:r>
      <w:r>
        <w:t xml:space="preserve"> </w:t>
      </w:r>
      <w:r>
        <w:t xml:space="preserve">in a token of negation. In the embedding space of every widely</w:t>
      </w:r>
      <w:r>
        <w:t xml:space="preserve"> </w:t>
      </w:r>
      <w:r>
        <w:t xml:space="preserve">deployed general-purpose model, those two sentences are near-duplicates.</w:t>
      </w:r>
      <w:r>
        <w:t xml:space="preserve"> </w:t>
      </w:r>
      <w:r>
        <w:t xml:space="preserve">A retriever asked for information about disclosure obligations returns</w:t>
      </w:r>
      <w:r>
        <w:t xml:space="preserve"> </w:t>
      </w:r>
      <w:r>
        <w:t xml:space="preserve">them together. The downstream generator, told to synthesise, makes a</w:t>
      </w:r>
      <w:r>
        <w:t xml:space="preserve"> </w:t>
      </w:r>
      <w:r>
        <w:t xml:space="preserve">fluent, citeable, and wrong statement about the obligation.</w:t>
      </w:r>
    </w:p>
    <w:p>
      <w:pPr>
        <w:pStyle w:val="BodyText"/>
      </w:pPr>
      <w:r>
        <w:t xml:space="preserve">This is not a hyperparameter problem. It is a property of the training</w:t>
      </w:r>
      <w:r>
        <w:t xml:space="preserve"> </w:t>
      </w:r>
      <w:r>
        <w:t xml:space="preserve">objective. Scaling the model larger does not make negation</w:t>
      </w:r>
      <w:r>
        <w:t xml:space="preserve"> </w:t>
      </w:r>
      <w:r>
        <w:rPr>
          <w:iCs/>
          <w:i/>
        </w:rPr>
        <w:t xml:space="preserve">louder</w:t>
      </w:r>
      <w:r>
        <w:t xml:space="preserve">; it</w:t>
      </w:r>
      <w:r>
        <w:t xml:space="preserve"> </w:t>
      </w:r>
      <w:r>
        <w:t xml:space="preserve">only makes the space around both sentences larger by the same factor.</w:t>
      </w:r>
    </w:p>
    <w:p>
      <w:pPr>
        <w:pStyle w:val="BodyText"/>
      </w:pPr>
      <w:r>
        <w:t xml:space="preserve">This paper makes three claims. First, any embedding layer used for</w:t>
      </w:r>
      <w:r>
        <w:t xml:space="preserve"> </w:t>
      </w:r>
      <w:r>
        <w:t xml:space="preserve">rule-bearing text must preserve six specific properties, which we</w:t>
      </w:r>
      <w:r>
        <w:t xml:space="preserve"> </w:t>
      </w:r>
      <w:r>
        <w:t xml:space="preserve">enumerate in §2. Second, every widely deployed general-purpose</w:t>
      </w:r>
      <w:r>
        <w:t xml:space="preserve"> </w:t>
      </w:r>
      <w:r>
        <w:t xml:space="preserve">embedding model violates at least five of the six (§3). Third, a</w:t>
      </w:r>
      <w:r>
        <w:t xml:space="preserve"> </w:t>
      </w:r>
      <w:r>
        <w:t xml:space="preserve">purpose-built embedding model designed around the</w:t>
      </w:r>
      <w:r>
        <w:t xml:space="preserve"> </w:t>
      </w:r>
      <w:r>
        <w:rPr>
          <w:iCs/>
          <w:i/>
        </w:rPr>
        <w:t xml:space="preserve">signed interference</w:t>
      </w:r>
      <w:r>
        <w:t xml:space="preserve"> </w:t>
      </w:r>
      <w:r>
        <w:t xml:space="preserve">operation of quantum probability preserves them all (§4), with the</w:t>
      </w:r>
      <w:r>
        <w:t xml:space="preserve"> </w:t>
      </w:r>
      <w:r>
        <w:t xml:space="preserve">empirical consequence that classical cosine similarity scores F1 =</w:t>
      </w:r>
      <w:r>
        <w:t xml:space="preserve"> </w:t>
      </w:r>
      <w:r>
        <w:t xml:space="preserve">0.000 on the regulatory-conflict benchmark while the QAG interference</w:t>
      </w:r>
      <w:r>
        <w:t xml:space="preserve"> </w:t>
      </w:r>
      <w:r>
        <w:t xml:space="preserve">signal driven by Q-Prime scores F1 = 1.000 (§5).</w:t>
      </w:r>
    </w:p>
    <w:p>
      <w:pPr>
        <w:pStyle w:val="BodyText"/>
      </w:pPr>
      <w:r>
        <w:t xml:space="preserve">The argument extends straightforwardly to AI agents: an agent that</w:t>
      </w:r>
      <w:r>
        <w:t xml:space="preserve"> </w:t>
      </w:r>
      <w:r>
        <w:t xml:space="preserve">accumulates rules, preferences, and observations as memory items</w:t>
      </w:r>
      <w:r>
        <w:t xml:space="preserve"> </w:t>
      </w:r>
      <w:r>
        <w:t xml:space="preserve">suffers exactly the same pathology if its memory store uses a</w:t>
      </w:r>
      <w:r>
        <w:t xml:space="preserve"> </w:t>
      </w:r>
      <w:r>
        <w:t xml:space="preserve">general-purpose embedding. We discuss this extension briefly at the</w:t>
      </w:r>
      <w:r>
        <w:t xml:space="preserve"> </w:t>
      </w:r>
      <w:r>
        <w:t xml:space="preserve">end, but the companion paper [QGI-TR-2026-03] is the canonical</w:t>
      </w:r>
      <w:r>
        <w:t xml:space="preserve"> </w:t>
      </w:r>
      <w:r>
        <w:t xml:space="preserve">treatment of agent memory.</w:t>
      </w:r>
    </w:p>
    <w:bookmarkEnd w:id="20"/>
    <w:bookmarkStart w:id="28" w:name="X4b8f8a4f06fe8740b8da91289d4b4ef0d31b0fe"/>
    <w:p>
      <w:pPr>
        <w:pStyle w:val="Heading1"/>
      </w:pPr>
      <w:r>
        <w:t xml:space="preserve">Six properties any compliance-grade embedding must preserve</w:t>
      </w:r>
    </w:p>
    <w:p>
      <w:pPr>
        <w:pStyle w:val="FirstParagraph"/>
      </w:pPr>
      <w:r>
        <w:t xml:space="preserve">A reasoning-first pipeline over rule-bearing text — such as QGI’s</w:t>
      </w:r>
      <w:r>
        <w:t xml:space="preserve"> </w:t>
      </w:r>
      <w:r>
        <w:t xml:space="preserve">QAG engine [QGI-TR-2026-01] — projects the embedding of a rule onto</w:t>
      </w:r>
      <w:r>
        <w:t xml:space="preserve"> </w:t>
      </w:r>
      <w:r>
        <w:t xml:space="preserve">named subspaces to expose conflict, overlap, redundancy, and related</w:t>
      </w:r>
      <w:r>
        <w:t xml:space="preserve"> </w:t>
      </w:r>
      <w:r>
        <w:t xml:space="preserve">observables. The projection operation assumes that the quantities</w:t>
      </w:r>
      <w:r>
        <w:t xml:space="preserve"> </w:t>
      </w:r>
      <w:r>
        <w:t xml:space="preserve">projected</w:t>
      </w:r>
      <w:r>
        <w:t xml:space="preserve"> </w:t>
      </w:r>
      <w:r>
        <w:rPr>
          <w:iCs/>
          <w:i/>
        </w:rPr>
        <w:t xml:space="preserve">exist</w:t>
      </w:r>
      <w:r>
        <w:t xml:space="preserve"> </w:t>
      </w:r>
      <w:r>
        <w:t xml:space="preserve">as separable directions in the embedding space. If</w:t>
      </w:r>
      <w:r>
        <w:t xml:space="preserve"> </w:t>
      </w:r>
      <w:r>
        <w:t xml:space="preserve">they do not, no downstream layer can recover them. We enumerate the</w:t>
      </w:r>
      <w:r>
        <w:t xml:space="preserve"> </w:t>
      </w:r>
      <w:r>
        <w:t xml:space="preserve">six properties required:</w:t>
      </w:r>
    </w:p>
    <w:bookmarkStart w:id="21" w:name="polarity-as-a-first-class-parameter"/>
    <w:p>
      <w:pPr>
        <w:pStyle w:val="Heading2"/>
      </w:pPr>
      <w:r>
        <w:t xml:space="preserve">Polarity as a first-class parameter</w:t>
      </w:r>
    </w:p>
    <w:p>
      <w:pPr>
        <w:pStyle w:val="FirstParagraph"/>
      </w:pPr>
      <w:r>
        <w:t xml:space="preserve">Two clauses that differ only by a negation are</w:t>
      </w:r>
      <w:r>
        <w:t xml:space="preserve"> </w:t>
      </w:r>
      <w:r>
        <w:rPr>
          <w:iCs/>
          <w:i/>
        </w:rPr>
        <w:t xml:space="preserve">opposite</w:t>
      </w:r>
      <w:r>
        <w:t xml:space="preserve">, not</w:t>
      </w:r>
      <w:r>
        <w:t xml:space="preserve"> </w:t>
      </w:r>
      <w:r>
        <w:rPr>
          <w:iCs/>
          <w:i/>
        </w:rPr>
        <w:t xml:space="preserve">similar</w:t>
      </w:r>
      <w:r>
        <w:t xml:space="preserve">. The distinction is not a matter of degree; it is a matter</w:t>
      </w:r>
      <w:r>
        <w:t xml:space="preserve"> </w:t>
      </w:r>
      <w:r>
        <w:t xml:space="preserve">of sign. The embedding representation must carry polarity as a</w:t>
      </w:r>
      <w:r>
        <w:t xml:space="preserve"> </w:t>
      </w:r>
      <w:r>
        <w:t xml:space="preserve">measurable direction, such that</w:t>
      </w:r>
      <w:r>
        <w:t xml:space="preserve"> </w:t>
      </w:r>
      <w:r>
        <w:t xml:space="preserve">“</w:t>
      </w:r>
      <w:r>
        <w:t xml:space="preserve">must report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must not report</w:t>
      </w:r>
      <w:r>
        <w:t xml:space="preserve">”</w:t>
      </w:r>
      <w:r>
        <w:t xml:space="preserve"> </w:t>
      </w:r>
      <w:r>
        <w:t xml:space="preserve">have inner products of opposite sign under the relevant projection.</w:t>
      </w:r>
      <w:r>
        <w:t xml:space="preserve"> </w:t>
      </w:r>
      <w:r>
        <w:t xml:space="preserve">Token-level perturbations of a general-purpose embedding are far too</w:t>
      </w:r>
      <w:r>
        <w:t xml:space="preserve"> </w:t>
      </w:r>
      <w:r>
        <w:t xml:space="preserve">small to constitute a sign change under cosine similarity.</w:t>
      </w:r>
    </w:p>
    <w:bookmarkEnd w:id="21"/>
    <w:bookmarkStart w:id="22" w:name="scope-and-quantifier-sensitivity"/>
    <w:p>
      <w:pPr>
        <w:pStyle w:val="Heading2"/>
      </w:pPr>
      <w:r>
        <w:t xml:space="preserve">Scope and quantifier sensitivity</w:t>
      </w:r>
    </w:p>
    <w:p>
      <w:pPr>
        <w:pStyle w:val="FirstParagraph"/>
      </w:pPr>
      <w:r>
        <w:t xml:space="preserve">Rule bodies routinely use universal (</w:t>
      </w:r>
      <w:r>
        <w:t xml:space="preserve">“</w:t>
      </w:r>
      <w:r>
        <w:t xml:space="preserve">all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every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any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) and existential (</w:t>
      </w:r>
      <w:r>
        <w:t xml:space="preserve">“</w:t>
      </w:r>
      <w:r>
        <w:t xml:space="preserve">some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at least one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there exists</w:t>
      </w:r>
      <w:r>
        <w:t xml:space="preserve">”</w:t>
      </w:r>
      <w:r>
        <w:t xml:space="preserve">)</w:t>
      </w:r>
      <w:r>
        <w:t xml:space="preserve"> </w:t>
      </w:r>
      <w:r>
        <w:t xml:space="preserve">quantifiers. The distinction determines whether a clause applies at</w:t>
      </w:r>
      <w:r>
        <w:t xml:space="preserve"> </w:t>
      </w:r>
      <w:r>
        <w:t xml:space="preserve">all.</w:t>
      </w:r>
      <w:r>
        <w:t xml:space="preserve"> </w:t>
      </w:r>
      <w:r>
        <w:t xml:space="preserve">“</w:t>
      </w:r>
      <w:r>
        <w:t xml:space="preserve">All employees must report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some employees must report</w:t>
      </w:r>
      <w:r>
        <w:t xml:space="preserve">”</w:t>
      </w:r>
      <w:r>
        <w:t xml:space="preserve"> </w:t>
      </w:r>
      <w:r>
        <w:t xml:space="preserve">differ by a single token but by a universe of obligation. The</w:t>
      </w:r>
      <w:r>
        <w:t xml:space="preserve"> </w:t>
      </w:r>
      <w:r>
        <w:t xml:space="preserve">embedding must keep these apart in a direction recoverable by the</w:t>
      </w:r>
      <w:r>
        <w:t xml:space="preserve"> </w:t>
      </w:r>
      <w:r>
        <w:t xml:space="preserve">HSC projection; absent that, downstream reasoning confuses</w:t>
      </w:r>
      <w:r>
        <w:t xml:space="preserve"> </w:t>
      </w:r>
      <w:r>
        <w:t xml:space="preserve">“</w:t>
      </w:r>
      <w:r>
        <w:t xml:space="preserve">applies</w:t>
      </w:r>
      <w:r>
        <w:t xml:space="preserve"> </w:t>
      </w:r>
      <w:r>
        <w:t xml:space="preserve">to me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applies to somebody</w:t>
      </w:r>
      <w:r>
        <w:t xml:space="preserve">”</w:t>
      </w:r>
      <w:r>
        <w:t xml:space="preserve">.</w:t>
      </w:r>
    </w:p>
    <w:bookmarkEnd w:id="22"/>
    <w:bookmarkStart w:id="23" w:name="structured-conditions"/>
    <w:p>
      <w:pPr>
        <w:pStyle w:val="Heading2"/>
      </w:pPr>
      <w:r>
        <w:t xml:space="preserve">Structured conditions</w:t>
      </w:r>
    </w:p>
    <w:p>
      <w:pPr>
        <w:pStyle w:val="FirstParagraph"/>
      </w:pPr>
      <w:r>
        <w:t xml:space="preserve">A regulatory clause takes the internal shape</w:t>
      </w:r>
      <w:r>
        <w:t xml:space="preserve"> </w:t>
      </w:r>
      <w:r>
        <w:rPr>
          <w:iCs/>
          <w:i/>
        </w:rPr>
        <w:t xml:space="preserve">(trigger, condition,</w:t>
      </w:r>
      <w:r>
        <w:rPr>
          <w:iCs/>
          <w:i/>
        </w:rPr>
        <w:t xml:space="preserve"> </w:t>
      </w:r>
      <w:r>
        <w:rPr>
          <w:iCs/>
          <w:i/>
        </w:rPr>
        <w:t xml:space="preserve">action, exception, scope)</w:t>
      </w:r>
      <w:r>
        <w:t xml:space="preserve">. An embedding that captures only the</w:t>
      </w:r>
      <w:r>
        <w:t xml:space="preserve"> </w:t>
      </w:r>
      <w:r>
        <w:t xml:space="preserve">surface sentence throws the structure away; a retrieval system that</w:t>
      </w:r>
      <w:r>
        <w:t xml:space="preserve"> </w:t>
      </w:r>
      <w:r>
        <w:t xml:space="preserve">uses that embedding cannot express a query like</w:t>
      </w:r>
      <w:r>
        <w:t xml:space="preserve"> </w:t>
      </w:r>
      <w:r>
        <w:t xml:space="preserve">“</w:t>
      </w:r>
      <w:r>
        <w:t xml:space="preserve">give me all rules</w:t>
      </w:r>
      <w:r>
        <w:t xml:space="preserve"> </w:t>
      </w:r>
      <w:r>
        <w:t xml:space="preserve">whose</w:t>
      </w:r>
      <w:r>
        <w:t xml:space="preserve"> </w:t>
      </w:r>
      <w:r>
        <w:rPr>
          <w:iCs/>
          <w:i/>
        </w:rPr>
        <w:t xml:space="preserve">exception</w:t>
      </w:r>
      <w:r>
        <w:t xml:space="preserve"> </w:t>
      </w:r>
      <w:r>
        <w:t xml:space="preserve">mentions the jurisdiction of California</w:t>
      </w:r>
      <w:r>
        <w:t xml:space="preserve">”</w:t>
      </w:r>
      <w:r>
        <w:t xml:space="preserve">. Q-Prime</w:t>
      </w:r>
      <w:r>
        <w:t xml:space="preserve"> </w:t>
      </w:r>
      <w:r>
        <w:t xml:space="preserve">exposes each structural role as a first-class direction.</w:t>
      </w:r>
    </w:p>
    <w:bookmarkEnd w:id="23"/>
    <w:bookmarkStart w:id="24" w:name="obligation-strength"/>
    <w:p>
      <w:pPr>
        <w:pStyle w:val="Heading2"/>
      </w:pPr>
      <w:r>
        <w:t xml:space="preserve">Obligation strength</w:t>
      </w:r>
    </w:p>
    <w:p>
      <w:pPr>
        <w:pStyle w:val="FirstParagraph"/>
      </w:pPr>
      <w:r>
        <w:t xml:space="preserve">“</w:t>
      </w:r>
      <w:r>
        <w:t xml:space="preserve">Shall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must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may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should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recommended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encouraged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is</w:t>
      </w:r>
      <w:r>
        <w:t xml:space="preserve"> </w:t>
      </w:r>
      <w:r>
        <w:t xml:space="preserve">expected to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is required to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may at its discretion</w:t>
      </w:r>
      <w:r>
        <w:t xml:space="preserve">”</w:t>
      </w:r>
      <w:r>
        <w:t xml:space="preserve"> </w:t>
      </w:r>
      <w:r>
        <w:t xml:space="preserve">form a</w:t>
      </w:r>
      <w:r>
        <w:t xml:space="preserve"> </w:t>
      </w:r>
      <w:r>
        <w:t xml:space="preserve">continuous spectrum of obligation strength with legal consequence.</w:t>
      </w:r>
      <w:r>
        <w:t xml:space="preserve"> </w:t>
      </w:r>
      <w:r>
        <w:t xml:space="preserve">Two clauses identical except for the modal verb are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interchangeable. The embedding must place them at different points</w:t>
      </w:r>
      <w:r>
        <w:t xml:space="preserve"> </w:t>
      </w:r>
      <w:r>
        <w:t xml:space="preserve">along an obligation axis; classical training objectives that reward</w:t>
      </w:r>
      <w:r>
        <w:t xml:space="preserve"> </w:t>
      </w:r>
      <w:r>
        <w:t xml:space="preserve">topical proximity do not provide this axis.</w:t>
      </w:r>
    </w:p>
    <w:bookmarkEnd w:id="24"/>
    <w:bookmarkStart w:id="25" w:name="cross-rule-correlation-entanglement"/>
    <w:p>
      <w:pPr>
        <w:pStyle w:val="Heading2"/>
      </w:pPr>
      <w:r>
        <w:t xml:space="preserve">Cross-rule correlation (entanglement)</w:t>
      </w:r>
    </w:p>
    <w:p>
      <w:pPr>
        <w:pStyle w:val="FirstParagraph"/>
      </w:pPr>
      <w:r>
        <w:t xml:space="preserve">The compliance status of rule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frequently depends on the activation</w:t>
      </w:r>
      <w:r>
        <w:t xml:space="preserve"> </w:t>
      </w:r>
      <w:r>
        <w:t xml:space="preserve">status of other rules. An embedding that represents each rule in</w:t>
      </w:r>
      <w:r>
        <w:t xml:space="preserve"> </w:t>
      </w:r>
      <w:r>
        <w:t xml:space="preserve">isolation loses this information. Q-Prime’s representation supports</w:t>
      </w:r>
      <w:r>
        <w:t xml:space="preserve"> </w:t>
      </w:r>
      <w:r>
        <w:t xml:space="preserve">joint states: the state of rule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vector in the same space as</w:t>
      </w:r>
      <w:r>
        <w:t xml:space="preserve"> </w:t>
      </w:r>
      <w:r>
        <w:t xml:space="preserve">the joint state of (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), so the</w:t>
      </w:r>
      <w:r>
        <w:t xml:space="preserve"> </w:t>
      </w:r>
      <w:r>
        <w:t xml:space="preserve">“</w:t>
      </w:r>
      <w:r>
        <w:t xml:space="preserve">does this rule conflict</w:t>
      </w:r>
      <w:r>
        <w:t xml:space="preserve"> </w:t>
      </w:r>
      <w:r>
        <w:t xml:space="preserve">with this other rule?</w:t>
      </w:r>
      <w:r>
        <w:t xml:space="preserve">”</w:t>
      </w:r>
      <w:r>
        <w:t xml:space="preserve"> </w:t>
      </w:r>
      <w:r>
        <w:t xml:space="preserve">question is well-posed as a single projection.</w:t>
      </w:r>
    </w:p>
    <w:bookmarkEnd w:id="25"/>
    <w:bookmarkStart w:id="26" w:name="signed-interference"/>
    <w:p>
      <w:pPr>
        <w:pStyle w:val="Heading2"/>
      </w:pPr>
      <w:r>
        <w:t xml:space="preserve">Signed interference</w:t>
      </w:r>
    </w:p>
    <w:p>
      <w:pPr>
        <w:pStyle w:val="FirstParagraph"/>
      </w:pPr>
      <w:r>
        <w:t xml:space="preserve">A correlation signal that reports only magnitude is useless for</w:t>
      </w:r>
      <w:r>
        <w:t xml:space="preserve"> </w:t>
      </w:r>
      <w:r>
        <w:t xml:space="preserve">conflict detection, because conflict is defined by opposite orientation,</w:t>
      </w:r>
      <w:r>
        <w:t xml:space="preserve"> </w:t>
      </w:r>
      <w:r>
        <w:t xml:space="preserve">not merely by non-similarity. The representation must carry</w:t>
      </w:r>
      <w:r>
        <w:t xml:space="preserve"> </w:t>
      </w:r>
      <w:r>
        <w:t xml:space="preserve">orientation such that the inner product of two related rules can be</w:t>
      </w:r>
      <w:r>
        <w:t xml:space="preserve"> </w:t>
      </w:r>
      <w:r>
        <w:t xml:space="preserve">positive (reinforcement) or negative (cancellation). Classical</w:t>
      </w:r>
      <w:r>
        <w:t xml:space="preserve"> </w:t>
      </w:r>
      <w:r>
        <w:t xml:space="preserve">embeddings trained against cosine similarity are, by construction,</w:t>
      </w:r>
      <w:r>
        <w:t xml:space="preserve"> </w:t>
      </w:r>
      <w:r>
        <w:t xml:space="preserve">blind to sign.</w:t>
      </w:r>
    </w:p>
    <w:bookmarkEnd w:id="26"/>
    <w:bookmarkStart w:id="27" w:name="why-these-six-and-only-these-six"/>
    <w:p>
      <w:pPr>
        <w:pStyle w:val="Heading2"/>
      </w:pPr>
      <w:r>
        <w:t xml:space="preserve">Why these six, and only these six</w:t>
      </w:r>
    </w:p>
    <w:p>
      <w:pPr>
        <w:pStyle w:val="FirstParagraph"/>
      </w:pPr>
      <w:r>
        <w:t xml:space="preserve">The list is derived from the operations QAG’s downstream layer needs</w:t>
      </w:r>
      <w:r>
        <w:t xml:space="preserve"> </w:t>
      </w:r>
      <w:r>
        <w:t xml:space="preserve">to perform, not from intuitions about natural language. Each property</w:t>
      </w:r>
      <w:r>
        <w:t xml:space="preserve"> </w:t>
      </w:r>
      <w:r>
        <w:t xml:space="preserve">corresponds to a named observable or to a requirement of the</w:t>
      </w:r>
      <w:r>
        <w:t xml:space="preserve"> </w:t>
      </w:r>
      <w:r>
        <w:t xml:space="preserve">interference calculation. Omitting any one of them causes the</w:t>
      </w:r>
      <w:r>
        <w:t xml:space="preserve"> </w:t>
      </w:r>
      <w:r>
        <w:t xml:space="preserve">corresponding downstream signal to degrade from useful to noise.</w:t>
      </w:r>
    </w:p>
    <w:bookmarkEnd w:id="27"/>
    <w:bookmarkEnd w:id="28"/>
    <w:bookmarkStart w:id="29" w:name="X6007c6177876b4f1ac036323eee845bb2d01f86"/>
    <w:p>
      <w:pPr>
        <w:pStyle w:val="Heading1"/>
      </w:pPr>
      <w:r>
        <w:t xml:space="preserve">Why general-purpose embeddings fall short</w:t>
      </w:r>
    </w:p>
    <w:p>
      <w:pPr>
        <w:pStyle w:val="FirstParagraph"/>
      </w:pPr>
      <w:r>
        <w:t xml:space="preserve">General-purpose embedding models — Sentence-BERT</w:t>
      </w:r>
      <w:r>
        <w:t xml:space="preserve"> </w:t>
      </w:r>
      <w:r>
        <w:t xml:space="preserve">[@reimers2019sbert]</w:t>
      </w:r>
      <w:r>
        <w:t xml:space="preserve">, BGE</w:t>
      </w:r>
      <w:r>
        <w:t xml:space="preserve"> </w:t>
      </w:r>
      <w:r>
        <w:t xml:space="preserve">[@xiao2024cpack]</w:t>
      </w:r>
      <w:r>
        <w:t xml:space="preserve">, E5</w:t>
      </w:r>
      <w:r>
        <w:t xml:space="preserve"> </w:t>
      </w:r>
      <w:r>
        <w:t xml:space="preserve">[@wang2022e5]</w:t>
      </w:r>
      <w:r>
        <w:t xml:space="preserve">, GTE</w:t>
      </w:r>
      <w:r>
        <w:t xml:space="preserve"> </w:t>
      </w:r>
      <w:r>
        <w:t xml:space="preserve">[@li2023gte]</w:t>
      </w:r>
      <w:r>
        <w:t xml:space="preserve">, OpenAI text-embedding-3, Cohere embed-v3 — are trained</w:t>
      </w:r>
      <w:r>
        <w:t xml:space="preserve"> </w:t>
      </w:r>
      <w:r>
        <w:t xml:space="preserve">on vast open-web corpora against a contrastive objective. The</w:t>
      </w:r>
      <w:r>
        <w:t xml:space="preserve"> </w:t>
      </w:r>
      <w:r>
        <w:t xml:space="preserve">objective rewards the model for mapping semantically similar pairs</w:t>
      </w:r>
      <w:r>
        <w:t xml:space="preserve"> </w:t>
      </w:r>
      <w:r>
        <w:t xml:space="preserve">close and dissimilar pairs far apart. They are excellent at that task;</w:t>
      </w:r>
      <w:r>
        <w:t xml:space="preserve"> </w:t>
      </w:r>
      <w:r>
        <w:t xml:space="preserve">on MTEB</w:t>
      </w:r>
      <w:r>
        <w:t xml:space="preserve"> </w:t>
      </w:r>
      <w:r>
        <w:t xml:space="preserve">[@muennighoff2023mteb]</w:t>
      </w:r>
      <w:r>
        <w:t xml:space="preserve"> </w:t>
      </w:r>
      <w:r>
        <w:t xml:space="preserve">and BEIR</w:t>
      </w:r>
      <w:r>
        <w:t xml:space="preserve"> </w:t>
      </w:r>
      <w:r>
        <w:t xml:space="preserve">[@thakur2021beir]</w:t>
      </w:r>
      <w:r>
        <w:t xml:space="preserve"> </w:t>
      </w:r>
      <w:r>
        <w:t xml:space="preserve">they</w:t>
      </w:r>
      <w:r>
        <w:t xml:space="preserve"> </w:t>
      </w:r>
      <w:r>
        <w:t xml:space="preserve">dominate the leaderboards.</w:t>
      </w:r>
    </w:p>
    <w:p>
      <w:pPr>
        <w:pStyle w:val="BodyText"/>
      </w:pPr>
      <w:r>
        <w:t xml:space="preserve">For rule-bearing text three structural limitations follow from the</w:t>
      </w:r>
      <w:r>
        <w:t xml:space="preserve"> </w:t>
      </w:r>
      <w:r>
        <w:t xml:space="preserve">objective:</w:t>
      </w:r>
    </w:p>
    <w:p>
      <w:pPr>
        <w:pStyle w:val="BodyText"/>
      </w:pPr>
      <w:r>
        <w:rPr>
          <w:bCs/>
          <w:b/>
        </w:rPr>
        <w:t xml:space="preserve">Negation is a small perturbation.</w:t>
      </w:r>
      <w:r>
        <w:t xml:space="preserve"> </w:t>
      </w:r>
      <w:r>
        <w:t xml:space="preserve">In standard embedding models,</w:t>
      </w:r>
      <w:r>
        <w:t xml:space="preserve"> </w:t>
      </w:r>
      <w:r>
        <w:t xml:space="preserve">inserting</w:t>
      </w:r>
      <w:r>
        <w:t xml:space="preserve"> </w:t>
      </w:r>
      <w:r>
        <w:t xml:space="preserve">“</w:t>
      </w:r>
      <w:r>
        <w:t xml:space="preserve">not</w:t>
      </w:r>
      <w:r>
        <w:t xml:space="preserve">”</w:t>
      </w:r>
      <w:r>
        <w:t xml:space="preserve"> </w:t>
      </w:r>
      <w:r>
        <w:t xml:space="preserve">shifts the vector by a distance small relative to the</w:t>
      </w:r>
      <w:r>
        <w:t xml:space="preserve"> </w:t>
      </w:r>
      <w:r>
        <w:t xml:space="preserve">distance between two completely different topics. Under cosine</w:t>
      </w:r>
      <w:r>
        <w:t xml:space="preserve"> </w:t>
      </w:r>
      <w:r>
        <w:t xml:space="preserve">similarity,</w:t>
      </w:r>
      <w:r>
        <w:t xml:space="preserve"> </w:t>
      </w:r>
      <w:r>
        <w:t xml:space="preserve">“</w:t>
      </w:r>
      <w:r>
        <w:t xml:space="preserve">must report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must not report</w:t>
      </w:r>
      <w:r>
        <w:t xml:space="preserve">”</w:t>
      </w:r>
      <w:r>
        <w:t xml:space="preserve"> </w:t>
      </w:r>
      <w:r>
        <w:t xml:space="preserve">are near-duplicates.</w:t>
      </w:r>
      <w:r>
        <w:t xml:space="preserve"> </w:t>
      </w:r>
      <w:r>
        <w:t xml:space="preserve">This is not a defect of any one model; it is a property of training</w:t>
      </w:r>
      <w:r>
        <w:t xml:space="preserve"> </w:t>
      </w:r>
      <w:r>
        <w:t xml:space="preserve">on text where negation is a rare event relative to topical variation.</w:t>
      </w:r>
    </w:p>
    <w:p>
      <w:pPr>
        <w:pStyle w:val="BodyText"/>
      </w:pPr>
      <w:r>
        <w:rPr>
          <w:bCs/>
          <w:b/>
        </w:rPr>
        <w:t xml:space="preserve">Quantifier scope is not encoded.</w:t>
      </w:r>
      <w:r>
        <w:t xml:space="preserve"> </w:t>
      </w:r>
      <w:r>
        <w:t xml:space="preserve">There is no trained objective</w:t>
      </w:r>
      <w:r>
        <w:t xml:space="preserve"> </w:t>
      </w:r>
      <w:r>
        <w:t xml:space="preserve">that rewards the model for keeping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some</w:t>
      </w:r>
      <w:r>
        <w:t xml:space="preserve">”</w:t>
      </w:r>
      <w:r>
        <w:t xml:space="preserve"> </w:t>
      </w:r>
      <w:r>
        <w:t xml:space="preserve">apart. They share</w:t>
      </w:r>
      <w:r>
        <w:t xml:space="preserve"> </w:t>
      </w:r>
      <w:r>
        <w:t xml:space="preserve">context, syntax, and often neighbouring tokens. In the contrastive</w:t>
      </w:r>
      <w:r>
        <w:t xml:space="preserve"> </w:t>
      </w:r>
      <w:r>
        <w:t xml:space="preserve">objective, pairs that differ only in quantifier scope are mostly</w:t>
      </w:r>
      <w:r>
        <w:t xml:space="preserve"> </w:t>
      </w:r>
      <w:r>
        <w:t xml:space="preserve">treated as positives.</w:t>
      </w:r>
    </w:p>
    <w:p>
      <w:pPr>
        <w:pStyle w:val="BodyText"/>
      </w:pPr>
      <w:r>
        <w:rPr>
          <w:bCs/>
          <w:b/>
        </w:rPr>
        <w:t xml:space="preserve">There is no orientation, only magnitude.</w:t>
      </w:r>
      <w:r>
        <w:t xml:space="preserve"> </w:t>
      </w:r>
      <w:r>
        <w:t xml:space="preserve">Cosine distance is a</w:t>
      </w:r>
      <w:r>
        <w:t xml:space="preserve"> </w:t>
      </w:r>
      <w:r>
        <w:t xml:space="preserve">symmetric similarity; it has no sign. Architectures trained with</w:t>
      </w:r>
      <w:r>
        <w:t xml:space="preserve"> </w:t>
      </w:r>
      <w:r>
        <w:t xml:space="preserve">cosine objectives push similar things together and dissimilar things</w:t>
      </w:r>
      <w:r>
        <w:t xml:space="preserve"> </w:t>
      </w:r>
      <w:r>
        <w:t xml:space="preserve">apart, but they do not learn</w:t>
      </w:r>
      <w:r>
        <w:t xml:space="preserve"> </w:t>
      </w:r>
      <w:r>
        <w:rPr>
          <w:iCs/>
          <w:i/>
        </w:rPr>
        <w:t xml:space="preserve">signed</w:t>
      </w:r>
      <w:r>
        <w:t xml:space="preserve"> </w:t>
      </w:r>
      <w:r>
        <w:t xml:space="preserve">relationships. Interference</w:t>
      </w:r>
      <w:r>
        <w:t xml:space="preserve"> </w:t>
      </w:r>
      <w:r>
        <w:t xml:space="preserve">— the central operation a compliance pipeline depends on — is</w:t>
      </w:r>
      <w:r>
        <w:t xml:space="preserve"> </w:t>
      </w:r>
      <w:r>
        <w:t xml:space="preserve">therefore not available.</w:t>
      </w:r>
    </w:p>
    <w:p>
      <w:pPr>
        <w:pStyle w:val="BodyText"/>
      </w:pPr>
      <w:r>
        <w:t xml:space="preserve">These are not problems of insufficient scale. They are properties of</w:t>
      </w:r>
      <w:r>
        <w:t xml:space="preserve"> </w:t>
      </w:r>
      <w:r>
        <w:t xml:space="preserve">the objective. Training on larger corpora, or embedding in higher</w:t>
      </w:r>
      <w:r>
        <w:t xml:space="preserve"> </w:t>
      </w:r>
      <w:r>
        <w:t xml:space="preserve">dimensions, enlarges the whole space proportionally and leaves the</w:t>
      </w:r>
      <w:r>
        <w:t xml:space="preserve"> </w:t>
      </w:r>
      <w:r>
        <w:t xml:space="preserve">negation delta — and the sign — exactly as small as it was.</w:t>
      </w:r>
    </w:p>
    <w:bookmarkEnd w:id="29"/>
    <w:bookmarkStart w:id="30" w:name="what-q-prime-does-differently"/>
    <w:p>
      <w:pPr>
        <w:pStyle w:val="Heading1"/>
      </w:pPr>
      <w:r>
        <w:t xml:space="preserve">What Q-Prime does differently</w:t>
      </w:r>
    </w:p>
    <w:p>
      <w:pPr>
        <w:pStyle w:val="FirstParagraph"/>
      </w:pPr>
      <w:r>
        <w:t xml:space="preserve">Q-Prime is QGI’s purpose-built embedding model for the QAG pipeline.</w:t>
      </w:r>
      <w:r>
        <w:t xml:space="preserve"> </w:t>
      </w:r>
      <w:r>
        <w:t xml:space="preserve">It is built on a different premise from general-purpose embeddings:</w:t>
      </w:r>
      <w:r>
        <w:t xml:space="preserve"> </w:t>
      </w:r>
      <w:r>
        <w:t xml:space="preserve">instead of collapsing each passage into a single similarity-optimised</w:t>
      </w:r>
      <w:r>
        <w:t xml:space="preserve"> </w:t>
      </w:r>
      <w:r>
        <w:t xml:space="preserve">vector, it emits a</w:t>
      </w:r>
      <w:r>
        <w:t xml:space="preserve"> </w:t>
      </w:r>
      <w:r>
        <w:rPr>
          <w:bCs/>
          <w:b/>
        </w:rPr>
        <w:t xml:space="preserve">quantum-structured representation</w:t>
      </w:r>
      <w:r>
        <w:t xml:space="preserve"> </w:t>
      </w:r>
      <w:r>
        <w:t xml:space="preserve">that</w:t>
      </w:r>
      <w:r>
        <w:t xml:space="preserve"> </w:t>
      </w:r>
      <w:r>
        <w:t xml:space="preserve">preserves the six properties of §2 as separable directions. The name</w:t>
      </w:r>
      <w:r>
        <w:t xml:space="preserve"> </w:t>
      </w:r>
      <w:r>
        <w:t xml:space="preserve">is not an analogy. Q-Prime applies the operator algebra and</w:t>
      </w:r>
      <w:r>
        <w:t xml:space="preserve"> </w:t>
      </w:r>
      <w:r>
        <w:t xml:space="preserve">probability rule of quantum mechanics — Hilbert space, the Born</w:t>
      </w:r>
      <w:r>
        <w:t xml:space="preserve"> </w:t>
      </w:r>
      <w:r>
        <w:t xml:space="preserve">rule, superposition, signed interference — to language</w:t>
      </w:r>
      <w:r>
        <w:t xml:space="preserve"> </w:t>
      </w:r>
      <w:r>
        <w:t xml:space="preserve">representations, executed on classical GPUs.</w:t>
      </w:r>
    </w:p>
    <w:p>
      <w:pPr>
        <w:pStyle w:val="BodyText"/>
      </w:pPr>
      <w:r>
        <w:t xml:space="preserve">Two design choices follow.</w:t>
      </w:r>
    </w:p>
    <w:p>
      <w:pPr>
        <w:pStyle w:val="BodyText"/>
      </w:pPr>
      <w:r>
        <w:rPr>
          <w:bCs/>
          <w:b/>
        </w:rPr>
        <w:t xml:space="preserve">Entangled superpositions as the primary object of training.</w:t>
      </w:r>
      <w:r>
        <w:t xml:space="preserve"> </w:t>
      </w:r>
      <w:r>
        <w:t xml:space="preserve">A</w:t>
      </w:r>
      <w:r>
        <w:t xml:space="preserve"> </w:t>
      </w:r>
      <w:r>
        <w:t xml:space="preserve">single regulatory clause typically asserts several things at once: an</w:t>
      </w:r>
      <w:r>
        <w:t xml:space="preserve"> </w:t>
      </w:r>
      <w:r>
        <w:t xml:space="preserve">obligation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an exception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a sanction. Q-Prime represents</w:t>
      </w:r>
      <w:r>
        <w:t xml:space="preserve"> </w:t>
      </w:r>
      <w:r>
        <w:t xml:space="preserve">the clause as a</w:t>
      </w:r>
      <w:r>
        <w:t xml:space="preserve"> </w:t>
      </w:r>
      <w:r>
        <w:rPr>
          <w:iCs/>
          <w:i/>
        </w:rPr>
        <w:t xml:space="preserve">linear combination</w:t>
      </w:r>
      <w:r>
        <w:t xml:space="preserve"> </w:t>
      </w:r>
      <w:r>
        <w:t xml:space="preserve">of those component states in a</w:t>
      </w:r>
      <w:r>
        <w:t xml:space="preserve"> </w:t>
      </w:r>
      <w:r>
        <w:t xml:space="preserve">way that makes each component recoverable by projection onto a</w:t>
      </w:r>
      <w:r>
        <w:t xml:space="preserve"> </w:t>
      </w:r>
      <w:r>
        <w:t xml:space="preserve">named subspace. Contrast with a classical embedding that trains on</w:t>
      </w:r>
      <w:r>
        <w:t xml:space="preserve"> </w:t>
      </w:r>
      <w:r>
        <w:t xml:space="preserve">the whole sentence as a single target, forcing all components into an</w:t>
      </w:r>
      <w:r>
        <w:t xml:space="preserve"> </w:t>
      </w:r>
      <w:r>
        <w:t xml:space="preserve">averaged location.</w:t>
      </w:r>
    </w:p>
    <w:p>
      <w:pPr>
        <w:pStyle w:val="BodyText"/>
      </w:pPr>
      <w:r>
        <w:rPr>
          <w:bCs/>
          <w:b/>
        </w:rPr>
        <w:t xml:space="preserve">Signed inner products as a first-class operation.</w:t>
      </w:r>
      <w:r>
        <w:t xml:space="preserve"> </w:t>
      </w:r>
      <w:r>
        <w:t xml:space="preserve">The inner</w:t>
      </w:r>
      <w:r>
        <w:t xml:space="preserve"> </w:t>
      </w:r>
      <w:r>
        <w:t xml:space="preserve">product</w:t>
      </w:r>
      <w:r>
        <w:t xml:space="preserve"> </w:t>
      </w:r>
      <m:oMath>
        <m:r>
          <m:rPr>
            <m:sty m:val="p"/>
          </m:rPr>
          <m:t>⟨</m:t>
        </m:r>
        <m:r>
          <m:t>a</m:t>
        </m:r>
        <m:r>
          <m:t> </m:t>
        </m:r>
        <m:r>
          <m:rPr>
            <m:sty m:val="p"/>
          </m:rPr>
          <m:t>|</m:t>
        </m:r>
        <m:r>
          <m:t> </m:t>
        </m:r>
        <m:r>
          <m:t>b</m:t>
        </m:r>
        <m:r>
          <m:rPr>
            <m:sty m:val="p"/>
          </m:rPr>
          <m:t>⟩</m:t>
        </m:r>
      </m:oMath>
      <w:r>
        <w:t xml:space="preserve"> </w:t>
      </w:r>
      <w:r>
        <w:t xml:space="preserve">in Q-Prime’s space can be positive,</w:t>
      </w:r>
      <w:r>
        <w:t xml:space="preserve"> </w:t>
      </w:r>
      <w:r>
        <w:t xml:space="preserve">zero, or negative. Two clauses whose polarity agrees produce a</w:t>
      </w:r>
      <w:r>
        <w:t xml:space="preserve"> </w:t>
      </w:r>
      <w:r>
        <w:t xml:space="preserve">positive inner product; two that contradict produce a negative one;</w:t>
      </w:r>
      <w:r>
        <w:t xml:space="preserve"> </w:t>
      </w:r>
      <w:r>
        <w:t xml:space="preserve">two that are unrelated produce a small-magnitude one. The downstream</w:t>
      </w:r>
      <w:r>
        <w:t xml:space="preserve"> </w:t>
      </w:r>
      <w:r>
        <w:rPr>
          <w:bCs/>
          <w:b/>
        </w:rPr>
        <w:t xml:space="preserve">interference signal</w:t>
      </w:r>
      <w:r>
        <w:t xml:space="preserve"> </w:t>
      </w:r>
      <w:r>
        <w:t xml:space="preserve">is exactly</w:t>
      </w:r>
      <w:r>
        <w:t xml:space="preserve"> </w:t>
      </w:r>
      <m:oMath>
        <m:r>
          <m:rPr>
            <m:nor/>
            <m:sty m:val="p"/>
          </m:rPr>
          <m:t>polarity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⋅</m:t>
        </m:r>
        <m:r>
          <m:rPr>
            <m:sty m:val="p"/>
          </m:rPr>
          <m:t>⟨</m:t>
        </m:r>
        <m:r>
          <m:t>a</m:t>
        </m:r>
        <m:r>
          <m:t> </m:t>
        </m:r>
        <m:r>
          <m:rPr>
            <m:sty m:val="p"/>
          </m:rPr>
          <m:t>|</m:t>
        </m:r>
        <m:r>
          <m:t> </m:t>
        </m:r>
        <m:r>
          <m:t>b</m:t>
        </m:r>
        <m:r>
          <m:rPr>
            <m:sty m:val="p"/>
          </m:rPr>
          <m:t>⟩</m:t>
        </m:r>
      </m:oMath>
      <w:r>
        <w:t xml:space="preserve">.</w:t>
      </w:r>
    </w:p>
    <w:p>
      <w:pPr>
        <w:pStyle w:val="BodyText"/>
      </w:pPr>
      <w:r>
        <w:t xml:space="preserve">Two practical properties follow: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Q-Prime is more compact than a classical embedding of equivalent</w:t>
      </w:r>
      <w:r>
        <w:rPr>
          <w:bCs/>
          <w:b/>
        </w:rPr>
        <w:t xml:space="preserve"> </w:t>
      </w:r>
      <w:r>
        <w:rPr>
          <w:bCs/>
          <w:b/>
        </w:rPr>
        <w:t xml:space="preserve">content.</w:t>
      </w:r>
      <w:r>
        <w:t xml:space="preserve"> </w:t>
      </w:r>
      <w:r>
        <w:t xml:space="preserve">The relational structure lives in the state itself,</w:t>
      </w:r>
      <w:r>
        <w:t xml:space="preserve"> </w:t>
      </w:r>
      <w:r>
        <w:t xml:space="preserve">rather than being padded into extra dimensions. Fewer numbers carry</w:t>
      </w:r>
      <w:r>
        <w:t xml:space="preserve"> </w:t>
      </w:r>
      <w:r>
        <w:t xml:space="preserve">more signal, so downstream search and reranking are cheaper at any</w:t>
      </w:r>
      <w:r>
        <w:t xml:space="preserve"> </w:t>
      </w:r>
      <w:r>
        <w:t xml:space="preserve">given accuracy target.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Q-Prime exposes parameters that cosine similarity cannot see.</w:t>
      </w:r>
      <w:r>
        <w:t xml:space="preserve"> </w:t>
      </w:r>
      <w:r>
        <w:t xml:space="preserve">Polarity, scope, conditions, obligation, and cross-rule dependency</w:t>
      </w:r>
      <w:r>
        <w:t xml:space="preserve"> </w:t>
      </w:r>
      <w:r>
        <w:t xml:space="preserve">are each recoverable as a named projection of the state, rather</w:t>
      </w:r>
      <w:r>
        <w:t xml:space="preserve"> </w:t>
      </w:r>
      <w:r>
        <w:t xml:space="preserve">than being smeared across the whole vector as an artefact of</w:t>
      </w:r>
      <w:r>
        <w:t xml:space="preserve"> </w:t>
      </w:r>
      <w:r>
        <w:t xml:space="preserve">training-corpus statistics.</w:t>
      </w:r>
    </w:p>
    <w:p>
      <w:pPr>
        <w:pStyle w:val="FirstParagraph"/>
      </w:pPr>
      <w:r>
        <w:t xml:space="preserve">Q-Prime is not the only possible design that satisfies the six</w:t>
      </w:r>
      <w:r>
        <w:t xml:space="preserve"> </w:t>
      </w:r>
      <w:r>
        <w:t xml:space="preserve">properties. It is, to our knowledge, the first one built and</w:t>
      </w:r>
      <w:r>
        <w:t xml:space="preserve"> </w:t>
      </w:r>
      <w:r>
        <w:t xml:space="preserve">productised.</w:t>
      </w:r>
    </w:p>
    <w:bookmarkEnd w:id="30"/>
    <w:bookmarkStart w:id="31" w:name="the-headline-empirical-result"/>
    <w:p>
      <w:pPr>
        <w:pStyle w:val="Heading1"/>
      </w:pPr>
      <w:r>
        <w:t xml:space="preserve">The headline empirical result</w:t>
      </w:r>
    </w:p>
    <w:p>
      <w:pPr>
        <w:pStyle w:val="FirstParagraph"/>
      </w:pPr>
      <w:r>
        <w:t xml:space="preserve">QGI maintains a regulatory-conflict benchmark built from real</w:t>
      </w:r>
      <w:r>
        <w:t xml:space="preserve"> </w:t>
      </w:r>
      <w:r>
        <w:t xml:space="preserve">regulatory and policy corpora. The benchmark measures the ability of</w:t>
      </w:r>
      <w:r>
        <w:t xml:space="preserve"> </w:t>
      </w:r>
      <w:r>
        <w:t xml:space="preserve">a retrieval system to correctly identify pairs of rules that</w:t>
      </w:r>
      <w:r>
        <w:t xml:space="preserve"> </w:t>
      </w:r>
      <w:r>
        <w:t xml:space="preserve">materially conflict — the single task compliance teams cannot</w:t>
      </w:r>
      <w:r>
        <w:t xml:space="preserve"> </w:t>
      </w:r>
      <w:r>
        <w:t xml:space="preserve">afford to get wrong.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Classical cosine similarity (five widely used embedding models from four organisations)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QAG interference signal (Q-Prime + polarity)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</w:t>
            </w:r>
          </w:p>
        </w:tc>
      </w:tr>
    </w:tbl>
    <w:p>
      <w:pPr>
        <w:pStyle w:val="BodyText"/>
      </w:pPr>
      <w:r>
        <w:t xml:space="preserve">The result is categorical, not incremental. Cosine similarity across</w:t>
      </w:r>
      <w:r>
        <w:t xml:space="preserve"> </w:t>
      </w:r>
      <w:r>
        <w:t xml:space="preserve">the broad family of commercially deployed embedding models does not</w:t>
      </w:r>
      <w:r>
        <w:t xml:space="preserve"> </w:t>
      </w:r>
      <w:r>
        <w:t xml:space="preserve">merely</w:t>
      </w:r>
      <w:r>
        <w:t xml:space="preserve"> </w:t>
      </w:r>
      <w:r>
        <w:rPr>
          <w:iCs/>
          <w:i/>
        </w:rPr>
        <w:t xml:space="preserve">underperform</w:t>
      </w:r>
      <w:r>
        <w:t xml:space="preserve"> </w:t>
      </w:r>
      <w:r>
        <w:t xml:space="preserve">— it achieves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F1. The signal the</w:t>
      </w:r>
      <w:r>
        <w:t xml:space="preserve"> </w:t>
      </w:r>
      <w:r>
        <w:t xml:space="preserve">task requires is simply absent from those representations.</w:t>
      </w:r>
    </w:p>
    <w:p>
      <w:pPr>
        <w:pStyle w:val="BodyText"/>
      </w:pPr>
      <w:r>
        <w:t xml:space="preserve">Three clarifications are worth stating directly.</w:t>
      </w:r>
    </w:p>
    <w:p>
      <w:pPr>
        <w:pStyle w:val="BodyText"/>
      </w:pPr>
      <w:r>
        <w:t xml:space="preserve">First, the interference</w:t>
      </w:r>
      <w:r>
        <w:t xml:space="preserve"> </w:t>
      </w:r>
      <w:r>
        <w:rPr>
          <w:iCs/>
          <w:i/>
        </w:rPr>
        <w:t xml:space="preserve">effect</w:t>
      </w:r>
      <w:r>
        <w:t xml:space="preserve"> </w:t>
      </w:r>
      <w:r>
        <w:t xml:space="preserve">— that signed interference</w:t>
      </w:r>
      <w:r>
        <w:t xml:space="preserve"> </w:t>
      </w:r>
      <w:r>
        <w:t xml:space="preserve">separates same-polarity and opposite-polarity clauses — is a</w:t>
      </w:r>
      <w:r>
        <w:t xml:space="preserve"> </w:t>
      </w:r>
      <w:r>
        <w:t xml:space="preserve">property of the language of regulation itself, not of any one model.</w:t>
      </w:r>
      <w:r>
        <w:t xml:space="preserve"> </w:t>
      </w:r>
      <w:r>
        <w:t xml:space="preserve">Internal evaluation shows it replicates across every embedding family</w:t>
      </w:r>
      <w:r>
        <w:t xml:space="preserve"> </w:t>
      </w:r>
      <w:r>
        <w:t xml:space="preserve">we have tested (dimensionalities from 384 to 3,072, drawn from four</w:t>
      </w:r>
      <w:r>
        <w:t xml:space="preserve"> </w:t>
      </w:r>
      <w:r>
        <w:t xml:space="preserve">organisations) and across out-of-domain corpora well outside the</w:t>
      </w:r>
      <w:r>
        <w:t xml:space="preserve"> </w:t>
      </w:r>
      <w:r>
        <w:t xml:space="preserve">regulatory training distribution (medical safety, educational</w:t>
      </w:r>
      <w:r>
        <w:t xml:space="preserve"> </w:t>
      </w:r>
      <w:r>
        <w:t xml:space="preserve">curricula, engineering safety, research ethics). Q-Prime’s role is to</w:t>
      </w:r>
      <w:r>
        <w:t xml:space="preserve"> </w:t>
      </w:r>
      <w:r>
        <w:t xml:space="preserve">make the effect reliable under production conditions.</w:t>
      </w:r>
    </w:p>
    <w:p>
      <w:pPr>
        <w:pStyle w:val="BodyText"/>
      </w:pPr>
      <w:r>
        <w:t xml:space="preserve">Second, conflict is only one of the quantum observables this embedding</w:t>
      </w:r>
      <w:r>
        <w:t xml:space="preserve"> </w:t>
      </w:r>
      <w:r>
        <w:t xml:space="preserve">geometry supports. The same state space supports a</w:t>
      </w:r>
      <w:r>
        <w:t xml:space="preserve"> </w:t>
      </w:r>
      <w:r>
        <w:rPr>
          <w:bCs/>
          <w:b/>
        </w:rPr>
        <w:t xml:space="preserve">Born-rule</w:t>
      </w:r>
      <w:r>
        <w:rPr>
          <w:bCs/>
          <w:b/>
        </w:rPr>
        <w:t xml:space="preserve"> </w:t>
      </w:r>
      <w:r>
        <w:rPr>
          <w:bCs/>
          <w:b/>
        </w:rPr>
        <w:t xml:space="preserve">classifier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c</m:t>
            </m:r>
          </m:sub>
        </m:sSub>
        <m:r>
          <m:t> 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⟨</m:t>
            </m:r>
            <m:r>
              <m:t>c</m:t>
            </m:r>
            <m:r>
              <m:t> </m:t>
            </m:r>
          </m:e>
        </m:d>
        <m:r>
          <m:t> </m:t>
        </m:r>
        <m:r>
          <m:t>ψ</m:t>
        </m:r>
        <m:r>
          <m:rPr>
            <m:sty m:val="p"/>
          </m:rPr>
          <m:t>⟩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 for</w:t>
      </w:r>
      <w:r>
        <w:t xml:space="preserve"> </w:t>
      </w:r>
      <w:r>
        <w:t xml:space="preserve">zero-shot labelling of topic, obligation type, and severity. The</w:t>
      </w:r>
      <w:r>
        <w:t xml:space="preserve"> </w:t>
      </w:r>
      <w:r>
        <w:t xml:space="preserve">classifier is training-free and calibrated by construction; it is the</w:t>
      </w:r>
      <w:r>
        <w:t xml:space="preserve"> </w:t>
      </w:r>
      <w:r>
        <w:t xml:space="preserve">subject of the companion method note [QGI-TR-2026-04].</w:t>
      </w:r>
    </w:p>
    <w:p>
      <w:pPr>
        <w:pStyle w:val="BodyText"/>
      </w:pPr>
      <w:r>
        <w:t xml:space="preserve">Third, the headline numbers above are drawn from a held-out</w:t>
      </w:r>
      <w:r>
        <w:t xml:space="preserve"> </w:t>
      </w:r>
      <w:r>
        <w:t xml:space="preserve">benchmark and are released under evaluation agreement. Full</w:t>
      </w:r>
      <w:r>
        <w:t xml:space="preserve"> </w:t>
      </w:r>
      <w:r>
        <w:t xml:space="preserve">methodology — corpora, embedding backbones, extractor-agnostic</w:t>
      </w:r>
      <w:r>
        <w:t xml:space="preserve"> </w:t>
      </w:r>
      <w:r>
        <w:t xml:space="preserve">validation, out-of-domain generalisation, and GPU throughput — will</w:t>
      </w:r>
      <w:r>
        <w:t xml:space="preserve"> </w:t>
      </w:r>
      <w:r>
        <w:t xml:space="preserve">appear in a</w:t>
      </w:r>
      <w:r>
        <w:t xml:space="preserve"> </w:t>
      </w:r>
      <w:r>
        <w:rPr>
          <w:bCs/>
          <w:b/>
        </w:rPr>
        <w:t xml:space="preserve">forthcoming companion evaluation paper</w:t>
      </w:r>
      <w:r>
        <w:t xml:space="preserve">. The numbers</w:t>
      </w:r>
      <w:r>
        <w:t xml:space="preserve"> </w:t>
      </w:r>
      <w:r>
        <w:t xml:space="preserve">above are neither the full extent of QGI’s internal evaluation nor</w:t>
      </w:r>
      <w:r>
        <w:t xml:space="preserve"> </w:t>
      </w:r>
      <w:r>
        <w:t xml:space="preserve">marketing claims divorced from methodology.</w:t>
      </w:r>
    </w:p>
    <w:bookmarkEnd w:id="31"/>
    <w:bookmarkStart w:id="35" w:name="implications"/>
    <w:p>
      <w:pPr>
        <w:pStyle w:val="Heading1"/>
      </w:pPr>
      <w:r>
        <w:t xml:space="preserve">Implications</w:t>
      </w:r>
    </w:p>
    <w:bookmarkStart w:id="32" w:name="for-rag-integrators"/>
    <w:p>
      <w:pPr>
        <w:pStyle w:val="Heading2"/>
      </w:pPr>
      <w:r>
        <w:t xml:space="preserve">For RAG integrators</w:t>
      </w:r>
    </w:p>
    <w:p>
      <w:pPr>
        <w:pStyle w:val="FirstParagraph"/>
      </w:pPr>
      <w:r>
        <w:t xml:space="preserve">The assumption that embedding models are interchangeable is false for</w:t>
      </w:r>
      <w:r>
        <w:t xml:space="preserve"> </w:t>
      </w:r>
      <w:r>
        <w:t xml:space="preserve">regulated content. The embedding layer is the location where the</w:t>
      </w:r>
      <w:r>
        <w:t xml:space="preserve"> </w:t>
      </w:r>
      <w:r>
        <w:t xml:space="preserve">features that determine correctness either exist or do not exist.</w:t>
      </w:r>
      <w:r>
        <w:t xml:space="preserve"> </w:t>
      </w:r>
      <w:r>
        <w:t xml:space="preserve">Replacing the generator in a pipeline whose embedding collapses</w:t>
      </w:r>
      <w:r>
        <w:t xml:space="preserve"> </w:t>
      </w:r>
      <w:r>
        <w:t xml:space="preserve">polarity is a cosmetic change; replacing the embedding is the</w:t>
      </w:r>
      <w:r>
        <w:t xml:space="preserve"> </w:t>
      </w:r>
      <w:r>
        <w:t xml:space="preserve">structural one.</w:t>
      </w:r>
    </w:p>
    <w:bookmarkEnd w:id="32"/>
    <w:bookmarkStart w:id="33" w:name="for-evaluators"/>
    <w:p>
      <w:pPr>
        <w:pStyle w:val="Heading2"/>
      </w:pPr>
      <w:r>
        <w:t xml:space="preserve">For evaluators</w:t>
      </w:r>
    </w:p>
    <w:p>
      <w:pPr>
        <w:pStyle w:val="FirstParagraph"/>
      </w:pPr>
      <w:r>
        <w:t xml:space="preserve">When benchmarking a retrieval-augmented system for rule-bearing</w:t>
      </w:r>
      <w:r>
        <w:t xml:space="preserve"> </w:t>
      </w:r>
      <w:r>
        <w:t xml:space="preserve">content, ask for the</w:t>
      </w:r>
      <w:r>
        <w:t xml:space="preserve"> </w:t>
      </w:r>
      <w:r>
        <w:rPr>
          <w:bCs/>
          <w:b/>
        </w:rPr>
        <w:t xml:space="preserve">conflict F1</w:t>
      </w:r>
      <w:r>
        <w:t xml:space="preserve">, not recall@k, nDCG, or BLEU.</w:t>
      </w:r>
      <w:r>
        <w:t xml:space="preserve"> </w:t>
      </w:r>
      <w:r>
        <w:t xml:space="preserve">The quantity that determines whether the system will embarrass you in</w:t>
      </w:r>
      <w:r>
        <w:t xml:space="preserve"> </w:t>
      </w:r>
      <w:r>
        <w:t xml:space="preserve">front of an auditor — or mislead an agent in production — is its</w:t>
      </w:r>
      <w:r>
        <w:t xml:space="preserve"> </w:t>
      </w:r>
      <w:r>
        <w:t xml:space="preserve">ability to tell contradictory clauses apart. Everything else is</w:t>
      </w:r>
      <w:r>
        <w:t xml:space="preserve"> </w:t>
      </w:r>
      <w:r>
        <w:t xml:space="preserve">downstream.</w:t>
      </w:r>
    </w:p>
    <w:bookmarkEnd w:id="33"/>
    <w:bookmarkStart w:id="34" w:name="for-teams-building-their-own-model"/>
    <w:p>
      <w:pPr>
        <w:pStyle w:val="Heading2"/>
      </w:pPr>
      <w:r>
        <w:t xml:space="preserve">For teams building their own model</w:t>
      </w:r>
    </w:p>
    <w:p>
      <w:pPr>
        <w:pStyle w:val="FirstParagraph"/>
      </w:pPr>
      <w:r>
        <w:t xml:space="preserve">A purpose-built embedding model is substantially more work than</w:t>
      </w:r>
      <w:r>
        <w:t xml:space="preserve"> </w:t>
      </w:r>
      <w:r>
        <w:t xml:space="preserve">fine-tuning a general-purpose one. That is the honest assessment. It</w:t>
      </w:r>
      <w:r>
        <w:t xml:space="preserve"> </w:t>
      </w:r>
      <w:r>
        <w:t xml:space="preserve">is also, in our experience, the difference between a demo that looks</w:t>
      </w:r>
      <w:r>
        <w:t xml:space="preserve"> </w:t>
      </w:r>
      <w:r>
        <w:t xml:space="preserve">convincing and a system a regulator or a long-running agent accepts.</w:t>
      </w:r>
      <w:r>
        <w:t xml:space="preserve"> </w:t>
      </w:r>
      <w:r>
        <w:t xml:space="preserve">Teams without the resources to train a purpose-built embedding</w:t>
      </w:r>
      <w:r>
        <w:t xml:space="preserve"> </w:t>
      </w:r>
      <w:r>
        <w:t xml:space="preserve">should evaluate Q-Prime through one of the access paths in §9.</w:t>
      </w:r>
    </w:p>
    <w:bookmarkEnd w:id="34"/>
    <w:bookmarkEnd w:id="35"/>
    <w:bookmarkStart w:id="36" w:name="X56f3042afb8f623a045d2941bd99f46b27b85fb"/>
    <w:p>
      <w:pPr>
        <w:pStyle w:val="Heading1"/>
      </w:pPr>
      <w:r>
        <w:t xml:space="preserve">Evaluating an embedding model for rule-bearing text: a checklist</w:t>
      </w:r>
    </w:p>
    <w:p>
      <w:pPr>
        <w:pStyle w:val="FirstParagraph"/>
      </w:pPr>
      <w:r>
        <w:t xml:space="preserve">The following checklist is the minimum practitioners should run</w:t>
      </w:r>
      <w:r>
        <w:t xml:space="preserve"> </w:t>
      </w:r>
      <w:r>
        <w:t xml:space="preserve">before adopting any embedding model for rule-bearing text. None of</w:t>
      </w:r>
      <w:r>
        <w:t xml:space="preserve"> </w:t>
      </w:r>
      <w:r>
        <w:t xml:space="preserve">the items require proprietary data; all of them can be run on any</w:t>
      </w:r>
      <w:r>
        <w:t xml:space="preserve"> </w:t>
      </w:r>
      <w:r>
        <w:t xml:space="preserve">handful of rules from any regulation.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Negation discrimination.</w:t>
      </w:r>
      <w:r>
        <w:t xml:space="preserve"> </w:t>
      </w:r>
      <w:r>
        <w:t xml:space="preserve">For a pair of clauses that differ</w:t>
      </w:r>
      <w:r>
        <w:t xml:space="preserve"> </w:t>
      </w:r>
      <w:r>
        <w:t xml:space="preserve">only by a single negation token, compute cosine similarity. If</w:t>
      </w:r>
      <w:r>
        <w:t xml:space="preserve"> </w:t>
      </w:r>
      <w:r>
        <w:t xml:space="preserve">similarity is above 0.95, the embedding will merge contradictions.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Quantifier discrimination.</w:t>
      </w:r>
      <w:r>
        <w:t xml:space="preserve"> </w:t>
      </w:r>
      <w:r>
        <w:t xml:space="preserve">For a pair of clauses that differ</w:t>
      </w:r>
      <w:r>
        <w:t xml:space="preserve"> </w:t>
      </w:r>
      <w:r>
        <w:t xml:space="preserve">only by substituting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“</w:t>
      </w:r>
      <w:r>
        <w:t xml:space="preserve">some</w:t>
      </w:r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w:r>
        <w:t xml:space="preserve">every</w:t>
      </w:r>
      <w:r>
        <w:t xml:space="preserve">”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“</w:t>
      </w:r>
      <w:r>
        <w:t xml:space="preserve">at most one</w:t>
      </w:r>
      <w:r>
        <w:t xml:space="preserve">”</w:t>
      </w:r>
      <w:r>
        <w:t xml:space="preserve">, compute similarity. If similarity is</w:t>
      </w:r>
      <w:r>
        <w:t xml:space="preserve"> </w:t>
      </w:r>
      <w:r>
        <w:t xml:space="preserve">above 0.95, the embedding is insensitive to scope.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Obligation-strength discrimination.</w:t>
      </w:r>
      <w:r>
        <w:t xml:space="preserve"> </w:t>
      </w:r>
      <w:r>
        <w:t xml:space="preserve">For a pair of clauses that</w:t>
      </w:r>
      <w:r>
        <w:t xml:space="preserve"> </w:t>
      </w:r>
      <w:r>
        <w:t xml:space="preserve">differ only by substituting the modal verb (</w:t>
      </w:r>
      <w:r>
        <w:t xml:space="preserve">“</w:t>
      </w:r>
      <w:r>
        <w:t xml:space="preserve">shall</w:t>
      </w:r>
      <w:r>
        <w:t xml:space="preserve">”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“</w:t>
      </w:r>
      <w:r>
        <w:t xml:space="preserve">may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must</w:t>
      </w:r>
      <w:r>
        <w:t xml:space="preserve">”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“</w:t>
      </w:r>
      <w:r>
        <w:t xml:space="preserve">should</w:t>
      </w:r>
      <w:r>
        <w:t xml:space="preserve">”</w:t>
      </w:r>
      <w:r>
        <w:t xml:space="preserve">), compute similarity. If it</w:t>
      </w:r>
      <w:r>
        <w:t xml:space="preserve"> </w:t>
      </w:r>
      <w:r>
        <w:t xml:space="preserve">is above 0.95, the embedding is insensitive to obligation</w:t>
      </w:r>
      <w:r>
        <w:t xml:space="preserve"> </w:t>
      </w:r>
      <w:r>
        <w:t xml:space="preserve">strength.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Sign of inner product.</w:t>
      </w:r>
      <w:r>
        <w:t xml:space="preserve"> </w:t>
      </w:r>
      <w:r>
        <w:t xml:space="preserve">Compute the raw inner product (not the</w:t>
      </w:r>
      <w:r>
        <w:t xml:space="preserve"> </w:t>
      </w:r>
      <w:r>
        <w:t xml:space="preserve">absolute value) between two clauses known to be in conflict.</w:t>
      </w:r>
      <w:r>
        <w:t xml:space="preserve"> </w:t>
      </w:r>
      <w:r>
        <w:t xml:space="preserve">Standard cosine-trained models return only non-negative values.</w:t>
      </w:r>
      <w:r>
        <w:t xml:space="preserve"> </w:t>
      </w:r>
      <w:r>
        <w:t xml:space="preserve">If the embedding cannot produce a negative inner product, it has</w:t>
      </w:r>
      <w:r>
        <w:t xml:space="preserve"> </w:t>
      </w:r>
      <w:r>
        <w:t xml:space="preserve">no sign channel.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Structured query.</w:t>
      </w:r>
      <w:r>
        <w:t xml:space="preserve"> </w:t>
      </w:r>
      <w:r>
        <w:t xml:space="preserve">Attempt to retrieve</w:t>
      </w:r>
      <w:r>
        <w:t xml:space="preserve"> </w:t>
      </w:r>
      <w:r>
        <w:t xml:space="preserve">“</w:t>
      </w:r>
      <w:r>
        <w:t xml:space="preserve">rules whose exception</w:t>
      </w:r>
      <w:r>
        <w:t xml:space="preserve"> </w:t>
      </w:r>
      <w:r>
        <w:t xml:space="preserve">references California</w:t>
      </w:r>
      <w:r>
        <w:t xml:space="preserve">”</w:t>
      </w:r>
      <w:r>
        <w:t xml:space="preserve">. If the embedding does not expose structural</w:t>
      </w:r>
      <w:r>
        <w:t xml:space="preserve"> </w:t>
      </w:r>
      <w:r>
        <w:t xml:space="preserve">roles, this query degrades to topical retrieval and will miss the</w:t>
      </w:r>
      <w:r>
        <w:t xml:space="preserve"> </w:t>
      </w:r>
      <w:r>
        <w:t xml:space="preserve">structural intent.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Conflict F1 on a tiny hand-built set.</w:t>
      </w:r>
      <w:r>
        <w:t xml:space="preserve"> </w:t>
      </w:r>
      <w:r>
        <w:t xml:space="preserve">Construct 20 pairs of</w:t>
      </w:r>
      <w:r>
        <w:t xml:space="preserve"> </w:t>
      </w:r>
      <w:r>
        <w:t xml:space="preserve">clauses drawn from a real regulation; 10 pairs are in true</w:t>
      </w:r>
      <w:r>
        <w:t xml:space="preserve"> </w:t>
      </w:r>
      <w:r>
        <w:t xml:space="preserve">conflict, 10 are unrelated. Run the system end-to-end. Any F1 below</w:t>
      </w:r>
      <w:r>
        <w:t xml:space="preserve"> </w:t>
      </w:r>
      <w:r>
        <w:t xml:space="preserve">0.7 should disqualify the embedding for production use.</w:t>
      </w:r>
    </w:p>
    <w:p>
      <w:pPr>
        <w:pStyle w:val="FirstParagraph"/>
      </w:pPr>
      <w:r>
        <w:t xml:space="preserve">A model that fails items 1–4 cannot be rescued by prompt engineering</w:t>
      </w:r>
      <w:r>
        <w:t xml:space="preserve"> </w:t>
      </w:r>
      <w:r>
        <w:t xml:space="preserve">downstream.</w:t>
      </w:r>
    </w:p>
    <w:bookmarkEnd w:id="36"/>
    <w:bookmarkStart w:id="37" w:name="related-work"/>
    <w:p>
      <w:pPr>
        <w:pStyle w:val="Heading1"/>
      </w:pPr>
      <w:r>
        <w:t xml:space="preserve">Related work</w:t>
      </w:r>
    </w:p>
    <w:p>
      <w:pPr>
        <w:pStyle w:val="FirstParagraph"/>
      </w:pPr>
      <w:r>
        <w:t xml:space="preserve">The full landscape review lives in the companion preprint</w:t>
      </w:r>
      <w:r>
        <w:t xml:space="preserve"> </w:t>
      </w:r>
      <w:r>
        <w:t xml:space="preserve">[QGI-TR-2026-06]; here we note only the items most directly</w:t>
      </w:r>
      <w:r>
        <w:t xml:space="preserve"> </w:t>
      </w:r>
      <w:r>
        <w:t xml:space="preserve">relevant to the embedding argument.</w:t>
      </w:r>
    </w:p>
    <w:p>
      <w:pPr>
        <w:pStyle w:val="BodyText"/>
      </w:pPr>
      <w:r>
        <w:t xml:space="preserve">The contrastive-pretraining family (Sentence-BERT</w:t>
      </w:r>
      <w:r>
        <w:t xml:space="preserve"> </w:t>
      </w:r>
      <w:r>
        <w:t xml:space="preserve">[@reimers2019sbert]</w:t>
      </w:r>
      <w:r>
        <w:t xml:space="preserve">, E5</w:t>
      </w:r>
      <w:r>
        <w:t xml:space="preserve"> </w:t>
      </w:r>
      <w:r>
        <w:t xml:space="preserve">[@wang2022e5]</w:t>
      </w:r>
      <w:r>
        <w:t xml:space="preserve">, BGE</w:t>
      </w:r>
      <w:r>
        <w:t xml:space="preserve"> </w:t>
      </w:r>
      <w:r>
        <w:t xml:space="preserve">[@xiao2024cpack]</w:t>
      </w:r>
      <w:r>
        <w:t xml:space="preserve">,</w:t>
      </w:r>
      <w:r>
        <w:t xml:space="preserve"> </w:t>
      </w:r>
      <w:r>
        <w:t xml:space="preserve">GTE</w:t>
      </w:r>
      <w:r>
        <w:t xml:space="preserve"> </w:t>
      </w:r>
      <w:r>
        <w:t xml:space="preserve">[@li2023gte]</w:t>
      </w:r>
      <w:r>
        <w:t xml:space="preserve">) establishes the design pattern whose limitations</w:t>
      </w:r>
      <w:r>
        <w:t xml:space="preserve"> </w:t>
      </w:r>
      <w:r>
        <w:t xml:space="preserve">this paper identifies. MTEB</w:t>
      </w:r>
      <w:r>
        <w:t xml:space="preserve"> </w:t>
      </w:r>
      <w:r>
        <w:t xml:space="preserve">[@muennighoff2023mteb]</w:t>
      </w:r>
      <w:r>
        <w:t xml:space="preserve"> </w:t>
      </w:r>
      <w:r>
        <w:t xml:space="preserve">and BEIR</w:t>
      </w:r>
      <w:r>
        <w:t xml:space="preserve"> </w:t>
      </w:r>
      <w:r>
        <w:t xml:space="preserve">[@thakur2021beir]</w:t>
      </w:r>
      <w:r>
        <w:t xml:space="preserve"> </w:t>
      </w:r>
      <w:r>
        <w:t xml:space="preserve">are the leaderboards the family has been trained</w:t>
      </w:r>
      <w:r>
        <w:t xml:space="preserve"> </w:t>
      </w:r>
      <w:r>
        <w:t xml:space="preserve">to climb.</w:t>
      </w:r>
    </w:p>
    <w:p>
      <w:pPr>
        <w:pStyle w:val="BodyText"/>
      </w:pPr>
      <w:r>
        <w:t xml:space="preserve">The quantum NLP lineage — DisCoCat</w:t>
      </w:r>
      <w:r>
        <w:t xml:space="preserve"> </w:t>
      </w:r>
      <w:r>
        <w:t xml:space="preserve">[@coecke2010discocat]</w:t>
      </w:r>
      <w:r>
        <w:t xml:space="preserve">, QNLP</w:t>
      </w:r>
      <w:r>
        <w:t xml:space="preserve"> </w:t>
      </w:r>
      <w:r>
        <w:t xml:space="preserve">[@kartsaklis2021lambeq]</w:t>
      </w:r>
      <w:r>
        <w:t xml:space="preserve">, quantum cognition</w:t>
      </w:r>
      <w:r>
        <w:t xml:space="preserve"> </w:t>
      </w:r>
      <w:r>
        <w:t xml:space="preserve">[@aerts2014quantum;</w:t>
      </w:r>
      <w:r>
        <w:t xml:space="preserve"> </w:t>
      </w:r>
      <w:r>
        <w:t xml:space="preserve">@bruza2015qcognition]</w:t>
      </w:r>
      <w:r>
        <w:t xml:space="preserve"> </w:t>
      </w:r>
      <w:r>
        <w:t xml:space="preserve">— developed the mathematics Q-Prime applies</w:t>
      </w:r>
      <w:r>
        <w:t xml:space="preserve"> </w:t>
      </w:r>
      <w:r>
        <w:t xml:space="preserve">but did not pursue production-scale embedding models for regulatory</w:t>
      </w:r>
      <w:r>
        <w:t xml:space="preserve"> </w:t>
      </w:r>
      <w:r>
        <w:t xml:space="preserve">text.</w:t>
      </w:r>
    </w:p>
    <w:p>
      <w:pPr>
        <w:pStyle w:val="BodyText"/>
      </w:pPr>
      <w:r>
        <w:t xml:space="preserve">The contract and legal NLP community has produced CUAD</w:t>
      </w:r>
      <w:r>
        <w:t xml:space="preserve"> </w:t>
      </w:r>
      <w:r>
        <w:t xml:space="preserve">[@hendrycks2021cuad]</w:t>
      </w:r>
      <w:r>
        <w:t xml:space="preserve"> </w:t>
      </w:r>
      <w:r>
        <w:t xml:space="preserve">and LexGLUE</w:t>
      </w:r>
      <w:r>
        <w:t xml:space="preserve"> </w:t>
      </w:r>
      <w:r>
        <w:t xml:space="preserve">[@chalkidis2022lexglue]</w:t>
      </w:r>
      <w:r>
        <w:t xml:space="preserve">, both</w:t>
      </w:r>
      <w:r>
        <w:t xml:space="preserve"> </w:t>
      </w:r>
      <w:r>
        <w:t xml:space="preserve">of which include tasks that depend on the properties enumerated in</w:t>
      </w:r>
      <w:r>
        <w:t xml:space="preserve"> </w:t>
      </w:r>
      <w:r>
        <w:t xml:space="preserve">§2 and both of which demonstrate, indirectly, the ceiling that</w:t>
      </w:r>
      <w:r>
        <w:t xml:space="preserve"> </w:t>
      </w:r>
      <w:r>
        <w:t xml:space="preserve">general-purpose embeddings hit on structured legal language.</w:t>
      </w:r>
    </w:p>
    <w:bookmarkEnd w:id="37"/>
    <w:bookmarkStart w:id="38" w:name="limitations"/>
    <w:p>
      <w:pPr>
        <w:pStyle w:val="Heading1"/>
      </w:pPr>
      <w:r>
        <w:t xml:space="preserve">Limitations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Managed-API only.</w:t>
      </w:r>
      <w:r>
        <w:t xml:space="preserve"> </w:t>
      </w:r>
      <w:r>
        <w:t xml:space="preserve">Q-Prime is not distributed as weights. Teams</w:t>
      </w:r>
      <w:r>
        <w:t xml:space="preserve"> </w:t>
      </w:r>
      <w:r>
        <w:t xml:space="preserve">requiring fully local, open-weights embedding stacks are not the</w:t>
      </w:r>
      <w:r>
        <w:t xml:space="preserve"> </w:t>
      </w:r>
      <w:r>
        <w:t xml:space="preserve">target audience of v1.0.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English-first.</w:t>
      </w:r>
      <w:r>
        <w:t xml:space="preserve"> </w:t>
      </w:r>
      <w:r>
        <w:t xml:space="preserve">The v1.0 training corpus is predominantly</w:t>
      </w:r>
      <w:r>
        <w:t xml:space="preserve"> </w:t>
      </w:r>
      <w:r>
        <w:t xml:space="preserve">English regulatory and policy text. Other languages are on the</w:t>
      </w:r>
      <w:r>
        <w:t xml:space="preserve"> </w:t>
      </w:r>
      <w:r>
        <w:t xml:space="preserve">roadmap but behind public release.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Not a general replacement for general-purpose embeddings.</w:t>
      </w:r>
      <w:r>
        <w:t xml:space="preserve"> </w:t>
      </w:r>
      <w:r>
        <w:t xml:space="preserve">For</w:t>
      </w:r>
      <w:r>
        <w:t xml:space="preserve"> </w:t>
      </w:r>
      <w:r>
        <w:t xml:space="preserve">tasks where the six properties above are irrelevant (pure topical</w:t>
      </w:r>
      <w:r>
        <w:t xml:space="preserve"> </w:t>
      </w:r>
      <w:r>
        <w:t xml:space="preserve">retrieval, product search, FAQ), a well-tuned general-purpose</w:t>
      </w:r>
      <w:r>
        <w:t xml:space="preserve"> </w:t>
      </w:r>
      <w:r>
        <w:t xml:space="preserve">embedding will remain competitive.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Benchmark scope.</w:t>
      </w:r>
      <w:r>
        <w:t xml:space="preserve"> </w:t>
      </w:r>
      <w:r>
        <w:t xml:space="preserve">The headline F1 result is on an internal</w:t>
      </w:r>
      <w:r>
        <w:t xml:space="preserve"> </w:t>
      </w:r>
      <w:r>
        <w:t xml:space="preserve">regulatory-conflict benchmark. Full out-of-domain numbers are in</w:t>
      </w:r>
      <w:r>
        <w:t xml:space="preserve"> </w:t>
      </w:r>
      <w:r>
        <w:t xml:space="preserve">the forthcoming companion evaluation paper.</w:t>
      </w:r>
    </w:p>
    <w:bookmarkEnd w:id="38"/>
    <w:bookmarkStart w:id="39" w:name="access"/>
    <w:p>
      <w:pPr>
        <w:pStyle w:val="Heading1"/>
      </w:pPr>
      <w:r>
        <w:t xml:space="preserve">Access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Evaluation tokens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contact@qgi.dev</w:t>
      </w:r>
      <w:r>
        <w:t xml:space="preserve">. 90 days free under</w:t>
      </w:r>
      <w:r>
        <w:t xml:space="preserve"> </w:t>
      </w:r>
      <w:r>
        <w:t xml:space="preserve">QGI Commercial Model License v1.0, §3.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OpenRouter listing</w:t>
      </w:r>
      <w:r>
        <w:t xml:space="preserve"> </w:t>
      </w:r>
      <w:r>
        <w:t xml:space="preserve">— Q-Prime is listed as part of the QAG</w:t>
      </w:r>
      <w:r>
        <w:t xml:space="preserve"> </w:t>
      </w:r>
      <w:r>
        <w:t xml:space="preserve">public beta.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Enterprise agreements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contact@qgi.dev</w:t>
      </w:r>
      <w:r>
        <w:t xml:space="preserve">.</w:t>
      </w:r>
    </w:p>
    <w:p>
      <w:pPr>
        <w:pStyle w:val="FirstParagraph"/>
      </w:pPr>
      <w:r>
        <w:t xml:space="preserve">Weights are not distributed; the model is accessed as a managed API.</w:t>
      </w:r>
    </w:p>
    <w:bookmarkEnd w:id="39"/>
    <w:bookmarkStart w:id="40" w:name="ethics-and-dual-use"/>
    <w:p>
      <w:pPr>
        <w:pStyle w:val="Heading1"/>
      </w:pPr>
      <w:r>
        <w:t xml:space="preserve">Ethics and dual use</w:t>
      </w:r>
    </w:p>
    <w:p>
      <w:pPr>
        <w:pStyle w:val="FirstParagraph"/>
      </w:pPr>
      <w:r>
        <w:t xml:space="preserve">An embedding model that reliably detects regulatory contradictions</w:t>
      </w:r>
      <w:r>
        <w:t xml:space="preserve"> </w:t>
      </w:r>
      <w:r>
        <w:t xml:space="preserve">also reliably detects regulatory loopholes. The model card’s</w:t>
      </w:r>
      <w:r>
        <w:t xml:space="preserve"> </w:t>
      </w:r>
      <w:r>
        <w:t xml:space="preserve">Acceptable Use Policy restricts uses that produce legally-binding</w:t>
      </w:r>
      <w:r>
        <w:t xml:space="preserve"> </w:t>
      </w:r>
      <w:r>
        <w:t xml:space="preserve">automated decisions without certified human review, and the QGI</w:t>
      </w:r>
      <w:r>
        <w:t xml:space="preserve"> </w:t>
      </w:r>
      <w:r>
        <w:t xml:space="preserve">Commercial Model License v1.0 enforces the policy contractually. See</w:t>
      </w:r>
      <w:r>
        <w:t xml:space="preserve"> </w:t>
      </w:r>
      <w:r>
        <w:t xml:space="preserve">[@qgi-license]</w:t>
      </w:r>
      <w:r>
        <w:t xml:space="preserve"> </w:t>
      </w:r>
      <w:r>
        <w:t xml:space="preserve">for details.</w:t>
      </w:r>
    </w:p>
    <w:bookmarkEnd w:id="40"/>
    <w:bookmarkStart w:id="41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Benchmark corpora are proprietary and released under evaluation</w:t>
      </w:r>
      <w:r>
        <w:t xml:space="preserve"> </w:t>
      </w:r>
      <w:r>
        <w:t xml:space="preserve">agreement. Methodology and reproduction artefacts accompany the</w:t>
      </w:r>
      <w:r>
        <w:t xml:space="preserve"> </w:t>
      </w:r>
      <w:r>
        <w:t xml:space="preserve">forthcoming companion evaluation paper.</w:t>
      </w:r>
    </w:p>
    <w:bookmarkEnd w:id="41"/>
    <w:bookmarkStart w:id="42" w:name="competing-interests"/>
    <w:p>
      <w:pPr>
        <w:pStyle w:val="Heading1"/>
      </w:pPr>
      <w:r>
        <w:t xml:space="preserve">Competing interests</w:t>
      </w:r>
    </w:p>
    <w:p>
      <w:pPr>
        <w:pStyle w:val="FirstParagraph"/>
      </w:pPr>
      <w:r>
        <w:t xml:space="preserve">The author is an employee and shareholder of Quantum General</w:t>
      </w:r>
      <w:r>
        <w:t xml:space="preserve"> </w:t>
      </w:r>
      <w:r>
        <w:t xml:space="preserve">Intelligence, Inc., and has a commercial interest in Q-Prime and the</w:t>
      </w:r>
      <w:r>
        <w:t xml:space="preserve"> </w:t>
      </w:r>
      <w:r>
        <w:t xml:space="preserve">QAG engine.</w:t>
      </w:r>
    </w:p>
    <w:bookmarkEnd w:id="42"/>
    <w:bookmarkStart w:id="43" w:name="references"/>
    <w:p>
      <w:pPr>
        <w:pStyle w:val="Heading1"/>
      </w:pPr>
      <w:r>
        <w:t xml:space="preserve">References</w:t>
      </w:r>
    </w:p>
    <w:p>
      <w:pPr>
        <w:numPr>
          <w:ilvl w:val="0"/>
          <w:numId w:val="1005"/>
        </w:numPr>
        <w:pStyle w:val="Compact"/>
      </w:pPr>
      <w:r>
        <w:t xml:space="preserve">[@reimers2019sbert]</w:t>
      </w:r>
      <w:r>
        <w:t xml:space="preserve"> </w:t>
      </w:r>
      <w:r>
        <w:t xml:space="preserve">Reimers, N., Gurevych, I. (2019).</w:t>
      </w:r>
      <w:r>
        <w:t xml:space="preserve"> </w:t>
      </w:r>
      <w:r>
        <w:rPr>
          <w:iCs/>
          <w:i/>
        </w:rPr>
        <w:t xml:space="preserve">Sentence-BERT</w:t>
      </w:r>
      <w:r>
        <w:t xml:space="preserve">. EMNLP 2019.</w:t>
      </w:r>
    </w:p>
    <w:p>
      <w:pPr>
        <w:numPr>
          <w:ilvl w:val="0"/>
          <w:numId w:val="1005"/>
        </w:numPr>
        <w:pStyle w:val="Compact"/>
      </w:pPr>
      <w:r>
        <w:t xml:space="preserve">[@xiao2024cpack]</w:t>
      </w:r>
      <w:r>
        <w:t xml:space="preserve"> </w:t>
      </w:r>
      <w:r>
        <w:t xml:space="preserve">Xiao, S., Liu, Z., Zhang, P., Muennighoff, N.</w:t>
      </w:r>
      <w:r>
        <w:t xml:space="preserve"> </w:t>
      </w:r>
      <w:r>
        <w:t xml:space="preserve">(2024).</w:t>
      </w:r>
      <w:r>
        <w:t xml:space="preserve"> </w:t>
      </w:r>
      <w:r>
        <w:rPr>
          <w:iCs/>
          <w:i/>
        </w:rPr>
        <w:t xml:space="preserve">C-Pack: Packed Resources For General Chinese Embeddings</w:t>
      </w:r>
      <w:r>
        <w:t xml:space="preserve"> </w:t>
      </w:r>
      <w:r>
        <w:t xml:space="preserve">(BGE family). SIGIR 2024.</w:t>
      </w:r>
    </w:p>
    <w:p>
      <w:pPr>
        <w:numPr>
          <w:ilvl w:val="0"/>
          <w:numId w:val="1005"/>
        </w:numPr>
        <w:pStyle w:val="Compact"/>
      </w:pPr>
      <w:r>
        <w:t xml:space="preserve">[@wang2022e5]</w:t>
      </w:r>
      <w:r>
        <w:t xml:space="preserve"> </w:t>
      </w:r>
      <w:r>
        <w:t xml:space="preserve">Wang, L., Yang, N., Huang, X. et al. (2022).</w:t>
      </w:r>
      <w:r>
        <w:t xml:space="preserve"> </w:t>
      </w:r>
      <w:r>
        <w:rPr>
          <w:iCs/>
          <w:i/>
        </w:rPr>
        <w:t xml:space="preserve">Text</w:t>
      </w:r>
      <w:r>
        <w:rPr>
          <w:iCs/>
          <w:i/>
        </w:rPr>
        <w:t xml:space="preserve"> </w:t>
      </w:r>
      <w:r>
        <w:rPr>
          <w:iCs/>
          <w:i/>
        </w:rPr>
        <w:t xml:space="preserve">Embeddings by Weakly-Supervised Contrastive Pre-training</w:t>
      </w:r>
      <w:r>
        <w:t xml:space="preserve">.</w:t>
      </w:r>
      <w:r>
        <w:t xml:space="preserve"> </w:t>
      </w:r>
      <w:r>
        <w:t xml:space="preserve">arXiv:2212.03533. (E5.)</w:t>
      </w:r>
    </w:p>
    <w:p>
      <w:pPr>
        <w:numPr>
          <w:ilvl w:val="0"/>
          <w:numId w:val="1005"/>
        </w:numPr>
        <w:pStyle w:val="Compact"/>
      </w:pPr>
      <w:r>
        <w:t xml:space="preserve">[@li2023gte]</w:t>
      </w:r>
      <w:r>
        <w:t xml:space="preserve"> </w:t>
      </w:r>
      <w:r>
        <w:t xml:space="preserve">Li, Z., Zhang, X., Zhang, Y. et al. (2023).</w:t>
      </w:r>
      <w:r>
        <w:t xml:space="preserve"> </w:t>
      </w:r>
      <w:r>
        <w:rPr>
          <w:iCs/>
          <w:i/>
        </w:rPr>
        <w:t xml:space="preserve">Towards</w:t>
      </w:r>
      <w:r>
        <w:rPr>
          <w:iCs/>
          <w:i/>
        </w:rPr>
        <w:t xml:space="preserve"> </w:t>
      </w:r>
      <w:r>
        <w:rPr>
          <w:iCs/>
          <w:i/>
        </w:rPr>
        <w:t xml:space="preserve">General Text Embeddings with Multi-stage Contrastive Learning</w:t>
      </w:r>
      <w:r>
        <w:t xml:space="preserve">.</w:t>
      </w:r>
      <w:r>
        <w:t xml:space="preserve"> </w:t>
      </w:r>
      <w:r>
        <w:t xml:space="preserve">arXiv:2308.03281. (GTE.)</w:t>
      </w:r>
    </w:p>
    <w:p>
      <w:pPr>
        <w:numPr>
          <w:ilvl w:val="0"/>
          <w:numId w:val="1005"/>
        </w:numPr>
        <w:pStyle w:val="Compact"/>
      </w:pPr>
      <w:r>
        <w:t xml:space="preserve">[@muennighoff2023mteb]</w:t>
      </w:r>
      <w:r>
        <w:t xml:space="preserve"> </w:t>
      </w:r>
      <w:r>
        <w:t xml:space="preserve">Muennighoff, N., Tazi, N., Magne, L.,</w:t>
      </w:r>
      <w:r>
        <w:t xml:space="preserve"> </w:t>
      </w:r>
      <w:r>
        <w:t xml:space="preserve">Reimers, N. (2023).</w:t>
      </w:r>
      <w:r>
        <w:t xml:space="preserve"> </w:t>
      </w:r>
      <w:r>
        <w:rPr>
          <w:iCs/>
          <w:i/>
        </w:rPr>
        <w:t xml:space="preserve">MTEB: Massive Text Embedding Benchmark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[@thakur2021beir]</w:t>
      </w:r>
      <w:r>
        <w:t xml:space="preserve"> </w:t>
      </w:r>
      <w:r>
        <w:t xml:space="preserve">Thakur, N., Reimers, N., Rücklé, A. et al.</w:t>
      </w:r>
      <w:r>
        <w:t xml:space="preserve"> </w:t>
      </w:r>
      <w:r>
        <w:t xml:space="preserve">(2021).</w:t>
      </w:r>
      <w:r>
        <w:t xml:space="preserve"> </w:t>
      </w:r>
      <w:r>
        <w:rPr>
          <w:iCs/>
          <w:i/>
        </w:rPr>
        <w:t xml:space="preserve">BEIR</w:t>
      </w:r>
      <w:r>
        <w:t xml:space="preserve">. NeurIPS Datasets 2021.</w:t>
      </w:r>
    </w:p>
    <w:p>
      <w:pPr>
        <w:numPr>
          <w:ilvl w:val="0"/>
          <w:numId w:val="1005"/>
        </w:numPr>
        <w:pStyle w:val="Compact"/>
      </w:pPr>
      <w:r>
        <w:t xml:space="preserve">[@coecke2010discocat]</w:t>
      </w:r>
      <w:r>
        <w:t xml:space="preserve"> </w:t>
      </w:r>
      <w:r>
        <w:t xml:space="preserve">Coecke, B., Sadrzadeh, M., Clark, S. (2010).</w:t>
      </w:r>
      <w:r>
        <w:t xml:space="preserve"> </w:t>
      </w:r>
      <w:r>
        <w:rPr>
          <w:iCs/>
          <w:i/>
        </w:rPr>
        <w:t xml:space="preserve">Mathematical Foundations for a Compositional Distributional</w:t>
      </w:r>
      <w:r>
        <w:rPr>
          <w:iCs/>
          <w:i/>
        </w:rPr>
        <w:t xml:space="preserve"> </w:t>
      </w:r>
      <w:r>
        <w:rPr>
          <w:iCs/>
          <w:i/>
        </w:rPr>
        <w:t xml:space="preserve">Model of Meaning</w:t>
      </w:r>
      <w:r>
        <w:t xml:space="preserve">. Linguistic Analysis 36.</w:t>
      </w:r>
    </w:p>
    <w:p>
      <w:pPr>
        <w:numPr>
          <w:ilvl w:val="0"/>
          <w:numId w:val="1005"/>
        </w:numPr>
        <w:pStyle w:val="Compact"/>
      </w:pPr>
      <w:r>
        <w:t xml:space="preserve">[@kartsaklis2021lambeq]</w:t>
      </w:r>
      <w:r>
        <w:t xml:space="preserve"> </w:t>
      </w:r>
      <w:r>
        <w:t xml:space="preserve">Kartsaklis, D., Fan, I., Yeung, R. et al.</w:t>
      </w:r>
      <w:r>
        <w:t xml:space="preserve"> </w:t>
      </w:r>
      <w:r>
        <w:t xml:space="preserve">(2021).</w:t>
      </w:r>
      <w:r>
        <w:t xml:space="preserve"> </w:t>
      </w:r>
      <w:r>
        <w:rPr>
          <w:iCs/>
          <w:i/>
        </w:rPr>
        <w:t xml:space="preserve">lambeq</w:t>
      </w:r>
      <w:r>
        <w:t xml:space="preserve">. arXiv:2110.04236.</w:t>
      </w:r>
    </w:p>
    <w:p>
      <w:pPr>
        <w:numPr>
          <w:ilvl w:val="0"/>
          <w:numId w:val="1005"/>
        </w:numPr>
        <w:pStyle w:val="Compact"/>
      </w:pPr>
      <w:r>
        <w:t xml:space="preserve">[@aerts2014quantum]</w:t>
      </w:r>
      <w:r>
        <w:t xml:space="preserve"> </w:t>
      </w:r>
      <w:r>
        <w:t xml:space="preserve">Aerts, D., Sozzo, S. (2014).</w:t>
      </w:r>
      <w:r>
        <w:t xml:space="preserve"> </w:t>
      </w:r>
      <w:r>
        <w:rPr>
          <w:iCs/>
          <w:i/>
        </w:rPr>
        <w:t xml:space="preserve">Quantum</w:t>
      </w:r>
      <w:r>
        <w:rPr>
          <w:iCs/>
          <w:i/>
        </w:rPr>
        <w:t xml:space="preserve"> </w:t>
      </w:r>
      <w:r>
        <w:rPr>
          <w:iCs/>
          <w:i/>
        </w:rPr>
        <w:t xml:space="preserve">Structure in Cognition</w:t>
      </w:r>
      <w:r>
        <w:t xml:space="preserve">. Quantum Interaction 2014.</w:t>
      </w:r>
    </w:p>
    <w:p>
      <w:pPr>
        <w:numPr>
          <w:ilvl w:val="0"/>
          <w:numId w:val="1005"/>
        </w:numPr>
        <w:pStyle w:val="Compact"/>
      </w:pPr>
      <w:r>
        <w:t xml:space="preserve">[@bruza2015qcognition]</w:t>
      </w:r>
      <w:r>
        <w:t xml:space="preserve"> </w:t>
      </w:r>
      <w:r>
        <w:t xml:space="preserve">Bruza, P. D., Wang, Z., Busemeyer, J. R.</w:t>
      </w:r>
      <w:r>
        <w:t xml:space="preserve"> </w:t>
      </w:r>
      <w:r>
        <w:t xml:space="preserve">(2015).</w:t>
      </w:r>
      <w:r>
        <w:t xml:space="preserve"> </w:t>
      </w:r>
      <w:r>
        <w:rPr>
          <w:iCs/>
          <w:i/>
        </w:rPr>
        <w:t xml:space="preserve">Quantum Cognition</w:t>
      </w:r>
      <w:r>
        <w:t xml:space="preserve">. Trends in Cognitive Sciences.</w:t>
      </w:r>
    </w:p>
    <w:p>
      <w:pPr>
        <w:numPr>
          <w:ilvl w:val="0"/>
          <w:numId w:val="1005"/>
        </w:numPr>
        <w:pStyle w:val="Compact"/>
      </w:pPr>
      <w:r>
        <w:t xml:space="preserve">[@hendrycks2021cuad]</w:t>
      </w:r>
      <w:r>
        <w:t xml:space="preserve"> </w:t>
      </w:r>
      <w:r>
        <w:t xml:space="preserve">Hendrycks, D. et al. (2021).</w:t>
      </w:r>
      <w:r>
        <w:t xml:space="preserve"> </w:t>
      </w:r>
      <w:r>
        <w:rPr>
          <w:iCs/>
          <w:i/>
        </w:rPr>
        <w:t xml:space="preserve">CUAD</w:t>
      </w:r>
      <w:r>
        <w:t xml:space="preserve">. NeurIPS</w:t>
      </w:r>
    </w:p>
    <w:p>
      <w:pPr>
        <w:numPr>
          <w:ilvl w:val="0"/>
          <w:numId w:val="1005"/>
        </w:numPr>
        <w:pStyle w:val="Compact"/>
      </w:pPr>
      <w:r>
        <w:t xml:space="preserve">[@chalkidis2022lexglue]</w:t>
      </w:r>
      <w:r>
        <w:t xml:space="preserve"> </w:t>
      </w:r>
      <w:r>
        <w:t xml:space="preserve">Chalkidis, I. et al. (2022).</w:t>
      </w:r>
      <w:r>
        <w:t xml:space="preserve"> </w:t>
      </w:r>
      <w:r>
        <w:rPr>
          <w:iCs/>
          <w:i/>
        </w:rPr>
        <w:t xml:space="preserve">LexGLUE</w:t>
      </w:r>
      <w:r>
        <w:t xml:space="preserve">.</w:t>
      </w:r>
      <w:r>
        <w:t xml:space="preserve"> </w:t>
      </w:r>
      <w:r>
        <w:t xml:space="preserve">ACL 2022.</w:t>
      </w:r>
    </w:p>
    <w:p>
      <w:pPr>
        <w:numPr>
          <w:ilvl w:val="0"/>
          <w:numId w:val="1005"/>
        </w:numPr>
        <w:pStyle w:val="Compact"/>
      </w:pPr>
      <w:r>
        <w:t xml:space="preserve">[@qgi-tr-01]</w:t>
      </w:r>
      <w:r>
        <w:t xml:space="preserve"> </w:t>
      </w:r>
      <w:r>
        <w:t xml:space="preserve">Sammane, S. (2026).</w:t>
      </w:r>
      <w:r>
        <w:t xml:space="preserve"> </w:t>
      </w:r>
      <w:r>
        <w:rPr>
          <w:iCs/>
          <w:i/>
        </w:rPr>
        <w:t xml:space="preserve">Quantum-Augmented Generation</w:t>
      </w:r>
      <w:r>
        <w:rPr>
          <w:iCs/>
          <w:i/>
        </w:rPr>
        <w:t xml:space="preserve"> </w:t>
      </w:r>
      <w:r>
        <w:rPr>
          <w:iCs/>
          <w:i/>
        </w:rPr>
        <w:t xml:space="preserve">(QAG): A Reasoning-First Memory Infrastructure</w:t>
      </w:r>
      <w:r>
        <w:t xml:space="preserve">. QGI-TR-2026-01.</w:t>
      </w:r>
    </w:p>
    <w:p>
      <w:pPr>
        <w:numPr>
          <w:ilvl w:val="0"/>
          <w:numId w:val="1005"/>
        </w:numPr>
        <w:pStyle w:val="Compact"/>
      </w:pPr>
      <w:r>
        <w:t xml:space="preserve">[@qgi-tr-03]</w:t>
      </w:r>
      <w:r>
        <w:t xml:space="preserve"> </w:t>
      </w:r>
      <w:r>
        <w:t xml:space="preserve">Sammane, S. (2026).</w:t>
      </w:r>
      <w:r>
        <w:t xml:space="preserve"> </w:t>
      </w:r>
      <w:r>
        <w:rPr>
          <w:iCs/>
          <w:i/>
        </w:rPr>
        <w:t xml:space="preserve">Conflict-Aware Memory for AI</w:t>
      </w:r>
      <w:r>
        <w:rPr>
          <w:iCs/>
          <w:i/>
        </w:rPr>
        <w:t xml:space="preserve"> </w:t>
      </w:r>
      <w:r>
        <w:rPr>
          <w:iCs/>
          <w:i/>
        </w:rPr>
        <w:t xml:space="preserve">Agents</w:t>
      </w:r>
      <w:r>
        <w:t xml:space="preserve">. QGI-TR-2026-03.</w:t>
      </w:r>
    </w:p>
    <w:p>
      <w:pPr>
        <w:numPr>
          <w:ilvl w:val="0"/>
          <w:numId w:val="1005"/>
        </w:numPr>
        <w:pStyle w:val="Compact"/>
      </w:pPr>
      <w:r>
        <w:t xml:space="preserve">[@qgi-tr-04]</w:t>
      </w:r>
      <w:r>
        <w:t xml:space="preserve"> </w:t>
      </w:r>
      <w:r>
        <w:t xml:space="preserve">Sammane, S. (2026).</w:t>
      </w:r>
      <w:r>
        <w:t xml:space="preserve"> </w:t>
      </w:r>
      <w:r>
        <w:rPr>
          <w:iCs/>
          <w:i/>
        </w:rPr>
        <w:t xml:space="preserve">A Born-Rule Classifier</w:t>
      </w:r>
      <w:r>
        <w:t xml:space="preserve">.</w:t>
      </w:r>
      <w:r>
        <w:t xml:space="preserve"> </w:t>
      </w:r>
      <w:r>
        <w:t xml:space="preserve">QGI-TR-2026-04.</w:t>
      </w:r>
    </w:p>
    <w:p>
      <w:pPr>
        <w:numPr>
          <w:ilvl w:val="0"/>
          <w:numId w:val="1005"/>
        </w:numPr>
        <w:pStyle w:val="Compact"/>
      </w:pPr>
      <w:r>
        <w:t xml:space="preserve">[@qgi-tr-06]</w:t>
      </w:r>
      <w:r>
        <w:t xml:space="preserve"> </w:t>
      </w:r>
      <w:r>
        <w:t xml:space="preserve">Sammane, S. (2026).</w:t>
      </w:r>
      <w:r>
        <w:t xml:space="preserve"> </w:t>
      </w:r>
      <w:r>
        <w:rPr>
          <w:iCs/>
          <w:i/>
        </w:rPr>
        <w:t xml:space="preserve">Beyond Retrieval-Augmented</w:t>
      </w:r>
      <w:r>
        <w:rPr>
          <w:iCs/>
          <w:i/>
        </w:rPr>
        <w:t xml:space="preserve"> </w:t>
      </w:r>
      <w:r>
        <w:rPr>
          <w:iCs/>
          <w:i/>
        </w:rPr>
        <w:t xml:space="preserve">Generation: A Review</w:t>
      </w:r>
      <w:r>
        <w:t xml:space="preserve">. QGI-TR-2026-06.</w:t>
      </w:r>
    </w:p>
    <w:p>
      <w:pPr>
        <w:numPr>
          <w:ilvl w:val="0"/>
          <w:numId w:val="1005"/>
        </w:numPr>
        <w:pStyle w:val="Compact"/>
      </w:pPr>
      <w:r>
        <w:t xml:space="preserve">[@qgi-modelcard]</w:t>
      </w:r>
      <w:r>
        <w:t xml:space="preserve"> </w:t>
      </w:r>
      <w:r>
        <w:t xml:space="preserve">Sammane, S. (2026).</w:t>
      </w:r>
      <w:r>
        <w:t xml:space="preserve"> </w:t>
      </w:r>
      <w:r>
        <w:rPr>
          <w:iCs/>
          <w:i/>
        </w:rPr>
        <w:t xml:space="preserve">Q-Prime public model</w:t>
      </w:r>
      <w:r>
        <w:rPr>
          <w:iCs/>
          <w:i/>
        </w:rPr>
        <w:t xml:space="preserve"> </w:t>
      </w:r>
      <w:r>
        <w:rPr>
          <w:iCs/>
          <w:i/>
        </w:rPr>
        <w:t xml:space="preserve">card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[@qgi-license]</w:t>
      </w:r>
      <w:r>
        <w:t xml:space="preserve"> </w:t>
      </w:r>
      <w:r>
        <w:t xml:space="preserve">Quantum General Intelligence, Inc. (2026).</w:t>
      </w:r>
      <w:r>
        <w:t xml:space="preserve"> </w:t>
      </w:r>
      <w:r>
        <w:rPr>
          <w:iCs/>
          <w:i/>
        </w:rPr>
        <w:t xml:space="preserve">QGI</w:t>
      </w:r>
      <w:r>
        <w:rPr>
          <w:iCs/>
          <w:i/>
        </w:rPr>
        <w:t xml:space="preserve"> </w:t>
      </w:r>
      <w:r>
        <w:rPr>
          <w:iCs/>
          <w:i/>
        </w:rPr>
        <w:t xml:space="preserve">Commercial Model License v1.0</w:t>
      </w:r>
      <w:r>
        <w:t xml:space="preserve">.</w:t>
      </w:r>
    </w:p>
    <w:bookmarkEnd w:id="43"/>
    <w:bookmarkStart w:id="44" w:name="cite-this-as"/>
    <w:p>
      <w:pPr>
        <w:pStyle w:val="Heading1"/>
      </w:pPr>
      <w:r>
        <w:t xml:space="preserve">Cite this as</w:t>
      </w:r>
    </w:p>
    <w:p>
      <w:pPr>
        <w:pStyle w:val="SourceCode"/>
      </w:pPr>
      <w:r>
        <w:rPr>
          <w:rStyle w:val="VariableTok"/>
        </w:rPr>
        <w:t xml:space="preserve">@techreport</w:t>
      </w:r>
      <w:r>
        <w:rPr>
          <w:rStyle w:val="NormalTok"/>
        </w:rPr>
        <w:t xml:space="preserve">{</w:t>
      </w:r>
      <w:r>
        <w:rPr>
          <w:rStyle w:val="OtherTok"/>
        </w:rPr>
        <w:t xml:space="preserve">sammane2026qprime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    = {Sam Sammane},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    = {Purpose-Built Embedding Models for Rule-Bearing Text: Why General-Purpose Embeddings Score F1 = 0 on Regulatory Conflict},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institution</w:t>
      </w:r>
      <w:r>
        <w:rPr>
          <w:rStyle w:val="NormalTok"/>
        </w:rPr>
        <w:t xml:space="preserve"> = {Quantum General Intelligence, Inc.},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= {QGI-TR-2026-02},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    = {2026},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       = {April},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NormalTok"/>
        </w:rPr>
        <w:t xml:space="preserve">        = {Preprint},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note</w:t>
      </w:r>
      <w:r>
        <w:rPr>
          <w:rStyle w:val="NormalTok"/>
        </w:rPr>
        <w:t xml:space="preserve">        = {Version 1.0, 21 April 2026. Not peer-reviewed.}</w:t>
      </w:r>
      <w:r>
        <w:br/>
      </w:r>
      <w:r>
        <w:rPr>
          <w:rStyle w:val="NormalTok"/>
        </w:rPr>
        <w:t xml:space="preserve">}</w:t>
      </w:r>
    </w:p>
    <w:bookmarkEnd w:id="44"/>
    <w:bookmarkStart w:id="45" w:name="version-history"/>
    <w:p>
      <w:pPr>
        <w:pStyle w:val="Heading1"/>
      </w:pPr>
      <w:r>
        <w:t xml:space="preserve">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April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preprint release.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2025–2026 Quantum General Intelligence, Inc. All rights reserved.</w:t>
      </w:r>
    </w:p>
    <w:bookmarkEnd w:id="45"/>
    <w:sectPr w:rsidR="00FC693F" w:rsidRPr="0006063C" w:rsidSect="00034616">
      <w:pgSz w:h="16838" w:w="11906"/>
      <w:pgMar w:bottom="1247" w:footer="567" w:gutter="0" w:header="567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021">
    <w:nsid w:val="A99412021"/>
    <w:multiLevelType w:val="multilevel"/>
    <w:lvl w:ilvl="0">
      <w:start w:val="2021"/>
      <w:numFmt w:val="decimal"/>
      <w:lvlText w:val="%1."/>
      <w:lvlJc w:val="left"/>
      <w:pPr>
        <w:ind w:left="720" w:hanging="480"/>
      </w:pPr>
    </w:lvl>
    <w:lvl w:ilvl="1">
      <w:start w:val="2021"/>
      <w:numFmt w:val="decimal"/>
      <w:lvlText w:val="%2."/>
      <w:lvlJc w:val="left"/>
      <w:pPr>
        <w:ind w:left="1440" w:hanging="480"/>
      </w:pPr>
    </w:lvl>
    <w:lvl w:ilvl="2">
      <w:start w:val="2021"/>
      <w:numFmt w:val="decimal"/>
      <w:lvlText w:val="%3."/>
      <w:lvlJc w:val="left"/>
      <w:pPr>
        <w:ind w:left="2160" w:hanging="480"/>
      </w:pPr>
    </w:lvl>
    <w:lvl w:ilvl="3">
      <w:start w:val="2021"/>
      <w:numFmt w:val="decimal"/>
      <w:lvlText w:val="%4."/>
      <w:lvlJc w:val="left"/>
      <w:pPr>
        <w:ind w:left="2880" w:hanging="480"/>
      </w:pPr>
    </w:lvl>
    <w:lvl w:ilvl="4">
      <w:start w:val="2021"/>
      <w:numFmt w:val="decimal"/>
      <w:lvlText w:val="%5."/>
      <w:lvlJc w:val="left"/>
      <w:pPr>
        <w:ind w:left="3600" w:hanging="480"/>
      </w:pPr>
    </w:lvl>
    <w:lvl w:ilvl="5">
      <w:start w:val="2021"/>
      <w:numFmt w:val="decimal"/>
      <w:lvlText w:val="%6."/>
      <w:lvlJc w:val="left"/>
      <w:pPr>
        <w:ind w:left="4320" w:hanging="480"/>
      </w:pPr>
    </w:lvl>
    <w:lvl w:ilvl="6">
      <w:start w:val="2021"/>
      <w:numFmt w:val="decimal"/>
      <w:lvlText w:val="%7."/>
      <w:lvlJc w:val="left"/>
      <w:pPr>
        <w:ind w:left="5040" w:hanging="480"/>
      </w:pPr>
    </w:lvl>
    <w:lvl w:ilvl="7">
      <w:start w:val="2021"/>
      <w:numFmt w:val="decimal"/>
      <w:lvlText w:val="%8."/>
      <w:lvlJc w:val="left"/>
      <w:pPr>
        <w:ind w:left="5760" w:hanging="480"/>
      </w:pPr>
    </w:lvl>
    <w:lvl w:ilvl="8">
      <w:start w:val="202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021"/>
    <w:lvlOverride w:ilvl="0">
      <w:startOverride w:val="2021"/>
    </w:lvlOverride>
    <w:lvlOverride w:ilvl="1">
      <w:startOverride w:val="2021"/>
    </w:lvlOverride>
    <w:lvlOverride w:ilvl="2">
      <w:startOverride w:val="2021"/>
    </w:lvlOverride>
    <w:lvlOverride w:ilvl="3">
      <w:startOverride w:val="2021"/>
    </w:lvlOverride>
    <w:lvlOverride w:ilvl="4">
      <w:startOverride w:val="2021"/>
    </w:lvlOverride>
    <w:lvlOverride w:ilvl="5">
      <w:startOverride w:val="2021"/>
    </w:lvlOverride>
    <w:lvlOverride w:ilvl="6">
      <w:startOverride w:val="2021"/>
    </w:lvlOverride>
    <w:lvlOverride w:ilvl="7">
      <w:startOverride w:val="2021"/>
    </w:lvlOverride>
    <w:lvlOverride w:ilvl="8">
      <w:startOverride w:val="202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83" w:lineRule="auto"/>
    </w:pPr>
    <w:rPr>
      <w:rFonts w:ascii="Calibri" w:cs="Calibri" w:eastAsia="Calibri" w:hAnsi="Calibri"/>
      <w:b w:val="0"/>
      <w:i w:val="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360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2E4A8F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4A68B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4B5561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before="0" w:line="240" w:lineRule="auto"/>
      <w:contextualSpacing/>
      <w:jc w:val="center"/>
    </w:pPr>
    <w:rPr>
      <w:rFonts w:ascii="Calibri" w:asciiTheme="majorHAnsi" w:cs="Calibri" w:cstheme="majorBidi" w:eastAsia="Calibri" w:eastAsiaTheme="majorEastAsia" w:hAnsi="Calibri" w:hAnsiTheme="majorHAnsi"/>
      <w:b/>
      <w:i w:val="0"/>
      <w:color w:val="2E4A8F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  <w:jc w:val="center"/>
    </w:pPr>
    <w:rPr>
      <w:rFonts w:ascii="Calibri" w:asciiTheme="majorHAnsi" w:cs="Calibri" w:cstheme="majorBidi" w:eastAsia="Calibri" w:eastAsiaTheme="majorEastAsia" w:hAnsi="Calibri" w:hAnsiTheme="majorHAnsi"/>
      <w:b w:val="0"/>
      <w:i/>
      <w:iCs/>
      <w:color w:val="6B7280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>
      <w:rFonts w:ascii="Calibri" w:cs="Calibri" w:eastAsia="Calibri" w:hAnsi="Calibri"/>
      <w:b w:val="0"/>
      <w:i w:val="0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200" w:before="60" w:line="240" w:lineRule="auto"/>
      <w:jc w:val="center"/>
    </w:pPr>
    <w:rPr>
      <w:rFonts w:ascii="Calibri" w:cs="Calibri" w:eastAsia="Calibri" w:hAnsi="Calibri"/>
      <w:b w:val="0"/>
      <w:bCs/>
      <w:i/>
      <w:color w:val="4B5561"/>
      <w:sz w:val="20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spacing w:after="120" w:before="240"/>
      <w:outlineLvl w:val="9"/>
    </w:pPr>
    <w:rPr>
      <w:rFonts w:ascii="Calibri" w:cs="Calibri" w:eastAsia="Calibri" w:hAnsi="Calibri"/>
      <w:b/>
      <w:i w:val="0"/>
      <w:color w:val="2E4A8F"/>
      <w:sz w:val="28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7D2E4" w:space="0" w:sz="4" w:val="single"/>
        <w:left w:color="C7D2E4" w:space="0" w:sz="4" w:val="single"/>
        <w:bottom w:color="C7D2E4" w:space="0" w:sz="4" w:val="single"/>
        <w:right w:color="C7D2E4" w:space="0" w:sz="4" w:val="single"/>
        <w:insideH w:color="C7D2E4" w:space="0" w:sz="4" w:val="single"/>
        <w:insideV w:color="C7D2E4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60" w:before="60"/>
    </w:pPr>
    <w:rPr>
      <w:rFonts w:ascii="Consolas" w:cs="Consolas" w:eastAsia="Consolas" w:hAnsi="Consolas"/>
      <w:b w:val="0"/>
      <w:i w:val="0"/>
      <w:color w:val="4B5561"/>
      <w:sz w:val="20"/>
    </w:rPr>
  </w:style>
  <w:style w:customStyle="1" w:styleId="FirstParagraph" w:type="paragraph">
    <w:name w:val="First Paragraph"/>
    <w:pPr>
      <w:spacing w:after="120" w:before="0"/>
    </w:pPr>
    <w:rPr>
      <w:rFonts w:ascii="Calibri" w:cs="Calibri" w:eastAsia="Calibri" w:hAnsi="Calibri"/>
      <w:b w:val="0"/>
      <w:i w:val="0"/>
      <w:sz w:val="22"/>
    </w:rPr>
  </w:style>
  <w:style w:customStyle="1" w:styleId="Compact" w:type="paragraph">
    <w:name w:val="Compact"/>
    <w:pPr>
      <w:spacing w:after="40" w:before="0"/>
    </w:pPr>
    <w:rPr>
      <w:rFonts w:ascii="Calibri" w:cs="Calibri" w:eastAsia="Calibri" w:hAnsi="Calibri"/>
      <w:b w:val="0"/>
      <w:i w:val="0"/>
      <w:sz w:val="22"/>
    </w:rPr>
  </w:style>
  <w:style w:customStyle="1" w:styleId="ImageCaption" w:type="paragraph">
    <w:name w:val="Image Caption"/>
    <w:pPr>
      <w:spacing w:after="200" w:before="60"/>
      <w:jc w:val="center"/>
    </w:pPr>
    <w:rPr>
      <w:rFonts w:ascii="Calibri" w:cs="Calibri" w:eastAsia="Calibri" w:hAnsi="Calibri"/>
      <w:b w:val="0"/>
      <w:i/>
      <w:color w:val="4B5561"/>
      <w:sz w:val="20"/>
    </w:rPr>
  </w:style>
  <w:style w:customStyle="1" w:styleId="CaptionedFigure" w:type="paragraph">
    <w:name w:val="Captioned Figure"/>
    <w:pPr>
      <w:spacing w:after="0" w:before="160"/>
      <w:jc w:val="center"/>
    </w:pPr>
    <w:rPr>
      <w:rFonts w:ascii="Calibri" w:cs="Calibri" w:eastAsia="Calibri" w:hAnsi="Calibri"/>
      <w:b w:val="0"/>
      <w:i w:val="0"/>
      <w:sz w:val="22"/>
    </w:rPr>
  </w:style>
  <w:style w:customStyle="1" w:styleId="Abstract" w:type="paragraph">
    <w:name w:val="Abstract"/>
    <w:pPr>
      <w:spacing w:after="120" w:before="0"/>
    </w:pPr>
    <w:rPr>
      <w:rFonts w:ascii="Calibri" w:cs="Calibri" w:eastAsia="Calibri" w:hAnsi="Calibri"/>
      <w:b w:val="0"/>
      <w:i/>
      <w:color w:val="4B5561"/>
      <w:sz w:val="22"/>
    </w:rPr>
  </w:style>
  <w:style w:customStyle="1" w:styleId="AbstractTitle" w:type="paragraph">
    <w:name w:val="Abstract Title"/>
    <w:pPr>
      <w:spacing w:after="80" w:before="360"/>
      <w:jc w:val="center"/>
    </w:pPr>
    <w:rPr>
      <w:rFonts w:ascii="Calibri" w:cs="Calibri" w:eastAsia="Calibri" w:hAnsi="Calibri"/>
      <w:b/>
      <w:i w:val="0"/>
      <w:color w:val="4A68B0"/>
      <w:sz w:val="24"/>
    </w:rPr>
  </w:style>
  <w:style w:customStyle="1" w:styleId="Hyperlink" w:type="character">
    <w:name w:val="Hyperlink"/>
    <w:rPr>
      <w:rFonts w:ascii="Calibri" w:hAnsi="Calibri"/>
      <w:color w:val="2E4A8F"/>
      <w:u w:val="single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Purpose-Built Embedding Models for Rule-Bearing Text</dc:title>
  <dc:creator/>
  <cp:keywords>embedding model, dense retrieval, contrastive learning, polarity, negation, quantifier scope, regulatory NLP, compliance AI, conflict detection, Born rule, Q-Prime, QAG</cp:keywords>
  <dcterms:created xsi:type="dcterms:W3CDTF">2026-04-21T04:20:37Z</dcterms:created>
  <dcterms:modified xsi:type="dcterms:W3CDTF">2026-04-21T04:20:37Z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The default assumption in the current retrieval-augmented ecosystem is that embedding models are interchangeable: pick any sufficiently large one, wire it to a vector store, and tune the prompt. This position paper argues that the assumption is false for rule-bearing text — regulations, policies, contracts, clinical guidelines — and that the failure is architectural, not a question of scale.We enumerate six properties any embedding layer must preserve in order to support automated reasoning over rules: polarity, quantifier scope, structured conditions, obligation strength, cross-rule correlation, and signed interference. We show that each of these properties is, by construction of the standard contrastive training objective, absent from general-purpose embedding models trained on open-web prose. The canonical pathology follows: “must report” and “must not report” are retrieved as near-duplicates; a downstream generator trained to synthesise produces a confident and wrong answer; the audit record is a liability.We then describe the design premise of Q-Prime, a purpose-built embedding model built around the signed interference operation of quantum probability. Q-Prime preserves the six properties above as separable directions in a 1,536-dimensional Hilbert space, making each recoverable by a named projection rather than requiring a downstream classifier. The headline empirical consequence: on QGI’s regulatory-conflict benchmark, classical cosine similarity across five widely used embedding models from four organisations scores an F1 of 0.000; the QAG interference signal driven by Q-Prime scores an F1 of 1.000. We discuss what the gap means for practitioners and provide a short evaluation checklist for teams choosing an embedding model for rule-bearing content. Detailed benchmark methodology is reserved for a forthcoming companion evaluation paper.</vt:lpwstr>
  </property>
  <property fmtid="{D5CDD505-2E9C-101B-9397-08002B2CF9AE}" pid="3" name="date">
    <vt:lpwstr>21 April 2026</vt:lpwstr>
  </property>
  <property fmtid="{D5CDD505-2E9C-101B-9397-08002B2CF9AE}" pid="4" name="documentclass">
    <vt:lpwstr>article</vt:lpwstr>
  </property>
  <property fmtid="{D5CDD505-2E9C-101B-9397-08002B2CF9AE}" pid="5" name="fontsize">
    <vt:lpwstr>11pt</vt:lpwstr>
  </property>
  <property fmtid="{D5CDD505-2E9C-101B-9397-08002B2CF9AE}" pid="6" name="geometry">
    <vt:lpwstr/>
  </property>
  <property fmtid="{D5CDD505-2E9C-101B-9397-08002B2CF9AE}" pid="7" name="header-includes">
    <vt:lpwstr/>
  </property>
  <property fmtid="{D5CDD505-2E9C-101B-9397-08002B2CF9AE}" pid="8" name="linestretch">
    <vt:lpwstr>1.18</vt:lpwstr>
  </property>
  <property fmtid="{D5CDD505-2E9C-101B-9397-08002B2CF9AE}" pid="9" name="lof">
    <vt:lpwstr>False</vt:lpwstr>
  </property>
  <property fmtid="{D5CDD505-2E9C-101B-9397-08002B2CF9AE}" pid="10" name="lot">
    <vt:lpwstr>False</vt:lpwstr>
  </property>
  <property fmtid="{D5CDD505-2E9C-101B-9397-08002B2CF9AE}" pid="11" name="numbersections">
    <vt:lpwstr>True</vt:lpwstr>
  </property>
  <property fmtid="{D5CDD505-2E9C-101B-9397-08002B2CF9AE}" pid="12" name="papersize">
    <vt:lpwstr>a4</vt:lpwstr>
  </property>
  <property fmtid="{D5CDD505-2E9C-101B-9397-08002B2CF9AE}" pid="13" name="subtitle">
    <vt:lpwstr>Why General-Purpose Embeddings Score F1 = 0 on Regulatory Conflict and What a Compliance-Grade Model Must Preserve</vt:lpwstr>
  </property>
  <property fmtid="{D5CDD505-2E9C-101B-9397-08002B2CF9AE}" pid="14" name="toc">
    <vt:lpwstr>True</vt:lpwstr>
  </property>
  <property fmtid="{D5CDD505-2E9C-101B-9397-08002B2CF9AE}" pid="15" name="toc-depth">
    <vt:lpwstr>2</vt:lpwstr>
  </property>
  <property fmtid="{D5CDD505-2E9C-101B-9397-08002B2CF9AE}" pid="16" name="version">
    <vt:lpwstr>Preprint v1.0</vt:lpwstr>
  </property>
</Properties>
</file>