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Born-Rule</w:t>
      </w:r>
      <w:r>
        <w:t xml:space="preserve"> </w:t>
      </w:r>
      <w:r>
        <w:t xml:space="preserve">Classifier</w:t>
      </w:r>
    </w:p>
    <w:p>
      <w:pPr>
        <w:pStyle w:val="Subtitle"/>
      </w:pPr>
      <w:r>
        <w:t xml:space="preserve">Zero-Shot</w:t>
      </w:r>
      <w:r>
        <w:t xml:space="preserve"> </w:t>
      </w:r>
      <w:r>
        <w:t xml:space="preserve">Categorisation</w:t>
      </w:r>
      <w:r>
        <w:t xml:space="preserve"> </w:t>
      </w:r>
      <w:r>
        <w:t xml:space="preserve">via</w:t>
      </w:r>
      <w:r>
        <w:t xml:space="preserve"> </w:t>
      </w:r>
      <w:r>
        <w:t xml:space="preserve">Squared</w:t>
      </w:r>
      <w:r>
        <w:t xml:space="preserve"> </w:t>
      </w:r>
      <w:r>
        <w:t xml:space="preserve">Amplitudes</w:t>
      </w:r>
      <w:r>
        <w:t xml:space="preserve"> </w:t>
      </w:r>
      <w:r>
        <w:t xml:space="preserve">on</w:t>
      </w:r>
      <w:r>
        <w:t xml:space="preserve"> </w:t>
      </w:r>
      <w:r>
        <w:t xml:space="preserve">Class</w:t>
      </w:r>
      <w:r>
        <w:t xml:space="preserve"> </w:t>
      </w:r>
      <w:r>
        <w:t xml:space="preserve">Centroids</w:t>
      </w:r>
    </w:p>
    <w:p>
      <w:pPr>
        <w:pStyle w:val="Date"/>
      </w:pPr>
      <w:r>
        <w:t xml:space="preserve">21</w:t>
      </w:r>
      <w:r>
        <w:t xml:space="preserve"> </w:t>
      </w:r>
      <w:r>
        <w:t xml:space="preserve">April</w:t>
      </w:r>
      <w:r>
        <w:t xml:space="preserve"> </w:t>
      </w:r>
      <w:r>
        <w:t xml:space="preserve">2026</w:t>
      </w:r>
    </w:p>
    <w:p>
      <w:pPr>
        <w:pStyle w:val="AbstractTitle"/>
      </w:pPr>
      <w:r>
        <w:t xml:space="preserve">Abstract</w:t>
      </w:r>
    </w:p>
    <w:p>
      <w:pPr>
        <w:pStyle w:val="Abstract"/>
      </w:pPr>
      <w:r>
        <w:t xml:space="preserve">We</w:t>
      </w:r>
      <w:r>
        <w:t xml:space="preserve"> </w:t>
      </w:r>
      <w:r>
        <w:t xml:space="preserve">introduce</w:t>
      </w:r>
      <w:r>
        <w:t xml:space="preserve"> </w:t>
      </w:r>
      <w:r>
        <w:t xml:space="preserve">the</w:t>
      </w:r>
      <w:r>
        <w:t xml:space="preserve"> </w:t>
      </w:r>
      <w:r>
        <w:rPr>
          <w:bCs/>
          <w:b/>
        </w:rPr>
        <w:t xml:space="preserve">Born-rule</w:t>
      </w:r>
      <w:r>
        <w:rPr>
          <w:bCs/>
          <w:b/>
        </w:rPr>
        <w:t xml:space="preserve"> </w:t>
      </w:r>
      <w:r>
        <w:rPr>
          <w:bCs/>
          <w:b/>
        </w:rPr>
        <w:t xml:space="preserve">classifier</w:t>
      </w:r>
      <w:r>
        <w:t xml:space="preserve">:</w:t>
      </w:r>
      <w:r>
        <w:t xml:space="preserve"> </w:t>
      </w:r>
      <w:r>
        <w:t xml:space="preserve">a</w:t>
      </w:r>
      <w:r>
        <w:t xml:space="preserve"> </w:t>
      </w:r>
      <w:r>
        <w:t xml:space="preserve">zero-shot</w:t>
      </w:r>
      <w:r>
        <w:t xml:space="preserve"> </w:t>
      </w:r>
      <w:r>
        <w:t xml:space="preserve">categorisation</w:t>
      </w:r>
      <w:r>
        <w:t xml:space="preserve"> </w:t>
      </w:r>
      <w:r>
        <w:t xml:space="preserve">rule</w:t>
      </w:r>
      <w:r>
        <w:t xml:space="preserve"> </w:t>
      </w:r>
      <w:r>
        <w:t xml:space="preserve">that</w:t>
      </w:r>
      <w:r>
        <w:t xml:space="preserve"> </w:t>
      </w:r>
      <w:r>
        <w:t xml:space="preserve">predicts</w:t>
      </w:r>
      <w:r>
        <w:t xml:space="preserve"> </w:t>
      </w:r>
      <m:oMath>
        <m:acc>
          <m:accPr>
            <m:chr m:val="̂"/>
          </m:accPr>
          <m:e>
            <m:r>
              <m:t>y</m:t>
            </m:r>
          </m:e>
        </m:acc>
        <m:d>
          <m:dPr>
            <m:begChr m:val="("/>
            <m:endChr m:val=")"/>
            <m:sepChr m:val=""/>
            <m:grow/>
          </m:dPr>
          <m:e>
            <m:r>
              <m:t>ψ</m:t>
            </m:r>
          </m:e>
        </m:d>
        <m:r>
          <m:rPr>
            <m:sty m:val="p"/>
          </m:rPr>
          <m:t>=</m:t>
        </m:r>
        <m:r>
          <m:rPr>
            <m:sty m:val="p"/>
          </m:rPr>
          <m:t>arg</m:t>
        </m:r>
        <m:sSub>
          <m:e>
            <m:r>
              <m:rPr>
                <m:sty m:val="p"/>
              </m:rPr>
              <m:t>max</m:t>
            </m:r>
          </m:e>
          <m:sub>
            <m:r>
              <m:t>c</m:t>
            </m:r>
          </m:sub>
        </m:sSub>
        <m:r>
          <m:t> </m:t>
        </m:r>
        <m:d>
          <m:dPr>
            <m:begChr m:val="|"/>
            <m:endChr m:val="|"/>
            <m:sepChr m:val=""/>
            <m:grow/>
          </m:dPr>
          <m:e>
            <m:r>
              <m:rPr>
                <m:sty m:val="p"/>
              </m:rPr>
              <m:t>⟨</m:t>
            </m:r>
            <m:r>
              <m:t>c</m:t>
            </m:r>
            <m:r>
              <m:t> </m:t>
            </m:r>
          </m:e>
        </m:d>
        <m:r>
          <m:t> </m:t>
        </m:r>
        <m:r>
          <m:t>ψ</m:t>
        </m:r>
        <m:r>
          <m:rPr>
            <m:sty m:val="p"/>
          </m:rPr>
          <m:t>⟩</m:t>
        </m:r>
        <m:sSup>
          <m:e>
            <m:r>
              <m:rPr>
                <m:sty m:val="p"/>
              </m:rPr>
              <m:t>|</m:t>
            </m:r>
          </m:e>
          <m:sup>
            <m:r>
              <m:t>2</m:t>
            </m:r>
          </m:sup>
        </m:sSup>
      </m:oMath>
      <w:r>
        <w:t xml:space="preserve"> </w:t>
      </w:r>
      <w:r>
        <w:t xml:space="preserve">—</w:t>
      </w:r>
      <w:r>
        <w:t xml:space="preserve"> </w:t>
      </w:r>
      <w:r>
        <w:t xml:space="preserve">the</w:t>
      </w:r>
      <w:r>
        <w:t xml:space="preserve"> </w:t>
      </w:r>
      <w:r>
        <w:t xml:space="preserve">argmax</w:t>
      </w:r>
      <w:r>
        <w:t xml:space="preserve"> </w:t>
      </w:r>
      <w:r>
        <w:t xml:space="preserve">over</w:t>
      </w:r>
      <w:r>
        <w:t xml:space="preserve"> </w:t>
      </w:r>
      <w:r>
        <w:t xml:space="preserve">class</w:t>
      </w:r>
      <w:r>
        <w:t xml:space="preserve"> </w:t>
      </w:r>
      <w:r>
        <w:t xml:space="preserve">centroids</w:t>
      </w:r>
      <w:r>
        <w:t xml:space="preserve"> </w:t>
      </w:r>
      <w:r>
        <w:t xml:space="preserve">of</w:t>
      </w:r>
      <w:r>
        <w:t xml:space="preserve"> </w:t>
      </w:r>
      <w:r>
        <w:t xml:space="preserve">the</w:t>
      </w:r>
      <w:r>
        <w:t xml:space="preserve"> </w:t>
      </w:r>
      <w:r>
        <w:t xml:space="preserve">squared-amplitude</w:t>
      </w:r>
      <w:r>
        <w:t xml:space="preserve"> </w:t>
      </w:r>
      <w:r>
        <w:t xml:space="preserve">probability</w:t>
      </w:r>
      <w:r>
        <w:t xml:space="preserve"> </w:t>
      </w:r>
      <w:r>
        <w:t xml:space="preserve">given</w:t>
      </w:r>
      <w:r>
        <w:t xml:space="preserve"> </w:t>
      </w:r>
      <w:r>
        <w:t xml:space="preserve">by</w:t>
      </w:r>
      <w:r>
        <w:t xml:space="preserve"> </w:t>
      </w:r>
      <w:r>
        <w:t xml:space="preserve">the</w:t>
      </w:r>
      <w:r>
        <w:t xml:space="preserve"> </w:t>
      </w:r>
      <w:r>
        <w:t xml:space="preserve">quantum-mechanical</w:t>
      </w:r>
      <w:r>
        <w:t xml:space="preserve"> </w:t>
      </w:r>
      <w:r>
        <w:t xml:space="preserve">Born</w:t>
      </w:r>
      <w:r>
        <w:t xml:space="preserve"> </w:t>
      </w:r>
      <w:r>
        <w:t xml:space="preserve">rule.</w:t>
      </w:r>
      <w:r>
        <w:t xml:space="preserve"> </w:t>
      </w:r>
      <w:r>
        <w:t xml:space="preserve">The</w:t>
      </w:r>
      <w:r>
        <w:t xml:space="preserve"> </w:t>
      </w:r>
      <w:r>
        <w:t xml:space="preserve">classifier</w:t>
      </w:r>
      <w:r>
        <w:t xml:space="preserve"> </w:t>
      </w:r>
      <w:r>
        <w:t xml:space="preserve">requires</w:t>
      </w:r>
      <w:r>
        <w:t xml:space="preserve"> </w:t>
      </w:r>
      <w:r>
        <w:t xml:space="preserve">no</w:t>
      </w:r>
      <w:r>
        <w:t xml:space="preserve"> </w:t>
      </w:r>
      <w:r>
        <w:t xml:space="preserve">gradient</w:t>
      </w:r>
      <w:r>
        <w:t xml:space="preserve"> </w:t>
      </w:r>
      <w:r>
        <w:t xml:space="preserve">training,</w:t>
      </w:r>
      <w:r>
        <w:t xml:space="preserve"> </w:t>
      </w:r>
      <w:r>
        <w:t xml:space="preserve">produces</w:t>
      </w:r>
      <w:r>
        <w:t xml:space="preserve"> </w:t>
      </w:r>
      <w:r>
        <w:t xml:space="preserve">a</w:t>
      </w:r>
      <w:r>
        <w:t xml:space="preserve"> </w:t>
      </w:r>
      <w:r>
        <w:t xml:space="preserve">calibrated</w:t>
      </w:r>
      <w:r>
        <w:t xml:space="preserve"> </w:t>
      </w:r>
      <w:r>
        <w:t xml:space="preserve">probability</w:t>
      </w:r>
      <w:r>
        <w:t xml:space="preserve"> </w:t>
      </w:r>
      <w:r>
        <w:t xml:space="preserve">distribution</w:t>
      </w:r>
      <w:r>
        <w:t xml:space="preserve"> </w:t>
      </w:r>
      <w:r>
        <w:t xml:space="preserve">over</w:t>
      </w:r>
      <w:r>
        <w:t xml:space="preserve"> </w:t>
      </w:r>
      <w:r>
        <w:t xml:space="preserve">classes</w:t>
      </w:r>
      <w:r>
        <w:t xml:space="preserve"> </w:t>
      </w:r>
      <w:r>
        <w:t xml:space="preserve">by</w:t>
      </w:r>
      <w:r>
        <w:t xml:space="preserve"> </w:t>
      </w:r>
      <w:r>
        <w:t xml:space="preserve">construction,</w:t>
      </w:r>
      <w:r>
        <w:t xml:space="preserve"> </w:t>
      </w:r>
      <w:r>
        <w:t xml:space="preserve">and</w:t>
      </w:r>
      <w:r>
        <w:t xml:space="preserve"> </w:t>
      </w:r>
      <w:r>
        <w:t xml:space="preserve">is</w:t>
      </w:r>
      <w:r>
        <w:t xml:space="preserve"> </w:t>
      </w:r>
      <w:r>
        <w:t xml:space="preserve">a</w:t>
      </w:r>
      <w:r>
        <w:t xml:space="preserve"> </w:t>
      </w:r>
      <w:r>
        <w:t xml:space="preserve">function</w:t>
      </w:r>
      <w:r>
        <w:t xml:space="preserve"> </w:t>
      </w:r>
      <w:r>
        <w:t xml:space="preserve">only</w:t>
      </w:r>
      <w:r>
        <w:t xml:space="preserve"> </w:t>
      </w:r>
      <w:r>
        <w:t xml:space="preserve">of</w:t>
      </w:r>
      <w:r>
        <w:t xml:space="preserve"> </w:t>
      </w:r>
      <w:r>
        <w:t xml:space="preserve">the</w:t>
      </w:r>
      <w:r>
        <w:t xml:space="preserve"> </w:t>
      </w:r>
      <w:r>
        <w:t xml:space="preserve">embedding</w:t>
      </w:r>
      <w:r>
        <w:t xml:space="preserve"> </w:t>
      </w:r>
      <w:r>
        <w:t xml:space="preserve">space</w:t>
      </w:r>
      <w:r>
        <w:t xml:space="preserve"> </w:t>
      </w:r>
      <w:r>
        <w:t xml:space="preserve">and</w:t>
      </w:r>
      <w:r>
        <w:t xml:space="preserve"> </w:t>
      </w:r>
      <w:r>
        <w:t xml:space="preserve">a</w:t>
      </w:r>
      <w:r>
        <w:t xml:space="preserve"> </w:t>
      </w:r>
      <w:r>
        <w:t xml:space="preserve">single</w:t>
      </w:r>
      <w:r>
        <w:t xml:space="preserve"> </w:t>
      </w:r>
      <w:r>
        <w:t xml:space="preserve">centroid</w:t>
      </w:r>
      <w:r>
        <w:t xml:space="preserve"> </w:t>
      </w:r>
      <w:r>
        <w:t xml:space="preserve">per</w:t>
      </w:r>
      <w:r>
        <w:t xml:space="preserve"> </w:t>
      </w:r>
      <w:r>
        <w:t xml:space="preserve">class.</w:t>
      </w:r>
      <w:r>
        <w:t xml:space="preserve"> </w:t>
      </w:r>
      <w:r>
        <w:t xml:space="preserve">It</w:t>
      </w:r>
      <w:r>
        <w:t xml:space="preserve"> </w:t>
      </w:r>
      <w:r>
        <w:t xml:space="preserve">generalises</w:t>
      </w:r>
      <w:r>
        <w:t xml:space="preserve"> </w:t>
      </w:r>
      <w:r>
        <w:t xml:space="preserve">two</w:t>
      </w:r>
      <w:r>
        <w:t xml:space="preserve"> </w:t>
      </w:r>
      <w:r>
        <w:t xml:space="preserve">widely</w:t>
      </w:r>
      <w:r>
        <w:t xml:space="preserve"> </w:t>
      </w:r>
      <w:r>
        <w:t xml:space="preserve">used</w:t>
      </w:r>
      <w:r>
        <w:t xml:space="preserve"> </w:t>
      </w:r>
      <w:r>
        <w:t xml:space="preserve">baselines</w:t>
      </w:r>
      <w:r>
        <w:t xml:space="preserve"> </w:t>
      </w:r>
      <w:r>
        <w:t xml:space="preserve">—</w:t>
      </w:r>
      <w:r>
        <w:t xml:space="preserve"> </w:t>
      </w:r>
      <w:r>
        <w:t xml:space="preserve">nearest-centroid</w:t>
      </w:r>
      <w:r>
        <w:t xml:space="preserve"> </w:t>
      </w:r>
      <w:r>
        <w:t xml:space="preserve">classification</w:t>
      </w:r>
      <w:r>
        <w:t xml:space="preserve"> </w:t>
      </w:r>
      <w:r>
        <w:t xml:space="preserve">and</w:t>
      </w:r>
      <w:r>
        <w:t xml:space="preserve"> </w:t>
      </w:r>
      <w:r>
        <w:t xml:space="preserve">zero-shot</w:t>
      </w:r>
      <w:r>
        <w:t xml:space="preserve"> </w:t>
      </w:r>
      <w:r>
        <w:t xml:space="preserve">CLIP-style</w:t>
      </w:r>
      <w:r>
        <w:t xml:space="preserve"> </w:t>
      </w:r>
      <w:r>
        <w:t xml:space="preserve">prototype</w:t>
      </w:r>
      <w:r>
        <w:t xml:space="preserve"> </w:t>
      </w:r>
      <w:r>
        <w:t xml:space="preserve">classification</w:t>
      </w:r>
      <w:r>
        <w:t xml:space="preserve"> </w:t>
      </w:r>
      <w:r>
        <w:t xml:space="preserve">—</w:t>
      </w:r>
      <w:r>
        <w:t xml:space="preserve"> </w:t>
      </w:r>
      <w:r>
        <w:t xml:space="preserve">by</w:t>
      </w:r>
      <w:r>
        <w:t xml:space="preserve"> </w:t>
      </w:r>
      <w:r>
        <w:t xml:space="preserve">applying</w:t>
      </w:r>
      <w:r>
        <w:t xml:space="preserve"> </w:t>
      </w:r>
      <w:r>
        <w:t xml:space="preserve">the</w:t>
      </w:r>
      <w:r>
        <w:t xml:space="preserve"> </w:t>
      </w:r>
      <w:r>
        <w:t xml:space="preserve">Born</w:t>
      </w:r>
      <w:r>
        <w:t xml:space="preserve"> </w:t>
      </w:r>
      <w:r>
        <w:t xml:space="preserve">rule</w:t>
      </w:r>
      <w:r>
        <w:t xml:space="preserve"> </w:t>
      </w:r>
      <w:r>
        <w:t xml:space="preserve">directly</w:t>
      </w:r>
      <w:r>
        <w:t xml:space="preserve"> </w:t>
      </w:r>
      <w:r>
        <w:t xml:space="preserve">as</w:t>
      </w:r>
      <w:r>
        <w:t xml:space="preserve"> </w:t>
      </w:r>
      <w:r>
        <w:t xml:space="preserve">the</w:t>
      </w:r>
      <w:r>
        <w:t xml:space="preserve"> </w:t>
      </w:r>
      <w:r>
        <w:t xml:space="preserve">probability</w:t>
      </w:r>
      <w:r>
        <w:t xml:space="preserve"> </w:t>
      </w:r>
      <w:r>
        <w:t xml:space="preserve">law,</w:t>
      </w:r>
      <w:r>
        <w:t xml:space="preserve"> </w:t>
      </w:r>
      <w:r>
        <w:t xml:space="preserve">which</w:t>
      </w:r>
      <w:r>
        <w:t xml:space="preserve"> </w:t>
      </w:r>
      <w:r>
        <w:t xml:space="preserve">yields</w:t>
      </w:r>
      <w:r>
        <w:t xml:space="preserve"> </w:t>
      </w:r>
      <w:r>
        <w:t xml:space="preserve">a</w:t>
      </w:r>
      <w:r>
        <w:t xml:space="preserve"> </w:t>
      </w:r>
      <w:r>
        <w:t xml:space="preserve">consistent</w:t>
      </w:r>
      <w:r>
        <w:t xml:space="preserve"> </w:t>
      </w:r>
      <w:r>
        <w:t xml:space="preserve">treatment</w:t>
      </w:r>
      <w:r>
        <w:t xml:space="preserve"> </w:t>
      </w:r>
      <w:r>
        <w:t xml:space="preserve">of</w:t>
      </w:r>
      <w:r>
        <w:t xml:space="preserve"> </w:t>
      </w:r>
      <w:r>
        <w:t xml:space="preserve">confidence,</w:t>
      </w:r>
      <w:r>
        <w:t xml:space="preserve"> </w:t>
      </w:r>
      <w:r>
        <w:t xml:space="preserve">ties,</w:t>
      </w:r>
      <w:r>
        <w:t xml:space="preserve"> </w:t>
      </w:r>
      <w:r>
        <w:t xml:space="preserve">and</w:t>
      </w:r>
      <w:r>
        <w:t xml:space="preserve"> </w:t>
      </w:r>
      <w:r>
        <w:t xml:space="preserve">out-of-distribution</w:t>
      </w:r>
      <w:r>
        <w:t xml:space="preserve"> </w:t>
      </w:r>
      <w:r>
        <w:t xml:space="preserve">scoring.</w:t>
      </w:r>
    </w:p>
    <w:p>
      <w:pPr>
        <w:pStyle w:val="Abstract"/>
      </w:pPr>
      <w:r>
        <w:t xml:space="preserve">The</w:t>
      </w:r>
      <w:r>
        <w:t xml:space="preserve"> </w:t>
      </w:r>
      <w:r>
        <w:t xml:space="preserve">classifier</w:t>
      </w:r>
      <w:r>
        <w:t xml:space="preserve"> </w:t>
      </w:r>
      <w:r>
        <w:t xml:space="preserve">is</w:t>
      </w:r>
      <w:r>
        <w:t xml:space="preserve"> </w:t>
      </w:r>
      <w:r>
        <w:t xml:space="preserve">the</w:t>
      </w:r>
      <w:r>
        <w:t xml:space="preserve"> </w:t>
      </w:r>
      <w:r>
        <w:t xml:space="preserve">zero-shot</w:t>
      </w:r>
      <w:r>
        <w:t xml:space="preserve"> </w:t>
      </w:r>
      <w:r>
        <w:t xml:space="preserve">labelling</w:t>
      </w:r>
      <w:r>
        <w:t xml:space="preserve"> </w:t>
      </w:r>
      <w:r>
        <w:t xml:space="preserve">primitive</w:t>
      </w:r>
      <w:r>
        <w:t xml:space="preserve"> </w:t>
      </w:r>
      <w:r>
        <w:t xml:space="preserve">of</w:t>
      </w:r>
      <w:r>
        <w:t xml:space="preserve"> </w:t>
      </w:r>
      <w:r>
        <w:t xml:space="preserve">QGI’s</w:t>
      </w:r>
      <w:r>
        <w:t xml:space="preserve"> </w:t>
      </w:r>
      <w:r>
        <w:t xml:space="preserve">QAG</w:t>
      </w:r>
      <w:r>
        <w:t xml:space="preserve"> </w:t>
      </w:r>
      <w:r>
        <w:t xml:space="preserve">engine</w:t>
      </w:r>
      <w:r>
        <w:t xml:space="preserve"> </w:t>
      </w:r>
      <w:r>
        <w:t xml:space="preserve">[QGI-TR-2026-01].</w:t>
      </w:r>
      <w:r>
        <w:t xml:space="preserve"> </w:t>
      </w:r>
      <w:r>
        <w:t xml:space="preserve">In</w:t>
      </w:r>
      <w:r>
        <w:t xml:space="preserve"> </w:t>
      </w:r>
      <w:r>
        <w:t xml:space="preserve">that</w:t>
      </w:r>
      <w:r>
        <w:t xml:space="preserve"> </w:t>
      </w:r>
      <w:r>
        <w:t xml:space="preserve">deployment</w:t>
      </w:r>
      <w:r>
        <w:t xml:space="preserve"> </w:t>
      </w:r>
      <w:r>
        <w:t xml:space="preserve">it</w:t>
      </w:r>
      <w:r>
        <w:t xml:space="preserve"> </w:t>
      </w:r>
      <w:r>
        <w:t xml:space="preserve">supplies</w:t>
      </w:r>
      <w:r>
        <w:t xml:space="preserve"> </w:t>
      </w:r>
      <w:r>
        <w:t xml:space="preserve">topic,</w:t>
      </w:r>
      <w:r>
        <w:t xml:space="preserve"> </w:t>
      </w:r>
      <w:r>
        <w:t xml:space="preserve">obligation</w:t>
      </w:r>
      <w:r>
        <w:t xml:space="preserve"> </w:t>
      </w:r>
      <w:r>
        <w:t xml:space="preserve">type,</w:t>
      </w:r>
      <w:r>
        <w:t xml:space="preserve"> </w:t>
      </w:r>
      <w:r>
        <w:t xml:space="preserve">severity,</w:t>
      </w:r>
      <w:r>
        <w:t xml:space="preserve"> </w:t>
      </w:r>
      <w:r>
        <w:t xml:space="preserve">and</w:t>
      </w:r>
      <w:r>
        <w:t xml:space="preserve"> </w:t>
      </w:r>
      <w:r>
        <w:t xml:space="preserve">polarity</w:t>
      </w:r>
      <w:r>
        <w:t xml:space="preserve"> </w:t>
      </w:r>
      <w:r>
        <w:t xml:space="preserve">labels</w:t>
      </w:r>
      <w:r>
        <w:t xml:space="preserve"> </w:t>
      </w:r>
      <w:r>
        <w:t xml:space="preserve">for</w:t>
      </w:r>
      <w:r>
        <w:t xml:space="preserve"> </w:t>
      </w:r>
      <w:r>
        <w:t xml:space="preserve">extracted</w:t>
      </w:r>
      <w:r>
        <w:t xml:space="preserve"> </w:t>
      </w:r>
      <w:r>
        <w:t xml:space="preserve">rules.</w:t>
      </w:r>
      <w:r>
        <w:t xml:space="preserve"> </w:t>
      </w:r>
      <w:r>
        <w:t xml:space="preserve">The</w:t>
      </w:r>
      <w:r>
        <w:t xml:space="preserve"> </w:t>
      </w:r>
      <w:r>
        <w:t xml:space="preserve">method</w:t>
      </w:r>
      <w:r>
        <w:t xml:space="preserve"> </w:t>
      </w:r>
      <w:r>
        <w:t xml:space="preserve">note</w:t>
      </w:r>
      <w:r>
        <w:t xml:space="preserve"> </w:t>
      </w:r>
      <w:r>
        <w:t xml:space="preserve">here</w:t>
      </w:r>
      <w:r>
        <w:t xml:space="preserve"> </w:t>
      </w:r>
      <w:r>
        <w:t xml:space="preserve">describes</w:t>
      </w:r>
      <w:r>
        <w:t xml:space="preserve"> </w:t>
      </w:r>
      <w:r>
        <w:t xml:space="preserve">the</w:t>
      </w:r>
      <w:r>
        <w:t xml:space="preserve"> </w:t>
      </w:r>
      <w:r>
        <w:t xml:space="preserve">algorithm,</w:t>
      </w:r>
      <w:r>
        <w:t xml:space="preserve"> </w:t>
      </w:r>
      <w:r>
        <w:t xml:space="preserve">its</w:t>
      </w:r>
      <w:r>
        <w:t xml:space="preserve"> </w:t>
      </w:r>
      <w:r>
        <w:t xml:space="preserve">calibration,</w:t>
      </w:r>
      <w:r>
        <w:t xml:space="preserve"> </w:t>
      </w:r>
      <w:r>
        <w:t xml:space="preserve">its</w:t>
      </w:r>
      <w:r>
        <w:t xml:space="preserve"> </w:t>
      </w:r>
      <w:r>
        <w:t xml:space="preserve">properties,</w:t>
      </w:r>
      <w:r>
        <w:t xml:space="preserve"> </w:t>
      </w:r>
      <w:r>
        <w:t xml:space="preserve">and</w:t>
      </w:r>
      <w:r>
        <w:t xml:space="preserve"> </w:t>
      </w:r>
      <w:r>
        <w:t xml:space="preserve">the</w:t>
      </w:r>
      <w:r>
        <w:t xml:space="preserve"> </w:t>
      </w:r>
      <w:r>
        <w:t xml:space="preserve">scope</w:t>
      </w:r>
      <w:r>
        <w:t xml:space="preserve"> </w:t>
      </w:r>
      <w:r>
        <w:t xml:space="preserve">within</w:t>
      </w:r>
      <w:r>
        <w:t xml:space="preserve"> </w:t>
      </w:r>
      <w:r>
        <w:t xml:space="preserve">which</w:t>
      </w:r>
      <w:r>
        <w:t xml:space="preserve"> </w:t>
      </w:r>
      <w:r>
        <w:t xml:space="preserve">it</w:t>
      </w:r>
      <w:r>
        <w:t xml:space="preserve"> </w:t>
      </w:r>
      <w:r>
        <w:t xml:space="preserve">can</w:t>
      </w:r>
      <w:r>
        <w:t xml:space="preserve"> </w:t>
      </w:r>
      <w:r>
        <w:t xml:space="preserve">replace</w:t>
      </w:r>
      <w:r>
        <w:t xml:space="preserve"> </w:t>
      </w:r>
      <w:r>
        <w:t xml:space="preserve">a</w:t>
      </w:r>
      <w:r>
        <w:t xml:space="preserve"> </w:t>
      </w:r>
      <w:r>
        <w:t xml:space="preserve">supervised</w:t>
      </w:r>
      <w:r>
        <w:t xml:space="preserve"> </w:t>
      </w:r>
      <w:r>
        <w:t xml:space="preserve">classifier.</w:t>
      </w:r>
      <w:r>
        <w:t xml:space="preserve"> </w:t>
      </w:r>
      <w:r>
        <w:t xml:space="preserve">Numerical</w:t>
      </w:r>
      <w:r>
        <w:t xml:space="preserve"> </w:t>
      </w:r>
      <w:r>
        <w:t xml:space="preserve">evaluation</w:t>
      </w:r>
      <w:r>
        <w:t xml:space="preserve"> </w:t>
      </w:r>
      <w:r>
        <w:t xml:space="preserve">across</w:t>
      </w:r>
      <w:r>
        <w:t xml:space="preserve"> </w:t>
      </w:r>
      <w:r>
        <w:t xml:space="preserve">public</w:t>
      </w:r>
      <w:r>
        <w:t xml:space="preserve"> </w:t>
      </w:r>
      <w:r>
        <w:t xml:space="preserve">and</w:t>
      </w:r>
      <w:r>
        <w:t xml:space="preserve"> </w:t>
      </w:r>
      <w:r>
        <w:t xml:space="preserve">internal</w:t>
      </w:r>
      <w:r>
        <w:t xml:space="preserve"> </w:t>
      </w:r>
      <w:r>
        <w:t xml:space="preserve">benchmarks</w:t>
      </w:r>
      <w:r>
        <w:t xml:space="preserve"> </w:t>
      </w:r>
      <w:r>
        <w:t xml:space="preserve">is</w:t>
      </w:r>
      <w:r>
        <w:t xml:space="preserve"> </w:t>
      </w:r>
      <w:r>
        <w:t xml:space="preserve">reserved</w:t>
      </w:r>
      <w:r>
        <w:t xml:space="preserve"> </w:t>
      </w:r>
      <w:r>
        <w:t xml:space="preserve">for</w:t>
      </w:r>
      <w:r>
        <w:t xml:space="preserve"> </w:t>
      </w:r>
      <w:r>
        <w:t xml:space="preserve">a</w:t>
      </w:r>
      <w:r>
        <w:t xml:space="preserve"> </w:t>
      </w:r>
      <w:r>
        <w:t xml:space="preserve">forthcoming</w:t>
      </w:r>
      <w:r>
        <w:t xml:space="preserve"> </w:t>
      </w:r>
      <w:r>
        <w:t xml:space="preserve">companion</w:t>
      </w:r>
      <w:r>
        <w:t xml:space="preserve"> </w:t>
      </w:r>
      <w:r>
        <w:t xml:space="preserve">evaluation</w:t>
      </w:r>
      <w:r>
        <w:t xml:space="preserve"> </w:t>
      </w:r>
      <w:r>
        <w:t xml:space="preserve">paper.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Cs/>
          <w:b/>
        </w:rPr>
        <w:t xml:space="preserve">Preprint — v1.0, 21 April 2026.</w:t>
      </w:r>
      <w:r>
        <w:t xml:space="preserve"> </w:t>
      </w:r>
      <w:r>
        <w:t xml:space="preserve">Not peer-reviewed. Authored by Dr. Sam Sammane, CTO and Founder,</w:t>
      </w:r>
      <w:r>
        <w:t xml:space="preserve"> </w:t>
      </w:r>
      <w:r>
        <w:t xml:space="preserve">Quantum General Intelligence, Inc. (</w:t>
      </w:r>
      <w:r>
        <w:rPr>
          <w:rStyle w:val="VerbatimChar"/>
        </w:rPr>
        <w:t xml:space="preserve">sam@qgi.dev</w:t>
      </w:r>
      <w:r>
        <w:t xml:space="preserve">). Method note</w:t>
      </w:r>
      <w:r>
        <w:t xml:space="preserve"> </w:t>
      </w:r>
      <w:r>
        <w:t xml:space="preserve">companion to [QGI-TR-2026-01] and [QGI-TR-2026-02]. Comments</w:t>
      </w:r>
      <w:r>
        <w:t xml:space="preserve"> </w:t>
      </w:r>
      <w:r>
        <w:t xml:space="preserve">welcome at</w:t>
      </w:r>
      <w:r>
        <w:t xml:space="preserve"> </w:t>
      </w:r>
      <w:r>
        <w:rPr>
          <w:rStyle w:val="VerbatimChar"/>
        </w:rPr>
        <w:t xml:space="preserve">research@qgi.dev</w:t>
      </w:r>
      <w:r>
        <w:t xml:space="preserve">.</w:t>
      </w:r>
    </w:p>
    <w:bookmarkStart w:id="20" w:name="introduction"/>
    <w:p>
      <w:pPr>
        <w:pStyle w:val="Heading1"/>
      </w:pPr>
      <w:r>
        <w:t xml:space="preserve">Introduction</w:t>
      </w:r>
    </w:p>
    <w:p>
      <w:pPr>
        <w:pStyle w:val="FirstParagraph"/>
      </w:pPr>
      <w:r>
        <w:t xml:space="preserve">Zero-shot classification — assigning a label to an input without</w:t>
      </w:r>
      <w:r>
        <w:t xml:space="preserve"> </w:t>
      </w:r>
      <w:r>
        <w:t xml:space="preserve">task-specific training — has become a staple of production ML</w:t>
      </w:r>
      <w:r>
        <w:t xml:space="preserve"> </w:t>
      </w:r>
      <w:r>
        <w:t xml:space="preserve">pipelines. The dominant recipe is: embed the input, embed a class</w:t>
      </w:r>
      <w:r>
        <w:t xml:space="preserve"> </w:t>
      </w:r>
      <w:r>
        <w:t xml:space="preserve">description, rank classes by similarity. Prototypical networks</w:t>
      </w:r>
      <w:r>
        <w:t xml:space="preserve"> </w:t>
      </w:r>
      <w:r>
        <w:t xml:space="preserve">[@snell2017prototypical]</w:t>
      </w:r>
      <w:r>
        <w:t xml:space="preserve"> </w:t>
      </w:r>
      <w:r>
        <w:t xml:space="preserve">codified this pattern for few-shot learning;</w:t>
      </w:r>
      <w:r>
        <w:t xml:space="preserve"> </w:t>
      </w:r>
      <w:r>
        <w:t xml:space="preserve">CLIP</w:t>
      </w:r>
      <w:r>
        <w:t xml:space="preserve"> </w:t>
      </w:r>
      <w:r>
        <w:t xml:space="preserve">[@radford2021clip]</w:t>
      </w:r>
      <w:r>
        <w:t xml:space="preserve"> </w:t>
      </w:r>
      <w:r>
        <w:t xml:space="preserve">demonstrated that a large general-purpose</w:t>
      </w:r>
      <w:r>
        <w:t xml:space="preserve"> </w:t>
      </w:r>
      <w:r>
        <w:t xml:space="preserve">embedding model can serve a broad zero-shot surface over image and</w:t>
      </w:r>
      <w:r>
        <w:t xml:space="preserve"> </w:t>
      </w:r>
      <w:r>
        <w:t xml:space="preserve">text. Both share a structural choice: the class score is an</w:t>
      </w:r>
      <w:r>
        <w:t xml:space="preserve"> </w:t>
      </w:r>
      <w:r>
        <w:rPr>
          <w:iCs/>
          <w:i/>
        </w:rPr>
        <w:t xml:space="preserve">unnormalised</w:t>
      </w:r>
      <w:r>
        <w:t xml:space="preserve"> </w:t>
      </w:r>
      <w:r>
        <w:t xml:space="preserve">similarity (an inner product, a cosine, or a</w:t>
      </w:r>
      <w:r>
        <w:t xml:space="preserve"> </w:t>
      </w:r>
      <w:r>
        <w:t xml:space="preserve">negative distance), turned into a probability by a downstream</w:t>
      </w:r>
      <w:r>
        <w:t xml:space="preserve"> </w:t>
      </w:r>
      <w:r>
        <w:t xml:space="preserve">softmax.</w:t>
      </w:r>
    </w:p>
    <w:p>
      <w:pPr>
        <w:pStyle w:val="BodyText"/>
      </w:pPr>
      <w:r>
        <w:t xml:space="preserve">The softmax is convenient but arbitrary. Its temperature is</w:t>
      </w:r>
      <w:r>
        <w:t xml:space="preserve"> </w:t>
      </w:r>
      <w:r>
        <w:t xml:space="preserve">task-dependent; its calibration degrades off-distribution; it obscures</w:t>
      </w:r>
      <w:r>
        <w:t xml:space="preserve"> </w:t>
      </w:r>
      <w:r>
        <w:t xml:space="preserve">the semantics of the score at the class level. A different choice is</w:t>
      </w:r>
      <w:r>
        <w:t xml:space="preserve"> </w:t>
      </w:r>
      <w:r>
        <w:t xml:space="preserve">available, and it is the choice quantum mechanics makes in the</w:t>
      </w:r>
      <w:r>
        <w:t xml:space="preserve"> </w:t>
      </w:r>
      <w:r>
        <w:t xml:space="preserve">corresponding situation: given a state</w:t>
      </w:r>
      <w:r>
        <w:t xml:space="preserve"> </w:t>
      </w:r>
      <m:oMath>
        <m:r>
          <m:t>ψ</m:t>
        </m:r>
      </m:oMath>
      <w:r>
        <w:t xml:space="preserve"> </w:t>
      </w:r>
      <w:r>
        <w:t xml:space="preserve">and a complete set of</w:t>
      </w:r>
      <w:r>
        <w:t xml:space="preserve"> </w:t>
      </w:r>
      <w:r>
        <w:t xml:space="preserve">class basis vectors</w:t>
      </w:r>
      <w:r>
        <w:t xml:space="preserve"> </w:t>
      </w:r>
      <m:oMath>
        <m:r>
          <m:rPr>
            <m:sty m:val="p"/>
          </m:rPr>
          <m:t>{</m:t>
        </m:r>
        <m:r>
          <m:rPr>
            <m:sty m:val="p"/>
          </m:rPr>
          <m:t>|</m:t>
        </m:r>
        <m:r>
          <m:t>c</m:t>
        </m:r>
        <m:r>
          <m:rPr>
            <m:sty m:val="p"/>
          </m:rPr>
          <m:t>⟩</m:t>
        </m:r>
        <m:r>
          <m:rPr>
            <m:sty m:val="p"/>
          </m:rPr>
          <m:t>}</m:t>
        </m:r>
      </m:oMath>
      <w:r>
        <w:t xml:space="preserve">, the probability of observing</w:t>
      </w:r>
      <w:r>
        <w:t xml:space="preserve"> </w:t>
      </w:r>
      <w:r>
        <w:t xml:space="preserve">class</w:t>
      </w:r>
      <w:r>
        <w:t xml:space="preserve"> </w:t>
      </w:r>
      <m:oMath>
        <m:r>
          <m:t>c</m:t>
        </m:r>
      </m:oMath>
      <w:r>
        <w:t xml:space="preserve"> </w:t>
      </w:r>
      <w:r>
        <w:t xml:space="preserve">is exactly</w:t>
      </w:r>
      <w:r>
        <w:t xml:space="preserve"> </w:t>
      </w:r>
      <m:oMath>
        <m:r>
          <m:t>P</m:t>
        </m:r>
        <m:r>
          <m:rPr>
            <m:sty m:val="p"/>
          </m:rPr>
          <m:t>(</m:t>
        </m:r>
        <m:r>
          <m:t>c</m:t>
        </m:r>
        <m:r>
          <m:t> </m:t>
        </m:r>
        <m:d>
          <m:dPr>
            <m:begChr m:val="|"/>
            <m:endChr m:val="|"/>
            <m:sepChr m:val=""/>
            <m:grow/>
          </m:dPr>
          <m:e>
            <m:r>
              <m:t> </m:t>
            </m:r>
            <m:r>
              <m:t>ψ</m:t>
            </m:r>
            <m:r>
              <m:rPr>
                <m:sty m:val="p"/>
              </m:rPr>
              <m:t>)</m:t>
            </m:r>
            <m:r>
              <m:rPr>
                <m:sty m:val="p"/>
              </m:rPr>
              <m:t>=</m:t>
            </m:r>
          </m:e>
        </m:d>
        <m:r>
          <m:rPr>
            <m:sty m:val="p"/>
          </m:rPr>
          <m:t>⟨</m:t>
        </m:r>
        <m:r>
          <m:t>c</m:t>
        </m:r>
        <m:r>
          <m:t> </m:t>
        </m:r>
        <m:sSup>
          <m:e>
            <m:d>
              <m:dPr>
                <m:begChr m:val="|"/>
                <m:endChr m:val="|"/>
                <m:sepChr m:val=""/>
                <m:grow/>
              </m:dPr>
              <m:e>
                <m:r>
                  <m:t> </m:t>
                </m:r>
                <m:r>
                  <m:t>ψ</m:t>
                </m:r>
                <m:r>
                  <m:rPr>
                    <m:sty m:val="p"/>
                  </m:rPr>
                  <m:t>⟩</m:t>
                </m:r>
              </m:e>
            </m:d>
          </m:e>
          <m:sup>
            <m:r>
              <m:t>2</m:t>
            </m:r>
          </m:sup>
        </m:sSup>
      </m:oMath>
      <w:r>
        <w:t xml:space="preserve">. No temperature; no</w:t>
      </w:r>
      <w:r>
        <w:t xml:space="preserve"> </w:t>
      </w:r>
      <w:r>
        <w:t xml:space="preserve">softmax; calibration is the Born rule itself.</w:t>
      </w:r>
    </w:p>
    <w:p>
      <w:pPr>
        <w:pStyle w:val="BodyText"/>
      </w:pPr>
      <w:r>
        <w:t xml:space="preserve">This paper presents the Born-rule classifier as the natural choice</w:t>
      </w:r>
      <w:r>
        <w:t xml:space="preserve"> </w:t>
      </w:r>
      <w:r>
        <w:t xml:space="preserve">when the embedding space is treated as a Hilbert space. We describe</w:t>
      </w:r>
      <w:r>
        <w:t xml:space="preserve"> </w:t>
      </w:r>
      <w:r>
        <w:t xml:space="preserve">the algorithm, its calibration, and its properties; we position it</w:t>
      </w:r>
      <w:r>
        <w:t xml:space="preserve"> </w:t>
      </w:r>
      <w:r>
        <w:t xml:space="preserve">against nearest-centroid and prototype-network baselines; and we</w:t>
      </w:r>
      <w:r>
        <w:t xml:space="preserve"> </w:t>
      </w:r>
      <w:r>
        <w:t xml:space="preserve">reserve numerical comparison for the forthcoming companion evaluation</w:t>
      </w:r>
      <w:r>
        <w:t xml:space="preserve"> </w:t>
      </w:r>
      <w:r>
        <w:t xml:space="preserve">paper.</w:t>
      </w:r>
    </w:p>
    <w:bookmarkEnd w:id="20"/>
    <w:bookmarkStart w:id="26" w:name="method"/>
    <w:p>
      <w:pPr>
        <w:pStyle w:val="Heading1"/>
      </w:pPr>
      <w:r>
        <w:t xml:space="preserve">Method</w:t>
      </w:r>
    </w:p>
    <w:bookmarkStart w:id="21" w:name="setup"/>
    <w:p>
      <w:pPr>
        <w:pStyle w:val="Heading2"/>
      </w:pPr>
      <w:r>
        <w:t xml:space="preserve">Setup</w:t>
      </w:r>
    </w:p>
    <w:p>
      <w:pPr>
        <w:pStyle w:val="FirstParagraph"/>
      </w:pPr>
      <w:r>
        <w:t xml:space="preserve">Let</w:t>
      </w:r>
      <w:r>
        <w:t xml:space="preserve"> </w:t>
      </w:r>
      <m:oMath>
        <m:r>
          <m:rPr>
            <m:sty m:val="p"/>
            <m:scr m:val="script"/>
          </m:rPr>
          <m:t>H</m:t>
        </m:r>
      </m:oMath>
      <w:r>
        <w:t xml:space="preserve"> </w:t>
      </w:r>
      <w:r>
        <w:t xml:space="preserve">be the embedding space, treated as a Hilbert space</w:t>
      </w:r>
      <w:r>
        <w:t xml:space="preserve"> </w:t>
      </w:r>
      <w:r>
        <w:t xml:space="preserve">with inner product</w:t>
      </w:r>
      <w:r>
        <w:t xml:space="preserve"> </w:t>
      </w:r>
      <m:oMath>
        <m:r>
          <m:rPr>
            <m:sty m:val="p"/>
          </m:rPr>
          <m:t>⟨</m:t>
        </m:r>
        <m:r>
          <m:rPr>
            <m:sty m:val="p"/>
          </m:rPr>
          <m:t>⋅</m:t>
        </m:r>
        <m:r>
          <m:t> </m:t>
        </m:r>
        <m:r>
          <m:rPr>
            <m:sty m:val="p"/>
          </m:rPr>
          <m:t>|</m:t>
        </m:r>
        <m:r>
          <m:t> </m:t>
        </m:r>
        <m:r>
          <m:rPr>
            <m:sty m:val="p"/>
          </m:rPr>
          <m:t>⋅</m:t>
        </m:r>
        <m:r>
          <m:rPr>
            <m:sty m:val="p"/>
          </m:rPr>
          <m:t>⟩</m:t>
        </m:r>
      </m:oMath>
      <w:r>
        <w:t xml:space="preserve"> </w:t>
      </w:r>
      <w:r>
        <w:t xml:space="preserve">and induced norm</w:t>
      </w:r>
      <w:r>
        <w:t xml:space="preserve"> </w:t>
      </w:r>
      <m:oMath>
        <m:r>
          <m:rPr>
            <m:sty m:val="p"/>
          </m:rPr>
          <m:t>∥</m:t>
        </m:r>
        <m:r>
          <m:rPr>
            <m:sty m:val="p"/>
          </m:rPr>
          <m:t>⋅</m:t>
        </m:r>
        <m:r>
          <m:rPr>
            <m:sty m:val="p"/>
          </m:rPr>
          <m:t>∥</m:t>
        </m:r>
      </m:oMath>
      <w:r>
        <w:t xml:space="preserve">. Each input</w:t>
      </w:r>
      <w:r>
        <w:t xml:space="preserve"> </w:t>
      </w:r>
      <m:oMath>
        <m:r>
          <m:t>x</m:t>
        </m:r>
      </m:oMath>
      <w:r>
        <w:t xml:space="preserve"> </w:t>
      </w:r>
      <w:r>
        <w:t xml:space="preserve">maps to an embedding</w:t>
      </w:r>
      <w:r>
        <w:t xml:space="preserve"> </w:t>
      </w:r>
      <m:oMath>
        <m:r>
          <m:t>ψ</m:t>
        </m:r>
        <m:d>
          <m:dPr>
            <m:begChr m:val="("/>
            <m:endChr m:val=")"/>
            <m:sepChr m:val=""/>
            <m:grow/>
          </m:dPr>
          <m:e>
            <m:r>
              <m:t>x</m:t>
            </m:r>
          </m:e>
        </m:d>
        <m:r>
          <m:rPr>
            <m:sty m:val="p"/>
          </m:rPr>
          <m:t>∈</m:t>
        </m:r>
        <m:r>
          <m:rPr>
            <m:sty m:val="p"/>
            <m:scr m:val="script"/>
          </m:rPr>
          <m:t>H</m:t>
        </m:r>
      </m:oMath>
      <w:r>
        <w:t xml:space="preserve">. For a task with</w:t>
      </w:r>
      <w:r>
        <w:t xml:space="preserve"> </w:t>
      </w:r>
      <m:oMath>
        <m:r>
          <m:t>K</m:t>
        </m:r>
      </m:oMath>
      <w:r>
        <w:t xml:space="preserve"> </w:t>
      </w:r>
      <w:r>
        <w:t xml:space="preserve">classes, we construct a</w:t>
      </w:r>
      <w:r>
        <w:t xml:space="preserve"> </w:t>
      </w:r>
      <w:r>
        <w:t xml:space="preserve">class centroid</w:t>
      </w:r>
      <w:r>
        <w:t xml:space="preserve"> </w:t>
      </w:r>
      <m:oMath>
        <m:sSub>
          <m:e>
            <m:r>
              <m:t>c</m:t>
            </m:r>
          </m:e>
          <m:sub>
            <m:r>
              <m:t>k</m:t>
            </m:r>
          </m:sub>
        </m:sSub>
        <m:r>
          <m:rPr>
            <m:sty m:val="p"/>
          </m:rPr>
          <m:t>∈</m:t>
        </m:r>
        <m:r>
          <m:rPr>
            <m:sty m:val="p"/>
            <m:scr m:val="script"/>
          </m:rPr>
          <m:t>H</m:t>
        </m:r>
      </m:oMath>
      <w:r>
        <w:t xml:space="preserve"> </w:t>
      </w:r>
      <w:r>
        <w:t xml:space="preserve">for each</w:t>
      </w:r>
      <w:r>
        <w:t xml:space="preserve"> </w:t>
      </w:r>
      <m:oMath>
        <m:r>
          <m:t>k</m:t>
        </m:r>
        <m:r>
          <m:rPr>
            <m:sty m:val="p"/>
          </m:rPr>
          <m:t>=</m:t>
        </m:r>
        <m:r>
          <m:t>1</m:t>
        </m:r>
        <m:r>
          <m:rPr>
            <m:sty m:val="p"/>
          </m:rPr>
          <m:t>,</m:t>
        </m:r>
        <m:r>
          <m:rPr>
            <m:sty m:val="p"/>
          </m:rPr>
          <m:t>…</m:t>
        </m:r>
        <m:r>
          <m:rPr>
            <m:sty m:val="p"/>
          </m:rPr>
          <m:t>,</m:t>
        </m:r>
        <m:r>
          <m:t>K</m:t>
        </m:r>
      </m:oMath>
      <w:r>
        <w:t xml:space="preserve">.</w:t>
      </w:r>
    </w:p>
    <w:p>
      <w:pPr>
        <w:pStyle w:val="BodyText"/>
      </w:pPr>
      <w:r>
        <w:t xml:space="preserve">The class centroid is not restricted. It can be:</w:t>
      </w:r>
    </w:p>
    <w:p>
      <w:pPr>
        <w:numPr>
          <w:ilvl w:val="0"/>
          <w:numId w:val="1001"/>
        </w:numPr>
        <w:pStyle w:val="Compact"/>
      </w:pPr>
      <w:r>
        <w:t xml:space="preserve">A single prototype text embedded into</w:t>
      </w:r>
      <w:r>
        <w:t xml:space="preserve"> </w:t>
      </w:r>
      <m:oMath>
        <m:r>
          <m:rPr>
            <m:sty m:val="p"/>
            <m:scr m:val="script"/>
          </m:rPr>
          <m:t>H</m:t>
        </m:r>
      </m:oMath>
      <w:r>
        <w:t xml:space="preserve"> </w:t>
      </w:r>
      <w:r>
        <w:t xml:space="preserve">(</w:t>
      </w:r>
      <w:r>
        <w:t xml:space="preserve">“</w:t>
      </w:r>
      <w:r>
        <w:t xml:space="preserve">an example</w:t>
      </w:r>
      <w:r>
        <w:t xml:space="preserve"> </w:t>
      </w:r>
      <w:r>
        <w:t xml:space="preserve">of spam is…</w:t>
      </w:r>
      <w:r>
        <w:t xml:space="preserve">”</w:t>
      </w:r>
      <w:r>
        <w:t xml:space="preserve">).</w:t>
      </w:r>
    </w:p>
    <w:p>
      <w:pPr>
        <w:numPr>
          <w:ilvl w:val="0"/>
          <w:numId w:val="1001"/>
        </w:numPr>
        <w:pStyle w:val="Compact"/>
      </w:pPr>
      <w:r>
        <w:t xml:space="preserve">The mean of a small set of prototypes.</w:t>
      </w:r>
    </w:p>
    <w:p>
      <w:pPr>
        <w:numPr>
          <w:ilvl w:val="0"/>
          <w:numId w:val="1001"/>
        </w:numPr>
        <w:pStyle w:val="Compact"/>
      </w:pPr>
      <w:r>
        <w:t xml:space="preserve">The first principal direction of a larger prototype set.</w:t>
      </w:r>
    </w:p>
    <w:p>
      <w:pPr>
        <w:numPr>
          <w:ilvl w:val="0"/>
          <w:numId w:val="1001"/>
        </w:numPr>
        <w:pStyle w:val="Compact"/>
      </w:pPr>
      <w:r>
        <w:t xml:space="preserve">A rule-derived centroid extracted from a QAG rule state (the</w:t>
      </w:r>
      <w:r>
        <w:t xml:space="preserve"> </w:t>
      </w:r>
      <w:r>
        <w:t xml:space="preserve">regime used inside the QAG engine).</w:t>
      </w:r>
    </w:p>
    <w:p>
      <w:pPr>
        <w:pStyle w:val="FirstParagraph"/>
      </w:pPr>
      <w:r>
        <w:t xml:space="preserve">The centroids are normalised so that</w:t>
      </w:r>
      <w:r>
        <w:t xml:space="preserve"> </w:t>
      </w:r>
      <m:oMath>
        <m:r>
          <m:rPr>
            <m:sty m:val="p"/>
          </m:rPr>
          <m:t>∥</m:t>
        </m:r>
        <m:sSub>
          <m:e>
            <m:r>
              <m:t>c</m:t>
            </m:r>
          </m:e>
          <m:sub>
            <m:r>
              <m:t>k</m:t>
            </m:r>
          </m:sub>
        </m:sSub>
        <m:r>
          <m:rPr>
            <m:sty m:val="p"/>
          </m:rPr>
          <m:t>∥</m:t>
        </m:r>
        <m:r>
          <m:rPr>
            <m:sty m:val="p"/>
          </m:rPr>
          <m:t>=</m:t>
        </m:r>
        <m:r>
          <m:t>1</m:t>
        </m:r>
      </m:oMath>
      <w:r>
        <w:t xml:space="preserve"> </w:t>
      </w:r>
      <w:r>
        <w:t xml:space="preserve">for all</w:t>
      </w:r>
      <w:r>
        <w:t xml:space="preserve"> </w:t>
      </w:r>
      <m:oMath>
        <m:r>
          <m:t>k</m:t>
        </m:r>
      </m:oMath>
      <w:r>
        <w:t xml:space="preserve">. The</w:t>
      </w:r>
      <w:r>
        <w:t xml:space="preserve"> </w:t>
      </w:r>
      <w:r>
        <w:t xml:space="preserve">state</w:t>
      </w:r>
      <w:r>
        <w:t xml:space="preserve"> </w:t>
      </w:r>
      <m:oMath>
        <m:r>
          <m:t>ψ</m:t>
        </m:r>
      </m:oMath>
      <w:r>
        <w:t xml:space="preserve"> </w:t>
      </w:r>
      <w:r>
        <w:t xml:space="preserve">is normalised analogously. These normalisations make the</w:t>
      </w:r>
      <w:r>
        <w:t xml:space="preserve"> </w:t>
      </w:r>
      <w:r>
        <w:t xml:space="preserve">inner products admissible amplitudes under the Born rule.</w:t>
      </w:r>
    </w:p>
    <w:bookmarkEnd w:id="21"/>
    <w:bookmarkStart w:id="22" w:name="the-classifier"/>
    <w:p>
      <w:pPr>
        <w:pStyle w:val="Heading2"/>
      </w:pPr>
      <w:r>
        <w:t xml:space="preserve">The classifier</w:t>
      </w:r>
    </w:p>
    <w:p>
      <w:pPr>
        <w:pStyle w:val="FirstParagraph"/>
      </w:pPr>
      <w:r>
        <w:t xml:space="preserve">The predicted label is the argmax over squared amplitudes:</w:t>
      </w:r>
    </w:p>
    <w:p>
      <w:pPr>
        <w:pStyle w:val="BodyText"/>
      </w:pPr>
      <m:oMathPara>
        <m:oMathParaPr>
          <m:jc m:val="center"/>
        </m:oMathParaPr>
        <m:oMath>
          <m:acc>
            <m:accPr>
              <m:chr m:val="̂"/>
            </m:accPr>
            <m:e>
              <m:r>
                <m:t>y</m:t>
              </m:r>
            </m:e>
          </m:acc>
          <m:d>
            <m:dPr>
              <m:begChr m:val="("/>
              <m:endChr m:val=")"/>
              <m:sepChr m:val=""/>
              <m:grow/>
            </m:dPr>
            <m:e>
              <m:r>
                <m:t>ψ</m:t>
              </m:r>
            </m:e>
          </m:d>
          <m:r>
            <m:t> </m:t>
          </m:r>
          <m:r>
            <m:rPr>
              <m:sty m:val="p"/>
            </m:rPr>
            <m:t>=</m:t>
          </m:r>
          <m:r>
            <m:t> </m:t>
          </m:r>
          <m:r>
            <m:rPr>
              <m:sty m:val="p"/>
            </m:rPr>
            <m:t>arg</m:t>
          </m:r>
          <m:limLow>
            <m:e>
              <m:r>
                <m:rPr>
                  <m:sty m:val="p"/>
                </m:rPr>
                <m:t>max</m:t>
              </m:r>
            </m:e>
            <m:lim>
              <m:r>
                <m:t>k</m:t>
              </m:r>
              <m:r>
                <m:rPr>
                  <m:sty m:val="p"/>
                </m:rPr>
                <m:t>∈</m:t>
              </m:r>
              <m:r>
                <m:rPr>
                  <m:sty m:val="p"/>
                </m:rPr>
                <m:t>{</m:t>
              </m:r>
              <m:r>
                <m:t>1</m:t>
              </m:r>
              <m:r>
                <m:rPr>
                  <m:sty m:val="p"/>
                </m:rPr>
                <m:t>,</m:t>
              </m:r>
              <m:r>
                <m:rPr>
                  <m:sty m:val="p"/>
                </m:rPr>
                <m:t>…</m:t>
              </m:r>
              <m:r>
                <m:rPr>
                  <m:sty m:val="p"/>
                </m:rPr>
                <m:t>,</m:t>
              </m:r>
              <m:r>
                <m:t>K</m:t>
              </m:r>
              <m:r>
                <m:rPr>
                  <m:sty m:val="p"/>
                </m:rPr>
                <m:t>}</m:t>
              </m:r>
            </m:lim>
          </m:limLow>
          <m:r>
            <m:t> </m:t>
          </m:r>
          <m:d>
            <m:dPr>
              <m:begChr m:val="|"/>
              <m:endChr m:val="|"/>
              <m:sepChr m:val=""/>
              <m:grow/>
            </m:dPr>
            <m:e>
              <m:r>
                <m:rPr>
                  <m:sty m:val="p"/>
                </m:rPr>
                <m:t>⟨</m:t>
              </m:r>
              <m:sSub>
                <m:e>
                  <m:r>
                    <m:t>c</m:t>
                  </m:r>
                </m:e>
                <m:sub>
                  <m:r>
                    <m:t>k</m:t>
                  </m:r>
                </m:sub>
              </m:sSub>
              <m:r>
                <m:t> </m:t>
              </m:r>
            </m:e>
          </m:d>
          <m:r>
            <m:t> </m:t>
          </m:r>
          <m:r>
            <m:t>ψ</m:t>
          </m:r>
          <m:r>
            <m:rPr>
              <m:sty m:val="p"/>
            </m:rPr>
            <m:t>⟩</m:t>
          </m:r>
          <m:sSup>
            <m:e>
              <m:r>
                <m:rPr>
                  <m:sty m:val="p"/>
                </m:rPr>
                <m:t>|</m:t>
              </m:r>
            </m:e>
            <m:sup>
              <m:r>
                <m:t>2</m:t>
              </m:r>
            </m:sup>
          </m:sSup>
        </m:oMath>
      </m:oMathPara>
    </w:p>
    <w:p>
      <w:pPr>
        <w:pStyle w:val="FirstParagraph"/>
      </w:pPr>
      <w:r>
        <w:t xml:space="preserve">The predicted probability of class</w:t>
      </w:r>
      <w:r>
        <w:t xml:space="preserve"> </w:t>
      </w:r>
      <m:oMath>
        <m:r>
          <m:t>k</m:t>
        </m:r>
      </m:oMath>
      <w:r>
        <w:t xml:space="preserve"> </w:t>
      </w:r>
      <w:r>
        <w:t xml:space="preserve">is</w:t>
      </w:r>
    </w:p>
    <w:p>
      <w:pPr>
        <w:pStyle w:val="BodyText"/>
      </w:pPr>
      <m:oMathPara>
        <m:oMathParaPr>
          <m:jc m:val="center"/>
        </m:oMathParaPr>
        <m:oMath>
          <m:r>
            <m:t>P</m:t>
          </m:r>
          <m:d>
            <m:dPr>
              <m:begChr m:val="("/>
              <m:endChr m:val=")"/>
              <m:sepChr m:val=""/>
              <m:grow/>
            </m:dPr>
            <m:e>
              <m:r>
                <m:t>k</m:t>
              </m:r>
              <m:r>
                <m:t> </m:t>
              </m:r>
              <m:r>
                <m:rPr>
                  <m:sty m:val="p"/>
                </m:rPr>
                <m:t>|</m:t>
              </m:r>
              <m:r>
                <m:t> </m:t>
              </m:r>
              <m:r>
                <m:t>ψ</m:t>
              </m:r>
            </m:e>
          </m:d>
          <m:r>
            <m:t> </m:t>
          </m:r>
          <m:r>
            <m:rPr>
              <m:sty m:val="p"/>
            </m:rPr>
            <m:t>=</m:t>
          </m:r>
          <m:r>
            <m:t> </m:t>
          </m:r>
          <m:f>
            <m:fPr>
              <m:type m:val="bar"/>
            </m:fPr>
            <m:num>
              <m:d>
                <m:dPr>
                  <m:begChr m:val="|"/>
                  <m:endChr m:val="|"/>
                  <m:sepChr m:val=""/>
                  <m:grow/>
                </m:dPr>
                <m:e>
                  <m:r>
                    <m:rPr>
                      <m:sty m:val="p"/>
                    </m:rPr>
                    <m:t>⟨</m:t>
                  </m:r>
                  <m:sSub>
                    <m:e>
                      <m:r>
                        <m:t>c</m:t>
                      </m:r>
                    </m:e>
                    <m:sub>
                      <m:r>
                        <m:t>k</m:t>
                      </m:r>
                    </m:sub>
                  </m:sSub>
                  <m:r>
                    <m:t> </m:t>
                  </m:r>
                </m:e>
              </m:d>
              <m:r>
                <m:t> </m:t>
              </m:r>
              <m:r>
                <m:t>ψ</m:t>
              </m:r>
              <m:r>
                <m:rPr>
                  <m:sty m:val="p"/>
                </m:rPr>
                <m:t>⟩</m:t>
              </m:r>
              <m:sSup>
                <m:e>
                  <m:r>
                    <m:rPr>
                      <m:sty m:val="p"/>
                    </m:rPr>
                    <m:t>|</m:t>
                  </m:r>
                </m:e>
                <m:sup>
                  <m:r>
                    <m:t>2</m:t>
                  </m:r>
                </m:sup>
              </m:sSup>
            </m:num>
            <m:den>
              <m:nary>
                <m:naryPr>
                  <m:chr m:val="∑"/>
                  <m:limLoc m:val="undOvr"/>
                  <m:subHide m:val="off"/>
                  <m:supHide m:val="off"/>
                </m:naryPr>
                <m:sub>
                  <m:r>
                    <m:t>j</m:t>
                  </m:r>
                  <m:r>
                    <m:rPr>
                      <m:sty m:val="p"/>
                    </m:rPr>
                    <m:t>=</m:t>
                  </m:r>
                  <m:r>
                    <m:t>1</m:t>
                  </m:r>
                </m:sub>
                <m:sup>
                  <m:r>
                    <m:t>K</m:t>
                  </m:r>
                </m:sup>
                <m:e>
                  <m:d>
                    <m:dPr>
                      <m:begChr m:val="|"/>
                      <m:endChr m:val="|"/>
                      <m:sepChr m:val=""/>
                      <m:grow/>
                    </m:dPr>
                    <m:e>
                      <m:r>
                        <m:rPr>
                          <m:sty m:val="p"/>
                        </m:rPr>
                        <m:t>⟨</m:t>
                      </m:r>
                      <m:sSub>
                        <m:e>
                          <m:r>
                            <m:t>c</m:t>
                          </m:r>
                        </m:e>
                        <m:sub>
                          <m:r>
                            <m:t>j</m:t>
                          </m:r>
                        </m:sub>
                      </m:sSub>
                      <m:r>
                        <m:t> </m:t>
                      </m:r>
                    </m:e>
                  </m:d>
                </m:e>
              </m:nary>
              <m:r>
                <m:t> </m:t>
              </m:r>
              <m:r>
                <m:t>ψ</m:t>
              </m:r>
              <m:r>
                <m:rPr>
                  <m:sty m:val="p"/>
                </m:rPr>
                <m:t>⟩</m:t>
              </m:r>
              <m:sSup>
                <m:e>
                  <m:r>
                    <m:rPr>
                      <m:sty m:val="p"/>
                    </m:rPr>
                    <m:t>|</m:t>
                  </m:r>
                </m:e>
                <m:sup>
                  <m:r>
                    <m:t>2</m:t>
                  </m:r>
                </m:sup>
              </m:sSup>
            </m:den>
          </m:f>
          <m:r>
            <m:rPr>
              <m:sty m:val="p"/>
            </m:rPr>
            <m:t>.</m:t>
          </m:r>
        </m:oMath>
      </m:oMathPara>
    </w:p>
    <w:p>
      <w:pPr>
        <w:pStyle w:val="FirstParagraph"/>
      </w:pPr>
      <w:r>
        <w:t xml:space="preserve">When the basis</w:t>
      </w:r>
      <w:r>
        <w:t xml:space="preserve"> </w:t>
      </w:r>
      <m:oMath>
        <m:r>
          <m:rPr>
            <m:sty m:val="p"/>
          </m:rPr>
          <m:t>{</m:t>
        </m:r>
        <m:sSub>
          <m:e>
            <m:r>
              <m:t>c</m:t>
            </m:r>
          </m:e>
          <m:sub>
            <m:r>
              <m:t>k</m:t>
            </m:r>
          </m:sub>
        </m:sSub>
        <m:r>
          <m:rPr>
            <m:sty m:val="p"/>
          </m:rPr>
          <m:t>}</m:t>
        </m:r>
      </m:oMath>
      <w:r>
        <w:t xml:space="preserve"> </w:t>
      </w:r>
      <w:r>
        <w:t xml:space="preserve">is orthonormal,</w:t>
      </w:r>
      <w:r>
        <w:t xml:space="preserve"> </w:t>
      </w:r>
      <m:oMath>
        <m:nary>
          <m:naryPr>
            <m:chr m:val="∑"/>
            <m:limLoc m:val="undOvr"/>
            <m:subHide m:val="off"/>
            <m:supHide m:val="on"/>
          </m:naryPr>
          <m:sub>
            <m:r>
              <m:t>j</m:t>
            </m:r>
          </m:sub>
          <m:sup>
            <m:r>
              <m:t>​</m:t>
            </m:r>
          </m:sup>
          <m:e>
            <m:d>
              <m:dPr>
                <m:begChr m:val="|"/>
                <m:endChr m:val="|"/>
                <m:sepChr m:val=""/>
                <m:grow/>
              </m:dPr>
              <m:e>
                <m:r>
                  <m:rPr>
                    <m:sty m:val="p"/>
                  </m:rPr>
                  <m:t>⟨</m:t>
                </m:r>
                <m:sSub>
                  <m:e>
                    <m:r>
                      <m:t>c</m:t>
                    </m:r>
                  </m:e>
                  <m:sub>
                    <m:r>
                      <m:t>j</m:t>
                    </m:r>
                  </m:sub>
                </m:sSub>
                <m:r>
                  <m:t> </m:t>
                </m:r>
              </m:e>
            </m:d>
          </m:e>
        </m:nary>
        <m:r>
          <m:t> </m:t>
        </m:r>
        <m:r>
          <m:t>ψ</m:t>
        </m:r>
        <m:r>
          <m:rPr>
            <m:sty m:val="p"/>
          </m:rPr>
          <m:t>⟩</m:t>
        </m:r>
        <m:sSup>
          <m:e>
            <m:r>
              <m:rPr>
                <m:sty m:val="p"/>
              </m:rPr>
              <m:t>|</m:t>
            </m:r>
          </m:e>
          <m:sup>
            <m:r>
              <m:t>2</m:t>
            </m:r>
          </m:sup>
        </m:sSup>
        <m:r>
          <m:rPr>
            <m:sty m:val="p"/>
          </m:rPr>
          <m:t>=</m:t>
        </m:r>
        <m:r>
          <m:t>1</m:t>
        </m:r>
      </m:oMath>
      <w:r>
        <w:t xml:space="preserve"> </w:t>
      </w:r>
      <w:r>
        <w:t xml:space="preserve">and the denominator disappears; the squared amplitudes</w:t>
      </w:r>
      <w:r>
        <w:t xml:space="preserve"> </w:t>
      </w:r>
      <w:r>
        <w:rPr>
          <w:iCs/>
          <w:i/>
        </w:rPr>
        <w:t xml:space="preserve">are</w:t>
      </w:r>
      <w:r>
        <w:t xml:space="preserve"> </w:t>
      </w:r>
      <w:r>
        <w:t xml:space="preserve">the</w:t>
      </w:r>
      <w:r>
        <w:t xml:space="preserve"> </w:t>
      </w:r>
      <w:r>
        <w:t xml:space="preserve">probabilities, exactly as in the quantum setting. When the basis is</w:t>
      </w:r>
      <w:r>
        <w:t xml:space="preserve"> </w:t>
      </w:r>
      <w:r>
        <w:t xml:space="preserve">non-orthogonal (the common case in practice), the denominator</w:t>
      </w:r>
      <w:r>
        <w:t xml:space="preserve"> </w:t>
      </w:r>
      <w:r>
        <w:t xml:space="preserve">restores normalisation and the rule degrades gracefully.</w:t>
      </w:r>
    </w:p>
    <w:bookmarkEnd w:id="22"/>
    <w:bookmarkStart w:id="23" w:name="centroid-construction"/>
    <w:p>
      <w:pPr>
        <w:pStyle w:val="Heading2"/>
      </w:pPr>
      <w:r>
        <w:t xml:space="preserve">Centroid construction</w:t>
      </w:r>
    </w:p>
    <w:p>
      <w:pPr>
        <w:pStyle w:val="FirstParagraph"/>
      </w:pPr>
      <w:r>
        <w:t xml:space="preserve">Given a set of prototypes</w:t>
      </w:r>
      <w:r>
        <w:t xml:space="preserve"> </w:t>
      </w:r>
      <m:oMath>
        <m:r>
          <m:rPr>
            <m:sty m:val="p"/>
          </m:rPr>
          <m:t>{</m:t>
        </m:r>
        <m:sSub>
          <m:e>
            <m:r>
              <m:t>p</m:t>
            </m:r>
          </m:e>
          <m:sub>
            <m:r>
              <m:t>k</m:t>
            </m:r>
            <m:r>
              <m:rPr>
                <m:sty m:val="p"/>
              </m:rPr>
              <m:t>,</m:t>
            </m:r>
            <m:r>
              <m:t>1</m:t>
            </m:r>
          </m:sub>
        </m:sSub>
        <m:r>
          <m:rPr>
            <m:sty m:val="p"/>
          </m:rPr>
          <m:t>,</m:t>
        </m:r>
        <m:r>
          <m:rPr>
            <m:sty m:val="p"/>
          </m:rPr>
          <m:t>…</m:t>
        </m:r>
        <m:r>
          <m:rPr>
            <m:sty m:val="p"/>
          </m:rPr>
          <m:t>,</m:t>
        </m:r>
        <m:sSub>
          <m:e>
            <m:r>
              <m:t>p</m:t>
            </m:r>
          </m:e>
          <m:sub>
            <m:r>
              <m:t>k</m:t>
            </m:r>
            <m:r>
              <m:rPr>
                <m:sty m:val="p"/>
              </m:rPr>
              <m:t>,</m:t>
            </m:r>
            <m:sSub>
              <m:e>
                <m:r>
                  <m:t>n</m:t>
                </m:r>
              </m:e>
              <m:sub>
                <m:r>
                  <m:t>k</m:t>
                </m:r>
              </m:sub>
            </m:sSub>
          </m:sub>
        </m:sSub>
        <m:r>
          <m:rPr>
            <m:sty m:val="p"/>
          </m:rPr>
          <m:t>}</m:t>
        </m:r>
      </m:oMath>
      <w:r>
        <w:t xml:space="preserve"> </w:t>
      </w:r>
      <w:r>
        <w:t xml:space="preserve">for</w:t>
      </w:r>
      <w:r>
        <w:t xml:space="preserve"> </w:t>
      </w:r>
      <w:r>
        <w:t xml:space="preserve">class</w:t>
      </w:r>
      <w:r>
        <w:t xml:space="preserve"> </w:t>
      </w:r>
      <m:oMath>
        <m:r>
          <m:t>k</m:t>
        </m:r>
      </m:oMath>
      <w:r>
        <w:t xml:space="preserve">, three constructions are useful in practice.</w:t>
      </w:r>
    </w:p>
    <w:p>
      <w:pPr>
        <w:pStyle w:val="BodyText"/>
      </w:pPr>
      <w:r>
        <w:rPr>
          <w:bCs/>
          <w:b/>
        </w:rPr>
        <w:t xml:space="preserve">Mean centroid.</w:t>
      </w:r>
      <w:r>
        <w:t xml:space="preserve"> </w:t>
      </w:r>
      <m:oMath>
        <m:sSub>
          <m:e>
            <m:r>
              <m:t>c</m:t>
            </m:r>
          </m:e>
          <m:sub>
            <m:r>
              <m:t>k</m:t>
            </m:r>
          </m:sub>
        </m:sSub>
        <m:r>
          <m:rPr>
            <m:sty m:val="p"/>
          </m:rPr>
          <m:t>=</m:t>
        </m:r>
        <m:r>
          <m:rPr>
            <m:nor/>
            <m:sty m:val="p"/>
          </m:rPr>
          <m:t>normalise</m:t>
        </m:r>
        <m:d>
          <m:dPr>
            <m:begChr m:val="("/>
            <m:endChr m:val=")"/>
            <m:sepChr m:val=""/>
            <m:grow/>
          </m:dPr>
          <m:e>
            <m:f>
              <m:fPr>
                <m:type m:val="bar"/>
              </m:fPr>
              <m:num>
                <m:r>
                  <m:t>1</m:t>
                </m:r>
              </m:num>
              <m:den>
                <m:sSub>
                  <m:e>
                    <m:r>
                      <m:t>n</m:t>
                    </m:r>
                  </m:e>
                  <m:sub>
                    <m:r>
                      <m:t>k</m:t>
                    </m:r>
                  </m:sub>
                </m:sSub>
              </m:den>
            </m:f>
            <m:nary>
              <m:naryPr>
                <m:chr m:val="∑"/>
                <m:limLoc m:val="undOvr"/>
                <m:subHide m:val="off"/>
                <m:supHide m:val="on"/>
              </m:naryPr>
              <m:sub>
                <m:r>
                  <m:t>i</m:t>
                </m:r>
              </m:sub>
              <m:sup>
                <m:r>
                  <m:t>​</m:t>
                </m:r>
              </m:sup>
              <m:e>
                <m:sSub>
                  <m:e>
                    <m:r>
                      <m:t>p</m:t>
                    </m:r>
                  </m:e>
                  <m:sub>
                    <m:r>
                      <m:t>k</m:t>
                    </m:r>
                    <m:r>
                      <m:rPr>
                        <m:sty m:val="p"/>
                      </m:rPr>
                      <m:t>,</m:t>
                    </m:r>
                    <m:r>
                      <m:t>i</m:t>
                    </m:r>
                  </m:sub>
                </m:sSub>
              </m:e>
            </m:nary>
          </m:e>
        </m:d>
      </m:oMath>
      <w:r>
        <w:t xml:space="preserve">.</w:t>
      </w:r>
      <w:r>
        <w:t xml:space="preserve"> </w:t>
      </w:r>
      <w:r>
        <w:t xml:space="preserve">Robust when prototypes are topically homogeneous.</w:t>
      </w:r>
    </w:p>
    <w:p>
      <w:pPr>
        <w:pStyle w:val="BodyText"/>
      </w:pPr>
      <w:r>
        <w:rPr>
          <w:bCs/>
          <w:b/>
        </w:rPr>
        <w:t xml:space="preserve">First principal direction.</w:t>
      </w:r>
      <w:r>
        <w:t xml:space="preserve"> </w:t>
      </w:r>
      <w:r>
        <w:t xml:space="preserve">$c_k = $ the top-1 eigenvector of the</w:t>
      </w:r>
      <w:r>
        <w:t xml:space="preserve"> </w:t>
      </w:r>
      <w:r>
        <w:t xml:space="preserve">sample covariance of</w:t>
      </w:r>
      <w:r>
        <w:t xml:space="preserve"> </w:t>
      </w:r>
      <m:oMath>
        <m:r>
          <m:rPr>
            <m:sty m:val="p"/>
          </m:rPr>
          <m:t>{</m:t>
        </m:r>
        <m:sSub>
          <m:e>
            <m:r>
              <m:t>p</m:t>
            </m:r>
          </m:e>
          <m:sub>
            <m:r>
              <m:t>k</m:t>
            </m:r>
            <m:r>
              <m:rPr>
                <m:sty m:val="p"/>
              </m:rPr>
              <m:t>,</m:t>
            </m:r>
            <m:r>
              <m:t>i</m:t>
            </m:r>
          </m:sub>
        </m:sSub>
        <m:r>
          <m:rPr>
            <m:sty m:val="p"/>
          </m:rPr>
          <m:t>}</m:t>
        </m:r>
      </m:oMath>
      <w:r>
        <w:t xml:space="preserve">. Robust when prototypes are</w:t>
      </w:r>
      <w:r>
        <w:t xml:space="preserve"> </w:t>
      </w:r>
      <w:r>
        <w:t xml:space="preserve">semantically diverse but share a latent direction.</w:t>
      </w:r>
    </w:p>
    <w:p>
      <w:pPr>
        <w:pStyle w:val="BodyText"/>
      </w:pPr>
      <w:r>
        <w:rPr>
          <w:bCs/>
          <w:b/>
        </w:rPr>
        <w:t xml:space="preserve">Rule-derived centroid.</w:t>
      </w:r>
      <w:r>
        <w:t xml:space="preserve"> </w:t>
      </w:r>
      <w:r>
        <w:t xml:space="preserve">In the QAG regime,</w:t>
      </w:r>
      <w:r>
        <w:t xml:space="preserve"> </w:t>
      </w:r>
      <m:oMath>
        <m:sSub>
          <m:e>
            <m:r>
              <m:t>c</m:t>
            </m:r>
          </m:e>
          <m:sub>
            <m:r>
              <m:t>k</m:t>
            </m:r>
          </m:sub>
        </m:sSub>
      </m:oMath>
      <w:r>
        <w:t xml:space="preserve"> </w:t>
      </w:r>
      <w:r>
        <w:t xml:space="preserve">is the</w:t>
      </w:r>
      <w:r>
        <w:t xml:space="preserve"> </w:t>
      </w:r>
      <w:r>
        <w:t xml:space="preserve">projection of a QAG rule onto the subspace associated with the class</w:t>
      </w:r>
      <w:r>
        <w:t xml:space="preserve"> </w:t>
      </w:r>
      <w:r>
        <w:t xml:space="preserve">(e.g. a</w:t>
      </w:r>
      <w:r>
        <w:t xml:space="preserve"> </w:t>
      </w:r>
      <w:r>
        <w:rPr>
          <w:rStyle w:val="VerbatimChar"/>
        </w:rPr>
        <w:t xml:space="preserve">severity = high</w:t>
      </w:r>
      <w:r>
        <w:t xml:space="preserve"> </w:t>
      </w:r>
      <w:r>
        <w:t xml:space="preserve">rule gives the severity-high centroid).</w:t>
      </w:r>
      <w:r>
        <w:t xml:space="preserve"> </w:t>
      </w:r>
      <w:r>
        <w:t xml:space="preserve">The centroid is a byproduct of the ordinary QAG pipeline; no</w:t>
      </w:r>
      <w:r>
        <w:t xml:space="preserve"> </w:t>
      </w:r>
      <w:r>
        <w:t xml:space="preserve">additional training data is required.</w:t>
      </w:r>
    </w:p>
    <w:bookmarkEnd w:id="23"/>
    <w:bookmarkStart w:id="24" w:name="calibration"/>
    <w:p>
      <w:pPr>
        <w:pStyle w:val="Heading2"/>
      </w:pPr>
      <w:r>
        <w:t xml:space="preserve">Calibration</w:t>
      </w:r>
    </w:p>
    <w:p>
      <w:pPr>
        <w:pStyle w:val="FirstParagraph"/>
      </w:pPr>
      <w:r>
        <w:t xml:space="preserve">Two calibration properties follow from the Born rule directly.</w:t>
      </w:r>
    </w:p>
    <w:p>
      <w:pPr>
        <w:pStyle w:val="BodyText"/>
      </w:pPr>
      <w:r>
        <w:rPr>
          <w:bCs/>
          <w:b/>
        </w:rPr>
        <w:t xml:space="preserve">Probability simplex.</w:t>
      </w:r>
      <w:r>
        <w:t xml:space="preserve"> </w:t>
      </w:r>
      <w:r>
        <w:t xml:space="preserve">By the normalisation above,</w:t>
      </w:r>
      <w:r>
        <w:t xml:space="preserve"> </w:t>
      </w:r>
      <m:oMath>
        <m:nary>
          <m:naryPr>
            <m:chr m:val="∑"/>
            <m:limLoc m:val="undOvr"/>
            <m:subHide m:val="off"/>
            <m:supHide m:val="on"/>
          </m:naryPr>
          <m:sub>
            <m:r>
              <m:t>k</m:t>
            </m:r>
          </m:sub>
          <m:sup>
            <m:r>
              <m:t>​</m:t>
            </m:r>
          </m:sup>
          <m:e>
            <m:r>
              <m:t>P</m:t>
            </m:r>
          </m:e>
        </m:nary>
        <m:d>
          <m:dPr>
            <m:begChr m:val="("/>
            <m:endChr m:val=")"/>
            <m:sepChr m:val=""/>
            <m:grow/>
          </m:dPr>
          <m:e>
            <m:r>
              <m:t>k</m:t>
            </m:r>
            <m:r>
              <m:t> </m:t>
            </m:r>
            <m:r>
              <m:rPr>
                <m:sty m:val="p"/>
              </m:rPr>
              <m:t>|</m:t>
            </m:r>
            <m:r>
              <m:t> </m:t>
            </m:r>
            <m:r>
              <m:t>ψ</m:t>
            </m:r>
          </m:e>
        </m:d>
        <m:r>
          <m:rPr>
            <m:sty m:val="p"/>
          </m:rPr>
          <m:t>=</m:t>
        </m:r>
        <m:r>
          <m:t>1</m:t>
        </m:r>
      </m:oMath>
      <w:r>
        <w:t xml:space="preserve"> </w:t>
      </w:r>
      <w:r>
        <w:t xml:space="preserve">and</w:t>
      </w:r>
      <w:r>
        <w:t xml:space="preserve"> </w:t>
      </w:r>
      <m:oMath>
        <m:r>
          <m:t>P</m:t>
        </m:r>
        <m:d>
          <m:dPr>
            <m:begChr m:val="("/>
            <m:endChr m:val=")"/>
            <m:sepChr m:val=""/>
            <m:grow/>
          </m:dPr>
          <m:e>
            <m:r>
              <m:t>k</m:t>
            </m:r>
            <m:r>
              <m:t> </m:t>
            </m:r>
            <m:r>
              <m:rPr>
                <m:sty m:val="p"/>
              </m:rPr>
              <m:t>|</m:t>
            </m:r>
            <m:r>
              <m:t> </m:t>
            </m:r>
            <m:r>
              <m:t>ψ</m:t>
            </m:r>
          </m:e>
        </m:d>
        <m:r>
          <m:rPr>
            <m:sty m:val="p"/>
          </m:rPr>
          <m:t>≥</m:t>
        </m:r>
        <m:r>
          <m:t>0</m:t>
        </m:r>
      </m:oMath>
      <w:r>
        <w:t xml:space="preserve"> </w:t>
      </w:r>
      <w:r>
        <w:t xml:space="preserve">for all</w:t>
      </w:r>
      <w:r>
        <w:t xml:space="preserve"> </w:t>
      </w:r>
      <m:oMath>
        <m:r>
          <m:t>k</m:t>
        </m:r>
      </m:oMath>
      <w:r>
        <w:t xml:space="preserve">.</w:t>
      </w:r>
      <w:r>
        <w:t xml:space="preserve"> </w:t>
      </w:r>
      <w:r>
        <w:t xml:space="preserve">The predicted distribution is a genuine probability distribution, not</w:t>
      </w:r>
      <w:r>
        <w:t xml:space="preserve"> </w:t>
      </w:r>
      <w:r>
        <w:t xml:space="preserve">a score transformed by an arbitrary softmax.</w:t>
      </w:r>
    </w:p>
    <w:p>
      <w:pPr>
        <w:pStyle w:val="BodyText"/>
      </w:pPr>
      <w:r>
        <w:rPr>
          <w:bCs/>
          <w:b/>
        </w:rPr>
        <w:t xml:space="preserve">Tie semantics.</w:t>
      </w:r>
      <w:r>
        <w:t xml:space="preserve"> </w:t>
      </w:r>
      <w:r>
        <w:t xml:space="preserve">When two classes have equal squared amplitudes,</w:t>
      </w:r>
      <w:r>
        <w:t xml:space="preserve"> </w:t>
      </w:r>
      <w:r>
        <w:t xml:space="preserve">the rule returns a uniform distribution between them. This is the</w:t>
      </w:r>
      <w:r>
        <w:t xml:space="preserve"> </w:t>
      </w:r>
      <w:r>
        <w:t xml:space="preserve">quantum-mechanical answer to</w:t>
      </w:r>
      <w:r>
        <w:t xml:space="preserve"> </w:t>
      </w:r>
      <w:r>
        <w:t xml:space="preserve">“</w:t>
      </w:r>
      <w:r>
        <w:t xml:space="preserve">which outcome will be observed</w:t>
      </w:r>
      <w:r>
        <w:t xml:space="preserve">”</w:t>
      </w:r>
      <w:r>
        <w:t xml:space="preserve"> </w:t>
      </w:r>
      <w:r>
        <w:t xml:space="preserve">and</w:t>
      </w:r>
      <w:r>
        <w:t xml:space="preserve"> </w:t>
      </w:r>
      <w:r>
        <w:t xml:space="preserve">corresponds to the natural Bayesian uncertainty in the argmax.</w:t>
      </w:r>
    </w:p>
    <w:p>
      <w:pPr>
        <w:pStyle w:val="BodyText"/>
      </w:pPr>
      <w:r>
        <w:t xml:space="preserve">A one-time</w:t>
      </w:r>
      <w:r>
        <w:t xml:space="preserve"> </w:t>
      </w:r>
      <w:r>
        <w:rPr>
          <w:bCs/>
          <w:b/>
        </w:rPr>
        <w:t xml:space="preserve">per-task temperature</w:t>
      </w:r>
      <w:r>
        <w:t xml:space="preserve">, if desired, can be applied as</w:t>
      </w:r>
      <w:r>
        <w:t xml:space="preserve"> </w:t>
      </w:r>
      <m:oMath>
        <m:r>
          <m:t>P</m:t>
        </m:r>
        <m:r>
          <m:rPr>
            <m:sty m:val="p"/>
          </m:rPr>
          <m:t>(</m:t>
        </m:r>
        <m:r>
          <m:t>k</m:t>
        </m:r>
        <m:r>
          <m:t> </m:t>
        </m:r>
        <m:d>
          <m:dPr>
            <m:begChr m:val="|"/>
            <m:endChr m:val="|"/>
            <m:sepChr m:val=""/>
            <m:grow/>
          </m:dPr>
          <m:e>
            <m:r>
              <m:t> </m:t>
            </m:r>
            <m:r>
              <m:t>ψ</m:t>
            </m:r>
            <m:r>
              <m:rPr>
                <m:sty m:val="p"/>
              </m:rPr>
              <m:t>)</m:t>
            </m:r>
            <m:r>
              <m:rPr>
                <m:sty m:val="p"/>
              </m:rPr>
              <m:t>∝</m:t>
            </m:r>
          </m:e>
        </m:d>
        <m:r>
          <m:rPr>
            <m:sty m:val="p"/>
          </m:rPr>
          <m:t>⟨</m:t>
        </m:r>
        <m:sSub>
          <m:e>
            <m:r>
              <m:t>c</m:t>
            </m:r>
          </m:e>
          <m:sub>
            <m:r>
              <m:t>k</m:t>
            </m:r>
          </m:sub>
        </m:sSub>
        <m:r>
          <m:t> </m:t>
        </m:r>
        <m:sSup>
          <m:e>
            <m:d>
              <m:dPr>
                <m:begChr m:val="|"/>
                <m:endChr m:val="|"/>
                <m:sepChr m:val=""/>
                <m:grow/>
              </m:dPr>
              <m:e>
                <m:r>
                  <m:t> </m:t>
                </m:r>
                <m:r>
                  <m:t>ψ</m:t>
                </m:r>
                <m:r>
                  <m:rPr>
                    <m:sty m:val="p"/>
                  </m:rPr>
                  <m:t>⟩</m:t>
                </m:r>
              </m:e>
            </m:d>
          </m:e>
          <m:sup>
            <m:r>
              <m:t>2</m:t>
            </m:r>
            <m:r>
              <m:t>τ</m:t>
            </m:r>
          </m:sup>
        </m:sSup>
      </m:oMath>
      <w:r>
        <w:t xml:space="preserve"> </w:t>
      </w:r>
      <w:r>
        <w:t xml:space="preserve">for</w:t>
      </w:r>
      <w:r>
        <w:t xml:space="preserve"> </w:t>
      </w:r>
      <m:oMath>
        <m:r>
          <m:t>τ</m:t>
        </m:r>
        <m:r>
          <m:rPr>
            <m:sty m:val="p"/>
          </m:rPr>
          <m:t>∈</m:t>
        </m:r>
        <m:d>
          <m:dPr>
            <m:begChr m:val="("/>
            <m:endChr m:val=")"/>
            <m:sepChr m:val=""/>
            <m:grow/>
          </m:dPr>
          <m:e>
            <m:r>
              <m:t>0</m:t>
            </m:r>
            <m:r>
              <m:rPr>
                <m:sty m:val="p"/>
              </m:rPr>
              <m:t>,</m:t>
            </m:r>
            <m:r>
              <m:rPr>
                <m:sty m:val="p"/>
              </m:rPr>
              <m:t>+</m:t>
            </m:r>
            <m:r>
              <m:rPr>
                <m:sty m:val="p"/>
              </m:rPr>
              <m:t>∞</m:t>
            </m:r>
          </m:e>
        </m:d>
      </m:oMath>
      <w:r>
        <w:t xml:space="preserve">. Setting</w:t>
      </w:r>
      <w:r>
        <w:t xml:space="preserve"> </w:t>
      </w:r>
      <m:oMath>
        <m:r>
          <m:t>τ</m:t>
        </m:r>
        <m:r>
          <m:rPr>
            <m:sty m:val="p"/>
          </m:rPr>
          <m:t>=</m:t>
        </m:r>
        <m:r>
          <m:t>1</m:t>
        </m:r>
      </m:oMath>
      <w:r>
        <w:t xml:space="preserve"> </w:t>
      </w:r>
      <w:r>
        <w:t xml:space="preserve">recovers the Born rule;</w:t>
      </w:r>
      <w:r>
        <w:t xml:space="preserve"> </w:t>
      </w:r>
      <m:oMath>
        <m:r>
          <m:t>τ</m:t>
        </m:r>
        <m:r>
          <m:rPr>
            <m:sty m:val="p"/>
          </m:rPr>
          <m:t>&gt;</m:t>
        </m:r>
        <m:r>
          <m:t>1</m:t>
        </m:r>
      </m:oMath>
      <w:r>
        <w:t xml:space="preserve"> </w:t>
      </w:r>
      <w:r>
        <w:t xml:space="preserve">sharpens;</w:t>
      </w:r>
      <w:r>
        <w:t xml:space="preserve"> </w:t>
      </w:r>
      <m:oMath>
        <m:r>
          <m:t>τ</m:t>
        </m:r>
        <m:r>
          <m:rPr>
            <m:sty m:val="p"/>
          </m:rPr>
          <m:t>&lt;</m:t>
        </m:r>
        <m:r>
          <m:t>1</m:t>
        </m:r>
      </m:oMath>
      <w:r>
        <w:t xml:space="preserve"> </w:t>
      </w:r>
      <w:r>
        <w:t xml:space="preserve">softens. We recommend</w:t>
      </w:r>
      <w:r>
        <w:t xml:space="preserve"> </w:t>
      </w:r>
      <m:oMath>
        <m:r>
          <m:t>τ</m:t>
        </m:r>
        <m:r>
          <m:rPr>
            <m:sty m:val="p"/>
          </m:rPr>
          <m:t>=</m:t>
        </m:r>
        <m:r>
          <m:t>1</m:t>
        </m:r>
      </m:oMath>
      <w:r>
        <w:t xml:space="preserve"> </w:t>
      </w:r>
      <w:r>
        <w:t xml:space="preserve">by</w:t>
      </w:r>
      <w:r>
        <w:t xml:space="preserve"> </w:t>
      </w:r>
      <w:r>
        <w:t xml:space="preserve">default, and we find in internal evaluation that no task-specific</w:t>
      </w:r>
      <w:r>
        <w:t xml:space="preserve"> </w:t>
      </w:r>
      <w:r>
        <w:t xml:space="preserve">temperature tuning is required.</w:t>
      </w:r>
    </w:p>
    <w:bookmarkEnd w:id="24"/>
    <w:bookmarkStart w:id="25" w:name="complexity"/>
    <w:p>
      <w:pPr>
        <w:pStyle w:val="Heading2"/>
      </w:pPr>
      <w:r>
        <w:t xml:space="preserve">Complexity</w:t>
      </w:r>
    </w:p>
    <w:p>
      <w:pPr>
        <w:pStyle w:val="FirstParagraph"/>
      </w:pPr>
      <w:r>
        <w:t xml:space="preserve">For</w:t>
      </w:r>
      <w:r>
        <w:t xml:space="preserve"> </w:t>
      </w:r>
      <m:oMath>
        <m:r>
          <m:t>K</m:t>
        </m:r>
      </m:oMath>
      <w:r>
        <w:t xml:space="preserve"> </w:t>
      </w:r>
      <w:r>
        <w:t xml:space="preserve">classes and an embedding dimension</w:t>
      </w:r>
      <w:r>
        <w:t xml:space="preserve"> </w:t>
      </w:r>
      <m:oMath>
        <m:r>
          <m:t>d</m:t>
        </m:r>
      </m:oMath>
      <w:r>
        <w:t xml:space="preserve">, scoring one input</w:t>
      </w:r>
      <w:r>
        <w:t xml:space="preserve"> </w:t>
      </w:r>
      <w:r>
        <w:t xml:space="preserve">is</w:t>
      </w:r>
      <w:r>
        <w:t xml:space="preserve"> </w:t>
      </w:r>
      <m:oMath>
        <m:r>
          <m:t>O</m:t>
        </m:r>
        <m:d>
          <m:dPr>
            <m:begChr m:val="("/>
            <m:endChr m:val=")"/>
            <m:sepChr m:val=""/>
            <m:grow/>
          </m:dPr>
          <m:e>
            <m:r>
              <m:t>K</m:t>
            </m:r>
            <m:r>
              <m:t>d</m:t>
            </m:r>
          </m:e>
        </m:d>
      </m:oMath>
      <w:r>
        <w:t xml:space="preserve"> </w:t>
      </w:r>
      <w:r>
        <w:t xml:space="preserve">floating-point operations. Centroid construction is a</w:t>
      </w:r>
      <w:r>
        <w:t xml:space="preserve"> </w:t>
      </w:r>
      <w:r>
        <w:t xml:space="preserve">one-time</w:t>
      </w:r>
      <w:r>
        <w:t xml:space="preserve"> </w:t>
      </w:r>
      <m:oMath>
        <m:r>
          <m:t>O</m:t>
        </m:r>
        <m:d>
          <m:dPr>
            <m:begChr m:val="("/>
            <m:endChr m:val=")"/>
            <m:sepChr m:val=""/>
            <m:grow/>
          </m:dPr>
          <m:e>
            <m:sSub>
              <m:e>
                <m:r>
                  <m:t>n</m:t>
                </m:r>
              </m:e>
              <m:sub>
                <m:r>
                  <m:rPr>
                    <m:nor/>
                    <m:sty m:val="p"/>
                  </m:rPr>
                  <m:t>max</m:t>
                </m:r>
              </m:sub>
            </m:sSub>
            <m:r>
              <m:t>d</m:t>
            </m:r>
          </m:e>
        </m:d>
      </m:oMath>
      <w:r>
        <w:t xml:space="preserve"> </w:t>
      </w:r>
      <w:r>
        <w:t xml:space="preserve">operation. No gradient training is</w:t>
      </w:r>
      <w:r>
        <w:t xml:space="preserve"> </w:t>
      </w:r>
      <w:r>
        <w:t xml:space="preserve">performed; there is no optimiser state; there is no loss function;</w:t>
      </w:r>
      <w:r>
        <w:t xml:space="preserve"> </w:t>
      </w:r>
      <w:r>
        <w:t xml:space="preserve">there is nothing to schedule.</w:t>
      </w:r>
    </w:p>
    <w:p>
      <w:pPr>
        <w:pStyle w:val="BodyText"/>
      </w:pPr>
      <w:r>
        <w:t xml:space="preserve">The classifier is, operationally, a lookup-and-dot-product. On</w:t>
      </w:r>
      <w:r>
        <w:t xml:space="preserve"> </w:t>
      </w:r>
      <w:r>
        <w:t xml:space="preserve">commodity GPUs it saturates memory bandwidth before it saturates FLOPs.</w:t>
      </w:r>
    </w:p>
    <w:bookmarkEnd w:id="25"/>
    <w:bookmarkEnd w:id="26"/>
    <w:bookmarkStart w:id="32" w:name="properties"/>
    <w:p>
      <w:pPr>
        <w:pStyle w:val="Heading1"/>
      </w:pPr>
      <w:r>
        <w:t xml:space="preserve">Properties</w:t>
      </w:r>
    </w:p>
    <w:bookmarkStart w:id="27" w:name="no-training-required"/>
    <w:p>
      <w:pPr>
        <w:pStyle w:val="Heading2"/>
      </w:pPr>
      <w:r>
        <w:t xml:space="preserve">No training required</w:t>
      </w:r>
    </w:p>
    <w:p>
      <w:pPr>
        <w:pStyle w:val="FirstParagraph"/>
      </w:pPr>
      <w:r>
        <w:t xml:space="preserve">The classifier consumes an embedding model and a set of class</w:t>
      </w:r>
      <w:r>
        <w:t xml:space="preserve"> </w:t>
      </w:r>
      <w:r>
        <w:t xml:space="preserve">exemplars. Given those, it produces a calibrated classifier. Neither</w:t>
      </w:r>
      <w:r>
        <w:t xml:space="preserve"> </w:t>
      </w:r>
      <w:r>
        <w:t xml:space="preserve">component requires task-specific training: the embedding model is</w:t>
      </w:r>
      <w:r>
        <w:t xml:space="preserve"> </w:t>
      </w:r>
      <w:r>
        <w:t xml:space="preserve">frozen; the class exemplars are textual or rule-derived.</w:t>
      </w:r>
    </w:p>
    <w:bookmarkEnd w:id="27"/>
    <w:bookmarkStart w:id="28" w:name="consistent-with-the-underlying-embedding"/>
    <w:p>
      <w:pPr>
        <w:pStyle w:val="Heading2"/>
      </w:pPr>
      <w:r>
        <w:t xml:space="preserve">Consistent with the underlying embedding</w:t>
      </w:r>
    </w:p>
    <w:p>
      <w:pPr>
        <w:pStyle w:val="FirstParagraph"/>
      </w:pPr>
      <w:r>
        <w:t xml:space="preserve">Any geometry present in the embedding is reflected faithfully by the</w:t>
      </w:r>
      <w:r>
        <w:t xml:space="preserve"> </w:t>
      </w:r>
      <w:r>
        <w:t xml:space="preserve">classifier. A class whose exemplars are topically coherent produces</w:t>
      </w:r>
      <w:r>
        <w:t xml:space="preserve"> </w:t>
      </w:r>
      <w:r>
        <w:t xml:space="preserve">a centroid that concentrates; a class with diffuse exemplars</w:t>
      </w:r>
      <w:r>
        <w:t xml:space="preserve"> </w:t>
      </w:r>
      <w:r>
        <w:t xml:space="preserve">produces a centroid with low expected amplitude on any single input.</w:t>
      </w:r>
      <w:r>
        <w:t xml:space="preserve"> </w:t>
      </w:r>
      <w:r>
        <w:t xml:space="preserve">Both are honest expressions of the embedding’s geometry. A softmax</w:t>
      </w:r>
      <w:r>
        <w:t xml:space="preserve"> </w:t>
      </w:r>
      <w:r>
        <w:t xml:space="preserve">over logits from a trained head would obscure both effects.</w:t>
      </w:r>
    </w:p>
    <w:bookmarkEnd w:id="28"/>
    <w:bookmarkStart w:id="29" w:name="calibrated-out-of-the-box"/>
    <w:p>
      <w:pPr>
        <w:pStyle w:val="Heading2"/>
      </w:pPr>
      <w:r>
        <w:t xml:space="preserve">Calibrated out of the box</w:t>
      </w:r>
    </w:p>
    <w:p>
      <w:pPr>
        <w:pStyle w:val="FirstParagraph"/>
      </w:pPr>
      <w:r>
        <w:t xml:space="preserve">The Born rule normalisation is task-independent. A probability of</w:t>
      </w:r>
      <w:r>
        <w:t xml:space="preserve"> </w:t>
      </w:r>
      <m:oMath>
        <m:r>
          <m:t>0.8</m:t>
        </m:r>
      </m:oMath>
      <w:r>
        <w:t xml:space="preserve"> </w:t>
      </w:r>
      <w:r>
        <w:t xml:space="preserve">for class</w:t>
      </w:r>
      <w:r>
        <w:t xml:space="preserve"> </w:t>
      </w:r>
      <m:oMath>
        <m:r>
          <m:t>k</m:t>
        </m:r>
      </m:oMath>
      <w:r>
        <w:t xml:space="preserve"> </w:t>
      </w:r>
      <w:r>
        <w:t xml:space="preserve">on one task has the same Bayesian semantics as</w:t>
      </w:r>
      <w:r>
        <w:t xml:space="preserve"> </w:t>
      </w:r>
      <m:oMath>
        <m:r>
          <m:t>0.8</m:t>
        </m:r>
      </m:oMath>
      <w:r>
        <w:t xml:space="preserve"> </w:t>
      </w:r>
      <w:r>
        <w:t xml:space="preserve">on another: the squared projection of</w:t>
      </w:r>
      <w:r>
        <w:t xml:space="preserve"> </w:t>
      </w:r>
      <m:oMath>
        <m:r>
          <m:t>ψ</m:t>
        </m:r>
      </m:oMath>
      <w:r>
        <w:t xml:space="preserve"> </w:t>
      </w:r>
      <w:r>
        <w:t xml:space="preserve">onto the</w:t>
      </w:r>
      <w:r>
        <w:t xml:space="preserve"> </w:t>
      </w:r>
      <m:oMath>
        <m:sSub>
          <m:e>
            <m:r>
              <m:t>c</m:t>
            </m:r>
          </m:e>
          <m:sub>
            <m:r>
              <m:t>k</m:t>
            </m:r>
          </m:sub>
        </m:sSub>
      </m:oMath>
      <w:r>
        <w:t xml:space="preserve"> </w:t>
      </w:r>
      <w:r>
        <w:t xml:space="preserve">subspace, normalised over the available basis. This is the</w:t>
      </w:r>
      <w:r>
        <w:t xml:space="preserve"> </w:t>
      </w:r>
      <w:r>
        <w:t xml:space="preserve">calibration property a downstream agent needs to make</w:t>
      </w:r>
      <w:r>
        <w:t xml:space="preserve"> </w:t>
      </w:r>
      <w:r>
        <w:t xml:space="preserve">threshold-independent decisions.</w:t>
      </w:r>
    </w:p>
    <w:bookmarkEnd w:id="29"/>
    <w:bookmarkStart w:id="30" w:name="resilient-to-class-imbalance"/>
    <w:p>
      <w:pPr>
        <w:pStyle w:val="Heading2"/>
      </w:pPr>
      <w:r>
        <w:t xml:space="preserve">Resilient to class imbalance</w:t>
      </w:r>
    </w:p>
    <w:p>
      <w:pPr>
        <w:pStyle w:val="FirstParagraph"/>
      </w:pPr>
      <w:r>
        <w:t xml:space="preserve">Centroids are computed per class, independently. Class imbalance</w:t>
      </w:r>
      <w:r>
        <w:t xml:space="preserve"> </w:t>
      </w:r>
      <w:r>
        <w:t xml:space="preserve">affects centroid quality only through the prototype pool for that</w:t>
      </w:r>
      <w:r>
        <w:t xml:space="preserve"> </w:t>
      </w:r>
      <w:r>
        <w:t xml:space="preserve">class, not through a shared training loss that biases the classifier</w:t>
      </w:r>
      <w:r>
        <w:t xml:space="preserve"> </w:t>
      </w:r>
      <w:r>
        <w:t xml:space="preserve">toward majority classes. In production, long-tail classes do not</w:t>
      </w:r>
      <w:r>
        <w:t xml:space="preserve"> </w:t>
      </w:r>
      <w:r>
        <w:t xml:space="preserve">require up-weighting or resampling.</w:t>
      </w:r>
    </w:p>
    <w:bookmarkEnd w:id="30"/>
    <w:bookmarkStart w:id="31" w:name="ties-and-out-of-distribution-inputs"/>
    <w:p>
      <w:pPr>
        <w:pStyle w:val="Heading2"/>
      </w:pPr>
      <w:r>
        <w:t xml:space="preserve">Ties and out-of-distribution inputs</w:t>
      </w:r>
    </w:p>
    <w:p>
      <w:pPr>
        <w:pStyle w:val="FirstParagraph"/>
      </w:pPr>
      <w:r>
        <w:t xml:space="preserve">An input whose amplitude on every centroid is small — a genuine</w:t>
      </w:r>
      <w:r>
        <w:t xml:space="preserve"> </w:t>
      </w:r>
      <w:r>
        <w:t xml:space="preserve">out-of-distribution case — produces a uniform-ish distribution. The</w:t>
      </w:r>
      <w:r>
        <w:t xml:space="preserve"> </w:t>
      </w:r>
      <w:r>
        <w:t xml:space="preserve">entropy of the predicted distribution is therefore a</w:t>
      </w:r>
      <w:r>
        <w:t xml:space="preserve"> </w:t>
      </w:r>
      <w:r>
        <w:rPr>
          <w:iCs/>
          <w:i/>
        </w:rPr>
        <w:t xml:space="preserve">free</w:t>
      </w:r>
      <w:r>
        <w:t xml:space="preserve"> </w:t>
      </w:r>
      <w:r>
        <w:t xml:space="preserve">OOD signal: no calibration network, no temperature search, no</w:t>
      </w:r>
      <w:r>
        <w:t xml:space="preserve"> </w:t>
      </w:r>
      <w:r>
        <w:t xml:space="preserve">holdout set required.</w:t>
      </w:r>
    </w:p>
    <w:bookmarkEnd w:id="31"/>
    <w:bookmarkEnd w:id="32"/>
    <w:bookmarkStart w:id="33" w:name="related-work"/>
    <w:p>
      <w:pPr>
        <w:pStyle w:val="Heading1"/>
      </w:pPr>
      <w:r>
        <w:t xml:space="preserve">Related work</w:t>
      </w:r>
    </w:p>
    <w:p>
      <w:pPr>
        <w:pStyle w:val="FirstParagraph"/>
      </w:pPr>
      <w:r>
        <w:t xml:space="preserve">The classifier is, in the nearest-neighbour sense, close to the</w:t>
      </w:r>
      <w:r>
        <w:t xml:space="preserve"> </w:t>
      </w:r>
      <w:r>
        <w:t xml:space="preserve">nearest-centroid baseline long used in ML pipelines</w:t>
      </w:r>
      <w:r>
        <w:t xml:space="preserve"> </w:t>
      </w:r>
      <w:r>
        <w:t xml:space="preserve">[@manning2008ir]</w:t>
      </w:r>
      <w:r>
        <w:t xml:space="preserve">;</w:t>
      </w:r>
      <w:r>
        <w:t xml:space="preserve"> </w:t>
      </w:r>
      <w:r>
        <w:t xml:space="preserve">the novelty is the choice of the probability law. Prototypical</w:t>
      </w:r>
      <w:r>
        <w:t xml:space="preserve"> </w:t>
      </w:r>
      <w:r>
        <w:t xml:space="preserve">networks</w:t>
      </w:r>
      <w:r>
        <w:t xml:space="preserve"> </w:t>
      </w:r>
      <w:r>
        <w:t xml:space="preserve">[@snell2017prototypical]</w:t>
      </w:r>
      <w:r>
        <w:t xml:space="preserve"> </w:t>
      </w:r>
      <w:r>
        <w:t xml:space="preserve">use an inner-product or negative</w:t>
      </w:r>
      <w:r>
        <w:t xml:space="preserve"> </w:t>
      </w:r>
      <w:r>
        <w:t xml:space="preserve">distance as a logit and softmax over the logits to produce</w:t>
      </w:r>
      <w:r>
        <w:t xml:space="preserve"> </w:t>
      </w:r>
      <w:r>
        <w:t xml:space="preserve">probabilities. CLIP-style zero-shot classification</w:t>
      </w:r>
      <w:r>
        <w:t xml:space="preserve"> </w:t>
      </w:r>
      <w:r>
        <w:t xml:space="preserve">[@radford2021clip]</w:t>
      </w:r>
      <w:r>
        <w:t xml:space="preserve"> </w:t>
      </w:r>
      <w:r>
        <w:t xml:space="preserve">follows the same pattern with class descriptions</w:t>
      </w:r>
      <w:r>
        <w:t xml:space="preserve"> </w:t>
      </w:r>
      <w:r>
        <w:t xml:space="preserve">used as prototypes. Nearest-mean classifiers</w:t>
      </w:r>
      <w:r>
        <w:t xml:space="preserve"> </w:t>
      </w:r>
      <w:r>
        <w:t xml:space="preserve">[@mensink2013ncm]</w:t>
      </w:r>
      <w:r>
        <w:t xml:space="preserve"> </w:t>
      </w:r>
      <w:r>
        <w:t xml:space="preserve">without softmax produce argmax labels but do not produce calibrated</w:t>
      </w:r>
      <w:r>
        <w:t xml:space="preserve"> </w:t>
      </w:r>
      <w:r>
        <w:t xml:space="preserve">probabilities.</w:t>
      </w:r>
    </w:p>
    <w:p>
      <w:pPr>
        <w:pStyle w:val="BodyText"/>
      </w:pPr>
      <w:r>
        <w:t xml:space="preserve">The Born rule has been used as a probability law in quantum machine</w:t>
      </w:r>
      <w:r>
        <w:t xml:space="preserve"> </w:t>
      </w:r>
      <w:r>
        <w:t xml:space="preserve">learning (e.g. variational quantum classifiers</w:t>
      </w:r>
      <w:r>
        <w:t xml:space="preserve"> </w:t>
      </w:r>
      <w:r>
        <w:t xml:space="preserve">[@havlicek2019qml]</w:t>
      </w:r>
      <w:r>
        <w:t xml:space="preserve">), but the classifier considered in those works is</w:t>
      </w:r>
      <w:r>
        <w:t xml:space="preserve"> </w:t>
      </w:r>
      <w:r>
        <w:t xml:space="preserve">a parameterised quantum circuit, not a classical embedding model. The</w:t>
      </w:r>
      <w:r>
        <w:t xml:space="preserve"> </w:t>
      </w:r>
      <w:r>
        <w:t xml:space="preserve">present paper’s contribution is the observation that the classical</w:t>
      </w:r>
      <w:r>
        <w:t xml:space="preserve"> </w:t>
      </w:r>
      <w:r>
        <w:t xml:space="preserve">case — a frozen general-purpose or purpose-built embedding treated</w:t>
      </w:r>
      <w:r>
        <w:t xml:space="preserve"> </w:t>
      </w:r>
      <w:r>
        <w:t xml:space="preserve">as a Hilbert space — is the regime in which the Born rule provides</w:t>
      </w:r>
      <w:r>
        <w:t xml:space="preserve"> </w:t>
      </w:r>
      <w:r>
        <w:t xml:space="preserve">the calibration and tie-handling that softmax does not.</w:t>
      </w:r>
    </w:p>
    <w:p>
      <w:pPr>
        <w:pStyle w:val="BodyText"/>
      </w:pPr>
      <w:r>
        <w:t xml:space="preserve">The quantum cognition literature</w:t>
      </w:r>
      <w:r>
        <w:t xml:space="preserve"> </w:t>
      </w:r>
      <w:r>
        <w:t xml:space="preserve">[@aerts2014quantum;</w:t>
      </w:r>
      <w:r>
        <w:t xml:space="preserve"> </w:t>
      </w:r>
      <w:r>
        <w:t xml:space="preserve">@bruza2015qcognition]</w:t>
      </w:r>
      <w:r>
        <w:t xml:space="preserve"> </w:t>
      </w:r>
      <w:r>
        <w:t xml:space="preserve">argues, for independent reasons, that squared</w:t>
      </w:r>
      <w:r>
        <w:t xml:space="preserve"> </w:t>
      </w:r>
      <w:r>
        <w:t xml:space="preserve">amplitudes are a better model of human judgement probabilities than</w:t>
      </w:r>
      <w:r>
        <w:t xml:space="preserve"> </w:t>
      </w:r>
      <w:r>
        <w:t xml:space="preserve">classical probabilities. The Born-rule classifier is a machine-learning</w:t>
      </w:r>
      <w:r>
        <w:t xml:space="preserve"> </w:t>
      </w:r>
      <w:r>
        <w:t xml:space="preserve">operationalisation of this argument.</w:t>
      </w:r>
    </w:p>
    <w:bookmarkEnd w:id="33"/>
    <w:bookmarkStart w:id="34" w:name="evaluation-plan"/>
    <w:p>
      <w:pPr>
        <w:pStyle w:val="Heading1"/>
      </w:pPr>
      <w:r>
        <w:t xml:space="preserve">Evaluation plan</w:t>
      </w:r>
    </w:p>
    <w:p>
      <w:pPr>
        <w:pStyle w:val="FirstParagraph"/>
      </w:pPr>
      <w:r>
        <w:t xml:space="preserve">The empirical evaluation of the classifier is reserved for the</w:t>
      </w:r>
      <w:r>
        <w:t xml:space="preserve"> </w:t>
      </w:r>
      <w:r>
        <w:t xml:space="preserve">forthcoming companion evaluation paper. That paper will report:</w:t>
      </w:r>
    </w:p>
    <w:p>
      <w:pPr>
        <w:numPr>
          <w:ilvl w:val="0"/>
          <w:numId w:val="1002"/>
        </w:numPr>
        <w:pStyle w:val="Compact"/>
      </w:pPr>
      <w:r>
        <w:t xml:space="preserve">Accuracy on public zero-shot benchmarks (AG News, DBpedia, Yahoo</w:t>
      </w:r>
      <w:r>
        <w:t xml:space="preserve"> </w:t>
      </w:r>
      <w:r>
        <w:t xml:space="preserve">Answers, GoEmotions, intent classification suites).</w:t>
      </w:r>
    </w:p>
    <w:p>
      <w:pPr>
        <w:numPr>
          <w:ilvl w:val="0"/>
          <w:numId w:val="1002"/>
        </w:numPr>
        <w:pStyle w:val="Compact"/>
      </w:pPr>
      <w:r>
        <w:t xml:space="preserve">Accuracy against supervised baselines trained on the same label</w:t>
      </w:r>
      <w:r>
        <w:t xml:space="preserve"> </w:t>
      </w:r>
      <w:r>
        <w:t xml:space="preserve">space.</w:t>
      </w:r>
    </w:p>
    <w:p>
      <w:pPr>
        <w:numPr>
          <w:ilvl w:val="0"/>
          <w:numId w:val="1002"/>
        </w:numPr>
        <w:pStyle w:val="Compact"/>
      </w:pPr>
      <w:r>
        <w:t xml:space="preserve">Calibration metrics (ECE, Brier score) against softmax</w:t>
      </w:r>
      <w:r>
        <w:t xml:space="preserve"> </w:t>
      </w:r>
      <w:r>
        <w:t xml:space="preserve">classifiers with and without temperature scaling.</w:t>
      </w:r>
    </w:p>
    <w:p>
      <w:pPr>
        <w:numPr>
          <w:ilvl w:val="0"/>
          <w:numId w:val="1002"/>
        </w:numPr>
        <w:pStyle w:val="Compact"/>
      </w:pPr>
      <w:r>
        <w:t xml:space="preserve">Performance of the classifier when driven by Q-Prime versus by</w:t>
      </w:r>
      <w:r>
        <w:t xml:space="preserve"> </w:t>
      </w:r>
      <w:r>
        <w:t xml:space="preserve">general-purpose embeddings, on the QAG topic, severity, and</w:t>
      </w:r>
      <w:r>
        <w:t xml:space="preserve"> </w:t>
      </w:r>
      <w:r>
        <w:t xml:space="preserve">obligation-type tasks.</w:t>
      </w:r>
    </w:p>
    <w:p>
      <w:pPr>
        <w:numPr>
          <w:ilvl w:val="0"/>
          <w:numId w:val="1002"/>
        </w:numPr>
        <w:pStyle w:val="Compact"/>
      </w:pPr>
      <w:r>
        <w:t xml:space="preserve">Latency and throughput on production GPU hardware.</w:t>
      </w:r>
    </w:p>
    <w:p>
      <w:pPr>
        <w:pStyle w:val="FirstParagraph"/>
      </w:pPr>
      <w:r>
        <w:t xml:space="preserve">The numbers are held until that paper; we do not anticipate them</w:t>
      </w:r>
      <w:r>
        <w:t xml:space="preserve"> </w:t>
      </w:r>
      <w:r>
        <w:t xml:space="preserve">here.</w:t>
      </w:r>
    </w:p>
    <w:bookmarkEnd w:id="34"/>
    <w:bookmarkStart w:id="35" w:name="limitations"/>
    <w:p>
      <w:pPr>
        <w:pStyle w:val="Heading1"/>
      </w:pPr>
      <w:r>
        <w:t xml:space="preserve">Limitations</w:t>
      </w:r>
    </w:p>
    <w:p>
      <w:pPr>
        <w:numPr>
          <w:ilvl w:val="0"/>
          <w:numId w:val="1003"/>
        </w:numPr>
        <w:pStyle w:val="Compact"/>
      </w:pPr>
      <w:r>
        <w:rPr>
          <w:bCs/>
          <w:b/>
        </w:rPr>
        <w:t xml:space="preserve">Centroid quality.</w:t>
      </w:r>
      <w:r>
        <w:t xml:space="preserve"> </w:t>
      </w:r>
      <w:r>
        <w:t xml:space="preserve">The classifier is only as good as the</w:t>
      </w:r>
      <w:r>
        <w:t xml:space="preserve"> </w:t>
      </w:r>
      <w:r>
        <w:t xml:space="preserve">centroids. Poorly constructed prototypes produce a poor</w:t>
      </w:r>
      <w:r>
        <w:t xml:space="preserve"> </w:t>
      </w:r>
      <w:r>
        <w:t xml:space="preserve">classifier, regardless of the probability law. This is a</w:t>
      </w:r>
      <w:r>
        <w:t xml:space="preserve"> </w:t>
      </w:r>
      <w:r>
        <w:t xml:space="preserve">data-curation problem, not a method problem.</w:t>
      </w:r>
    </w:p>
    <w:p>
      <w:pPr>
        <w:numPr>
          <w:ilvl w:val="0"/>
          <w:numId w:val="1003"/>
        </w:numPr>
        <w:pStyle w:val="Compact"/>
      </w:pPr>
      <w:r>
        <w:rPr>
          <w:bCs/>
          <w:b/>
        </w:rPr>
        <w:t xml:space="preserve">Non-orthogonal basis.</w:t>
      </w:r>
      <w:r>
        <w:t xml:space="preserve"> </w:t>
      </w:r>
      <w:r>
        <w:t xml:space="preserve">When class centroids are strongly</w:t>
      </w:r>
      <w:r>
        <w:t xml:space="preserve"> </w:t>
      </w:r>
      <w:r>
        <w:t xml:space="preserve">correlated (not uncommon for fine-grained taxonomies), the</w:t>
      </w:r>
      <w:r>
        <w:t xml:space="preserve"> </w:t>
      </w:r>
      <w:r>
        <w:t xml:space="preserve">classifier’s probabilities are not directly interpretable as</w:t>
      </w:r>
      <w:r>
        <w:t xml:space="preserve"> </w:t>
      </w:r>
      <w:r>
        <w:t xml:space="preserve">quantum-mechanical probabilities in an orthonormal basis; the</w:t>
      </w:r>
      <w:r>
        <w:t xml:space="preserve"> </w:t>
      </w:r>
      <w:r>
        <w:t xml:space="preserve">normalisation restores sensible behaviour but the mathematical</w:t>
      </w:r>
      <w:r>
        <w:t xml:space="preserve"> </w:t>
      </w:r>
      <w:r>
        <w:t xml:space="preserve">purity of the Born-rule assignment is degraded.</w:t>
      </w:r>
    </w:p>
    <w:p>
      <w:pPr>
        <w:numPr>
          <w:ilvl w:val="0"/>
          <w:numId w:val="1003"/>
        </w:numPr>
        <w:pStyle w:val="Compact"/>
      </w:pPr>
      <w:r>
        <w:rPr>
          <w:bCs/>
          <w:b/>
        </w:rPr>
        <w:t xml:space="preserve">Open-ended labels.</w:t>
      </w:r>
      <w:r>
        <w:t xml:space="preserve"> </w:t>
      </w:r>
      <w:r>
        <w:t xml:space="preserve">The classifier assumes a fixed, finite</w:t>
      </w:r>
      <w:r>
        <w:t xml:space="preserve"> </w:t>
      </w:r>
      <w:r>
        <w:t xml:space="preserve">class set. For open-set problems it needs to be combined with an</w:t>
      </w:r>
      <w:r>
        <w:t xml:space="preserve"> </w:t>
      </w:r>
      <w:r>
        <w:t xml:space="preserve">explicit OOD detector (for which the entropy signal is a starting</w:t>
      </w:r>
      <w:r>
        <w:t xml:space="preserve"> </w:t>
      </w:r>
      <w:r>
        <w:t xml:space="preserve">point, but not the whole answer).</w:t>
      </w:r>
    </w:p>
    <w:p>
      <w:pPr>
        <w:numPr>
          <w:ilvl w:val="0"/>
          <w:numId w:val="1003"/>
        </w:numPr>
        <w:pStyle w:val="Compact"/>
      </w:pPr>
      <w:r>
        <w:rPr>
          <w:bCs/>
          <w:b/>
        </w:rPr>
        <w:t xml:space="preserve">Not a replacement for supervised training when labels are</w:t>
      </w:r>
      <w:r>
        <w:rPr>
          <w:bCs/>
          <w:b/>
        </w:rPr>
        <w:t xml:space="preserve"> </w:t>
      </w:r>
      <w:r>
        <w:rPr>
          <w:bCs/>
          <w:b/>
        </w:rPr>
        <w:t xml:space="preserve">abundant.</w:t>
      </w:r>
      <w:r>
        <w:t xml:space="preserve"> </w:t>
      </w:r>
      <w:r>
        <w:t xml:space="preserve">Supervised heads with large labelled corpora can</w:t>
      </w:r>
      <w:r>
        <w:t xml:space="preserve"> </w:t>
      </w:r>
      <w:r>
        <w:t xml:space="preserve">outperform the Born-rule classifier on their specific task. The</w:t>
      </w:r>
      <w:r>
        <w:t xml:space="preserve"> </w:t>
      </w:r>
      <w:r>
        <w:t xml:space="preserve">classifier’s advantage is the regime where labels are scarce,</w:t>
      </w:r>
      <w:r>
        <w:t xml:space="preserve"> </w:t>
      </w:r>
      <w:r>
        <w:t xml:space="preserve">drifting, or expensive to maintain.</w:t>
      </w:r>
    </w:p>
    <w:bookmarkEnd w:id="35"/>
    <w:bookmarkStart w:id="36" w:name="competing-interests"/>
    <w:p>
      <w:pPr>
        <w:pStyle w:val="Heading1"/>
      </w:pPr>
      <w:r>
        <w:t xml:space="preserve">Competing interests</w:t>
      </w:r>
    </w:p>
    <w:p>
      <w:pPr>
        <w:pStyle w:val="FirstParagraph"/>
      </w:pPr>
      <w:r>
        <w:t xml:space="preserve">The author is an employee and shareholder of Quantum General</w:t>
      </w:r>
      <w:r>
        <w:t xml:space="preserve"> </w:t>
      </w:r>
      <w:r>
        <w:t xml:space="preserve">Intelligence, Inc.; the classifier is a component of the commercial</w:t>
      </w:r>
      <w:r>
        <w:t xml:space="preserve"> </w:t>
      </w:r>
      <w:r>
        <w:t xml:space="preserve">QAG engine.</w:t>
      </w:r>
    </w:p>
    <w:bookmarkEnd w:id="36"/>
    <w:bookmarkStart w:id="37" w:name="references"/>
    <w:p>
      <w:pPr>
        <w:pStyle w:val="Heading1"/>
      </w:pPr>
      <w:r>
        <w:t xml:space="preserve">References</w:t>
      </w:r>
    </w:p>
    <w:p>
      <w:pPr>
        <w:numPr>
          <w:ilvl w:val="0"/>
          <w:numId w:val="1004"/>
        </w:numPr>
        <w:pStyle w:val="Compact"/>
      </w:pPr>
      <w:r>
        <w:t xml:space="preserve">[@snell2017prototypical]</w:t>
      </w:r>
      <w:r>
        <w:t xml:space="preserve"> </w:t>
      </w:r>
      <w:r>
        <w:t xml:space="preserve">Snell, J., Swersky, K., Zemel, R.</w:t>
      </w:r>
      <w:r>
        <w:t xml:space="preserve"> </w:t>
      </w:r>
      <w:r>
        <w:t xml:space="preserve">(2017).</w:t>
      </w:r>
      <w:r>
        <w:t xml:space="preserve"> </w:t>
      </w:r>
      <w:r>
        <w:rPr>
          <w:iCs/>
          <w:i/>
        </w:rPr>
        <w:t xml:space="preserve">Prototypical Networks for Few-shot Learning</w:t>
      </w:r>
      <w:r>
        <w:t xml:space="preserve">. NeurIPS</w:t>
      </w:r>
    </w:p>
    <w:p>
      <w:pPr>
        <w:numPr>
          <w:ilvl w:val="0"/>
          <w:numId w:val="1004"/>
        </w:numPr>
        <w:pStyle w:val="Compact"/>
      </w:pPr>
      <w:r>
        <w:t xml:space="preserve">[@radford2021clip]</w:t>
      </w:r>
      <w:r>
        <w:t xml:space="preserve"> </w:t>
      </w:r>
      <w:r>
        <w:t xml:space="preserve">Radford, A. et al. (2021).</w:t>
      </w:r>
      <w:r>
        <w:t xml:space="preserve"> </w:t>
      </w:r>
      <w:r>
        <w:rPr>
          <w:iCs/>
          <w:i/>
        </w:rPr>
        <w:t xml:space="preserve">Learning</w:t>
      </w:r>
      <w:r>
        <w:rPr>
          <w:iCs/>
          <w:i/>
        </w:rPr>
        <w:t xml:space="preserve"> </w:t>
      </w:r>
      <w:r>
        <w:rPr>
          <w:iCs/>
          <w:i/>
        </w:rPr>
        <w:t xml:space="preserve">Transferable Visual Models From Natural Language Supervision</w:t>
      </w:r>
      <w:r>
        <w:t xml:space="preserve"> </w:t>
      </w:r>
      <w:r>
        <w:t xml:space="preserve">(CLIP). ICML 2021.</w:t>
      </w:r>
    </w:p>
    <w:p>
      <w:pPr>
        <w:numPr>
          <w:ilvl w:val="0"/>
          <w:numId w:val="1004"/>
        </w:numPr>
        <w:pStyle w:val="Compact"/>
      </w:pPr>
      <w:r>
        <w:t xml:space="preserve">[@manning2008ir]</w:t>
      </w:r>
      <w:r>
        <w:t xml:space="preserve"> </w:t>
      </w:r>
      <w:r>
        <w:t xml:space="preserve">Manning, C. D., Raghavan, P., Schütze, H.</w:t>
      </w:r>
      <w:r>
        <w:t xml:space="preserve"> </w:t>
      </w:r>
      <w:r>
        <w:t xml:space="preserve">(2008).</w:t>
      </w:r>
      <w:r>
        <w:t xml:space="preserve"> </w:t>
      </w:r>
      <w:r>
        <w:rPr>
          <w:iCs/>
          <w:i/>
        </w:rPr>
        <w:t xml:space="preserve">Introduction to Information Retrieval</w:t>
      </w:r>
      <w:r>
        <w:t xml:space="preserve">. CUP.</w:t>
      </w:r>
    </w:p>
    <w:p>
      <w:pPr>
        <w:numPr>
          <w:ilvl w:val="0"/>
          <w:numId w:val="1004"/>
        </w:numPr>
        <w:pStyle w:val="Compact"/>
      </w:pPr>
      <w:r>
        <w:t xml:space="preserve">[@mensink2013ncm]</w:t>
      </w:r>
      <w:r>
        <w:t xml:space="preserve"> </w:t>
      </w:r>
      <w:r>
        <w:t xml:space="preserve">Mensink, T., Verbeek, J., Perronnin, F.,</w:t>
      </w:r>
      <w:r>
        <w:t xml:space="preserve"> </w:t>
      </w:r>
      <w:r>
        <w:t xml:space="preserve">Csurka, G. (2013).</w:t>
      </w:r>
      <w:r>
        <w:t xml:space="preserve"> </w:t>
      </w:r>
      <w:r>
        <w:rPr>
          <w:iCs/>
          <w:i/>
        </w:rPr>
        <w:t xml:space="preserve">Distance-Based Image Classification:</w:t>
      </w:r>
      <w:r>
        <w:rPr>
          <w:iCs/>
          <w:i/>
        </w:rPr>
        <w:t xml:space="preserve"> </w:t>
      </w:r>
      <w:r>
        <w:rPr>
          <w:iCs/>
          <w:i/>
        </w:rPr>
        <w:t xml:space="preserve">Generalizing to New Classes at Near-Zero Cost</w:t>
      </w:r>
      <w:r>
        <w:t xml:space="preserve">. IEEE TPAMI.</w:t>
      </w:r>
    </w:p>
    <w:p>
      <w:pPr>
        <w:numPr>
          <w:ilvl w:val="0"/>
          <w:numId w:val="1004"/>
        </w:numPr>
        <w:pStyle w:val="Compact"/>
      </w:pPr>
      <w:r>
        <w:t xml:space="preserve">[@havlicek2019qml]</w:t>
      </w:r>
      <w:r>
        <w:t xml:space="preserve"> </w:t>
      </w:r>
      <w:r>
        <w:t xml:space="preserve">Havlíček, V. et al. (2019).</w:t>
      </w:r>
      <w:r>
        <w:t xml:space="preserve"> </w:t>
      </w:r>
      <w:r>
        <w:rPr>
          <w:iCs/>
          <w:i/>
        </w:rPr>
        <w:t xml:space="preserve">Supervised</w:t>
      </w:r>
      <w:r>
        <w:rPr>
          <w:iCs/>
          <w:i/>
        </w:rPr>
        <w:t xml:space="preserve"> </w:t>
      </w:r>
      <w:r>
        <w:rPr>
          <w:iCs/>
          <w:i/>
        </w:rPr>
        <w:t xml:space="preserve">learning with quantum-enhanced feature spaces</w:t>
      </w:r>
      <w:r>
        <w:t xml:space="preserve">. Nature.</w:t>
      </w:r>
    </w:p>
    <w:p>
      <w:pPr>
        <w:numPr>
          <w:ilvl w:val="0"/>
          <w:numId w:val="1004"/>
        </w:numPr>
        <w:pStyle w:val="Compact"/>
      </w:pPr>
      <w:r>
        <w:t xml:space="preserve">[@aerts2014quantum]</w:t>
      </w:r>
      <w:r>
        <w:t xml:space="preserve"> </w:t>
      </w:r>
      <w:r>
        <w:t xml:space="preserve">Aerts, D., Sozzo, S. (2014).</w:t>
      </w:r>
      <w:r>
        <w:t xml:space="preserve"> </w:t>
      </w:r>
      <w:r>
        <w:rPr>
          <w:iCs/>
          <w:i/>
        </w:rPr>
        <w:t xml:space="preserve">Quantum</w:t>
      </w:r>
      <w:r>
        <w:rPr>
          <w:iCs/>
          <w:i/>
        </w:rPr>
        <w:t xml:space="preserve"> </w:t>
      </w:r>
      <w:r>
        <w:rPr>
          <w:iCs/>
          <w:i/>
        </w:rPr>
        <w:t xml:space="preserve">Structure in Cognition</w:t>
      </w:r>
      <w:r>
        <w:t xml:space="preserve">.</w:t>
      </w:r>
    </w:p>
    <w:p>
      <w:pPr>
        <w:numPr>
          <w:ilvl w:val="0"/>
          <w:numId w:val="1004"/>
        </w:numPr>
        <w:pStyle w:val="Compact"/>
      </w:pPr>
      <w:r>
        <w:t xml:space="preserve">[@bruza2015qcognition]</w:t>
      </w:r>
      <w:r>
        <w:t xml:space="preserve"> </w:t>
      </w:r>
      <w:r>
        <w:t xml:space="preserve">Bruza, P. D. et al. (2015).</w:t>
      </w:r>
      <w:r>
        <w:t xml:space="preserve"> </w:t>
      </w:r>
      <w:r>
        <w:rPr>
          <w:iCs/>
          <w:i/>
        </w:rPr>
        <w:t xml:space="preserve">Quantum</w:t>
      </w:r>
      <w:r>
        <w:rPr>
          <w:iCs/>
          <w:i/>
        </w:rPr>
        <w:t xml:space="preserve"> </w:t>
      </w:r>
      <w:r>
        <w:rPr>
          <w:iCs/>
          <w:i/>
        </w:rPr>
        <w:t xml:space="preserve">Cognition</w:t>
      </w:r>
      <w:r>
        <w:t xml:space="preserve">. Trends in Cognitive Sciences.</w:t>
      </w:r>
    </w:p>
    <w:p>
      <w:pPr>
        <w:numPr>
          <w:ilvl w:val="0"/>
          <w:numId w:val="1004"/>
        </w:numPr>
        <w:pStyle w:val="Compact"/>
      </w:pPr>
      <w:r>
        <w:t xml:space="preserve">[@qgi-tr-01]</w:t>
      </w:r>
      <w:r>
        <w:t xml:space="preserve"> </w:t>
      </w:r>
      <w:r>
        <w:t xml:space="preserve">Sammane, S. (2026).</w:t>
      </w:r>
      <w:r>
        <w:t xml:space="preserve"> </w:t>
      </w:r>
      <w:r>
        <w:rPr>
          <w:iCs/>
          <w:i/>
        </w:rPr>
        <w:t xml:space="preserve">Quantum-Augmented Generation</w:t>
      </w:r>
      <w:r>
        <w:rPr>
          <w:iCs/>
          <w:i/>
        </w:rPr>
        <w:t xml:space="preserve"> </w:t>
      </w:r>
      <w:r>
        <w:rPr>
          <w:iCs/>
          <w:i/>
        </w:rPr>
        <w:t xml:space="preserve">(QAG)</w:t>
      </w:r>
      <w:r>
        <w:t xml:space="preserve">. QGI-TR-2026-01.</w:t>
      </w:r>
    </w:p>
    <w:p>
      <w:pPr>
        <w:numPr>
          <w:ilvl w:val="0"/>
          <w:numId w:val="1004"/>
        </w:numPr>
        <w:pStyle w:val="Compact"/>
      </w:pPr>
      <w:r>
        <w:t xml:space="preserve">[@qgi-tr-02]</w:t>
      </w:r>
      <w:r>
        <w:t xml:space="preserve"> </w:t>
      </w:r>
      <w:r>
        <w:t xml:space="preserve">Sammane, S. (2026).</w:t>
      </w:r>
      <w:r>
        <w:t xml:space="preserve"> </w:t>
      </w:r>
      <w:r>
        <w:rPr>
          <w:iCs/>
          <w:i/>
        </w:rPr>
        <w:t xml:space="preserve">Purpose-Built Embedding Models</w:t>
      </w:r>
      <w:r>
        <w:rPr>
          <w:iCs/>
          <w:i/>
        </w:rPr>
        <w:t xml:space="preserve"> </w:t>
      </w:r>
      <w:r>
        <w:rPr>
          <w:iCs/>
          <w:i/>
        </w:rPr>
        <w:t xml:space="preserve">for Rule-Bearing Text</w:t>
      </w:r>
      <w:r>
        <w:t xml:space="preserve">. QGI-TR-2026-02.</w:t>
      </w:r>
    </w:p>
    <w:p>
      <w:pPr>
        <w:numPr>
          <w:ilvl w:val="0"/>
          <w:numId w:val="1004"/>
        </w:numPr>
        <w:pStyle w:val="Compact"/>
      </w:pPr>
      <w:r>
        <w:t xml:space="preserve">[@qgi-modelcard]</w:t>
      </w:r>
      <w:r>
        <w:t xml:space="preserve"> </w:t>
      </w:r>
      <w:r>
        <w:t xml:space="preserve">Sammane, S. (2026).</w:t>
      </w:r>
      <w:r>
        <w:t xml:space="preserve"> </w:t>
      </w:r>
      <w:r>
        <w:rPr>
          <w:iCs/>
          <w:i/>
        </w:rPr>
        <w:t xml:space="preserve">Q-Prime public model</w:t>
      </w:r>
      <w:r>
        <w:rPr>
          <w:iCs/>
          <w:i/>
        </w:rPr>
        <w:t xml:space="preserve"> </w:t>
      </w:r>
      <w:r>
        <w:rPr>
          <w:iCs/>
          <w:i/>
        </w:rPr>
        <w:t xml:space="preserve">card</w:t>
      </w:r>
      <w:r>
        <w:t xml:space="preserve">.</w:t>
      </w:r>
    </w:p>
    <w:bookmarkEnd w:id="37"/>
    <w:bookmarkStart w:id="38" w:name="cite-this-as"/>
    <w:p>
      <w:pPr>
        <w:pStyle w:val="Heading1"/>
      </w:pPr>
      <w:r>
        <w:t xml:space="preserve">Cite this as</w:t>
      </w:r>
    </w:p>
    <w:p>
      <w:pPr>
        <w:pStyle w:val="SourceCode"/>
      </w:pPr>
      <w:r>
        <w:rPr>
          <w:rStyle w:val="VariableTok"/>
        </w:rPr>
        <w:t xml:space="preserve">@techreport</w:t>
      </w:r>
      <w:r>
        <w:rPr>
          <w:rStyle w:val="NormalTok"/>
        </w:rPr>
        <w:t xml:space="preserve">{</w:t>
      </w:r>
      <w:r>
        <w:rPr>
          <w:rStyle w:val="OtherTok"/>
        </w:rPr>
        <w:t xml:space="preserve">sammane2026bornrule</w:t>
      </w:r>
      <w:r>
        <w:rPr>
          <w:rStyle w:val="NormalTok"/>
        </w:rPr>
        <w:t xml:space="preserve">,</w:t>
      </w:r>
      <w:r>
        <w:br/>
      </w:r>
      <w:r>
        <w:rPr>
          <w:rStyle w:val="NormalTok"/>
        </w:rPr>
        <w:t xml:space="preserve">  </w:t>
      </w:r>
      <w:r>
        <w:rPr>
          <w:rStyle w:val="DataTypeTok"/>
        </w:rPr>
        <w:t xml:space="preserve">author</w:t>
      </w:r>
      <w:r>
        <w:rPr>
          <w:rStyle w:val="NormalTok"/>
        </w:rPr>
        <w:t xml:space="preserve">      = {Sam Sammane},</w:t>
      </w:r>
      <w:r>
        <w:br/>
      </w:r>
      <w:r>
        <w:rPr>
          <w:rStyle w:val="NormalTok"/>
        </w:rPr>
        <w:t xml:space="preserve">  </w:t>
      </w:r>
      <w:r>
        <w:rPr>
          <w:rStyle w:val="DataTypeTok"/>
        </w:rPr>
        <w:t xml:space="preserve">title</w:t>
      </w:r>
      <w:r>
        <w:rPr>
          <w:rStyle w:val="NormalTok"/>
        </w:rPr>
        <w:t xml:space="preserve">       = {A Born-Rule Classifier: Zero-Shot Categorisation via Squared Amplitudes on Class Centroids},</w:t>
      </w:r>
      <w:r>
        <w:br/>
      </w:r>
      <w:r>
        <w:rPr>
          <w:rStyle w:val="NormalTok"/>
        </w:rPr>
        <w:t xml:space="preserve">  </w:t>
      </w:r>
      <w:r>
        <w:rPr>
          <w:rStyle w:val="DataTypeTok"/>
        </w:rPr>
        <w:t xml:space="preserve">institution</w:t>
      </w:r>
      <w:r>
        <w:rPr>
          <w:rStyle w:val="NormalTok"/>
        </w:rPr>
        <w:t xml:space="preserve"> = {Quantum General Intelligence, Inc.},</w:t>
      </w:r>
      <w:r>
        <w:br/>
      </w:r>
      <w:r>
        <w:rPr>
          <w:rStyle w:val="NormalTok"/>
        </w:rPr>
        <w:t xml:space="preserve">  </w:t>
      </w:r>
      <w:r>
        <w:rPr>
          <w:rStyle w:val="DataTypeTok"/>
        </w:rPr>
        <w:t xml:space="preserve">number</w:t>
      </w:r>
      <w:r>
        <w:rPr>
          <w:rStyle w:val="NormalTok"/>
        </w:rPr>
        <w:t xml:space="preserve">      = {QGI-TR-2026-04},</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month</w:t>
      </w:r>
      <w:r>
        <w:rPr>
          <w:rStyle w:val="NormalTok"/>
        </w:rPr>
        <w:t xml:space="preserve">       = {April},</w:t>
      </w:r>
      <w:r>
        <w:br/>
      </w:r>
      <w:r>
        <w:rPr>
          <w:rStyle w:val="NormalTok"/>
        </w:rPr>
        <w:t xml:space="preserve">  </w:t>
      </w:r>
      <w:r>
        <w:rPr>
          <w:rStyle w:val="DataTypeTok"/>
        </w:rPr>
        <w:t xml:space="preserve">type</w:t>
      </w:r>
      <w:r>
        <w:rPr>
          <w:rStyle w:val="NormalTok"/>
        </w:rPr>
        <w:t xml:space="preserve">        = {Preprint},</w:t>
      </w:r>
      <w:r>
        <w:br/>
      </w:r>
      <w:r>
        <w:rPr>
          <w:rStyle w:val="NormalTok"/>
        </w:rPr>
        <w:t xml:space="preserve">  </w:t>
      </w:r>
      <w:r>
        <w:rPr>
          <w:rStyle w:val="DataTypeTok"/>
        </w:rPr>
        <w:t xml:space="preserve">note</w:t>
      </w:r>
      <w:r>
        <w:rPr>
          <w:rStyle w:val="NormalTok"/>
        </w:rPr>
        <w:t xml:space="preserve">        = {Version 1.0, 21 April 2026. Not peer-reviewed.}</w:t>
      </w:r>
      <w:r>
        <w:br/>
      </w:r>
      <w:r>
        <w:rPr>
          <w:rStyle w:val="NormalTok"/>
        </w:rPr>
        <w:t xml:space="preserve">}</w:t>
      </w:r>
    </w:p>
    <w:bookmarkEnd w:id="38"/>
    <w:bookmarkStart w:id="39" w:name="version-history"/>
    <w:p>
      <w:pPr>
        <w:pStyle w:val="Heading1"/>
      </w:pPr>
      <w:r>
        <w:t xml:space="preserve">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Notes</w:t>
            </w:r>
          </w:p>
        </w:tc>
      </w:tr>
      <w:tr>
        <w:tc>
          <w:tcPr/>
          <w:p>
            <w:pPr>
              <w:pStyle w:val="Compact"/>
              <w:jc w:val="left"/>
            </w:pPr>
            <w:r>
              <w:t xml:space="preserve">v1.0</w:t>
            </w:r>
          </w:p>
        </w:tc>
        <w:tc>
          <w:tcPr/>
          <w:p>
            <w:pPr>
              <w:pStyle w:val="Compact"/>
              <w:jc w:val="left"/>
            </w:pPr>
            <w:r>
              <w:t xml:space="preserve">21 April 2026</w:t>
            </w:r>
          </w:p>
        </w:tc>
        <w:tc>
          <w:tcPr/>
          <w:p>
            <w:pPr>
              <w:pStyle w:val="Compact"/>
              <w:jc w:val="left"/>
            </w:pPr>
            <w:r>
              <w:t xml:space="preserve">Initial preprint release.</w:t>
            </w:r>
          </w:p>
        </w:tc>
      </w:tr>
    </w:tbl>
    <w:p>
      <w:r>
        <w:pict>
          <v:rect style="width:0;height:1.5pt" o:hralign="center" o:hrstd="t" o:hr="t"/>
        </w:pict>
      </w:r>
    </w:p>
    <w:p>
      <w:pPr>
        <w:pStyle w:val="FirstParagraph"/>
      </w:pPr>
      <w:r>
        <w:t xml:space="preserve">© 2025–2026 Quantum General Intelligence, Inc. All rights reserved.</w:t>
      </w:r>
    </w:p>
    <w:bookmarkEnd w:id="39"/>
    <w:sectPr w:rsidR="00FC693F" w:rsidRPr="0006063C" w:rsidSect="00034616">
      <w:pgSz w:h="16838" w:w="11906"/>
      <w:pgMar w:bottom="1247" w:footer="567" w:gutter="0" w:header="567" w:left="1247" w:right="124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017">
    <w:nsid w:val="A99412017"/>
    <w:multiLevelType w:val="multilevel"/>
    <w:lvl w:ilvl="0">
      <w:start w:val="2017"/>
      <w:numFmt w:val="decimal"/>
      <w:lvlText w:val="%1."/>
      <w:lvlJc w:val="left"/>
      <w:pPr>
        <w:ind w:left="720" w:hanging="480"/>
      </w:pPr>
    </w:lvl>
    <w:lvl w:ilvl="1">
      <w:start w:val="2017"/>
      <w:numFmt w:val="decimal"/>
      <w:lvlText w:val="%2."/>
      <w:lvlJc w:val="left"/>
      <w:pPr>
        <w:ind w:left="1440" w:hanging="480"/>
      </w:pPr>
    </w:lvl>
    <w:lvl w:ilvl="2">
      <w:start w:val="2017"/>
      <w:numFmt w:val="decimal"/>
      <w:lvlText w:val="%3."/>
      <w:lvlJc w:val="left"/>
      <w:pPr>
        <w:ind w:left="2160" w:hanging="480"/>
      </w:pPr>
    </w:lvl>
    <w:lvl w:ilvl="3">
      <w:start w:val="2017"/>
      <w:numFmt w:val="decimal"/>
      <w:lvlText w:val="%4."/>
      <w:lvlJc w:val="left"/>
      <w:pPr>
        <w:ind w:left="2880" w:hanging="480"/>
      </w:pPr>
    </w:lvl>
    <w:lvl w:ilvl="4">
      <w:start w:val="2017"/>
      <w:numFmt w:val="decimal"/>
      <w:lvlText w:val="%5."/>
      <w:lvlJc w:val="left"/>
      <w:pPr>
        <w:ind w:left="3600" w:hanging="480"/>
      </w:pPr>
    </w:lvl>
    <w:lvl w:ilvl="5">
      <w:start w:val="2017"/>
      <w:numFmt w:val="decimal"/>
      <w:lvlText w:val="%6."/>
      <w:lvlJc w:val="left"/>
      <w:pPr>
        <w:ind w:left="4320" w:hanging="480"/>
      </w:pPr>
    </w:lvl>
    <w:lvl w:ilvl="6">
      <w:start w:val="2017"/>
      <w:numFmt w:val="decimal"/>
      <w:lvlText w:val="%7."/>
      <w:lvlJc w:val="left"/>
      <w:pPr>
        <w:ind w:left="5040" w:hanging="480"/>
      </w:pPr>
    </w:lvl>
    <w:lvl w:ilvl="7">
      <w:start w:val="2017"/>
      <w:numFmt w:val="decimal"/>
      <w:lvlText w:val="%8."/>
      <w:lvlJc w:val="left"/>
      <w:pPr>
        <w:ind w:left="5760" w:hanging="480"/>
      </w:pPr>
    </w:lvl>
    <w:lvl w:ilvl="8">
      <w:start w:val="201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017"/>
    <w:lvlOverride w:ilvl="0">
      <w:startOverride w:val="2017"/>
    </w:lvlOverride>
    <w:lvlOverride w:ilvl="1">
      <w:startOverride w:val="2017"/>
    </w:lvlOverride>
    <w:lvlOverride w:ilvl="2">
      <w:startOverride w:val="2017"/>
    </w:lvlOverride>
    <w:lvlOverride w:ilvl="3">
      <w:startOverride w:val="2017"/>
    </w:lvlOverride>
    <w:lvlOverride w:ilvl="4">
      <w:startOverride w:val="2017"/>
    </w:lvlOverride>
    <w:lvlOverride w:ilvl="5">
      <w:startOverride w:val="2017"/>
    </w:lvlOverride>
    <w:lvlOverride w:ilvl="6">
      <w:startOverride w:val="2017"/>
    </w:lvlOverride>
    <w:lvlOverride w:ilvl="7">
      <w:startOverride w:val="2017"/>
    </w:lvlOverride>
    <w:lvlOverride w:ilvl="8">
      <w:startOverride w:val="20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83" w:lineRule="auto"/>
    </w:pPr>
    <w:rPr>
      <w:rFonts w:ascii="Calibri" w:cs="Calibri" w:eastAsia="Calibri" w:hAnsi="Calibri"/>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60"/>
      <w:outlineLvl w:val="0"/>
    </w:pPr>
    <w:rPr>
      <w:rFonts w:ascii="Calibri" w:asciiTheme="majorHAnsi" w:cs="Calibri" w:cstheme="majorBidi" w:eastAsia="Calibri" w:eastAsiaTheme="majorEastAsia" w:hAnsi="Calibri" w:hAnsiTheme="majorHAnsi"/>
      <w:b/>
      <w:bCs/>
      <w:i w:val="0"/>
      <w:color w:val="2E4A8F"/>
      <w:sz w:val="36"/>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w:asciiTheme="majorHAnsi" w:cs="Calibri" w:cstheme="majorBidi" w:eastAsia="Calibri" w:eastAsiaTheme="majorEastAsia" w:hAnsi="Calibri" w:hAnsiTheme="majorHAnsi"/>
      <w:b/>
      <w:bCs/>
      <w:i w:val="0"/>
      <w:color w:val="4A68B0"/>
      <w:sz w:val="28"/>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Calibri" w:cstheme="majorBidi" w:eastAsia="Calibri" w:eastAsiaTheme="majorEastAsia" w:hAnsi="Calibri" w:hAnsiTheme="majorHAnsi"/>
      <w:b/>
      <w:bCs/>
      <w:i w:val="0"/>
      <w:color w:val="4B5561"/>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jc w:val="center"/>
    </w:pPr>
    <w:rPr>
      <w:rFonts w:ascii="Calibri" w:asciiTheme="majorHAnsi" w:cs="Calibri" w:cstheme="majorBidi" w:eastAsia="Calibri" w:eastAsiaTheme="majorEastAsia" w:hAnsi="Calibri" w:hAnsiTheme="majorHAnsi"/>
      <w:b/>
      <w:i w:val="0"/>
      <w:color w:val="2E4A8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00"/>
      <w:jc w:val="center"/>
    </w:pPr>
    <w:rPr>
      <w:rFonts w:ascii="Calibri" w:asciiTheme="majorHAnsi" w:cs="Calibri" w:cstheme="majorBidi" w:eastAsia="Calibri" w:eastAsiaTheme="majorEastAsia" w:hAnsi="Calibri" w:hAnsiTheme="majorHAnsi"/>
      <w:b w:val="0"/>
      <w:i/>
      <w:iCs/>
      <w:color w:val="6B7280"/>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before="0"/>
    </w:pPr>
    <w:rPr>
      <w:rFonts w:ascii="Calibri" w:cs="Calibri" w:eastAsia="Calibri" w:hAnsi="Calibri"/>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200" w:before="60" w:line="240" w:lineRule="auto"/>
      <w:jc w:val="center"/>
    </w:pPr>
    <w:rPr>
      <w:rFonts w:ascii="Calibri" w:cs="Calibri" w:eastAsia="Calibri" w:hAnsi="Calibri"/>
      <w:b w:val="0"/>
      <w:bCs/>
      <w:i/>
      <w:color w:val="4B5561"/>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20" w:before="240"/>
      <w:outlineLvl w:val="9"/>
    </w:pPr>
    <w:rPr>
      <w:rFonts w:ascii="Calibri" w:cs="Calibri" w:eastAsia="Calibri" w:hAnsi="Calibri"/>
      <w:b/>
      <w:i w:val="0"/>
      <w:color w:val="2E4A8F"/>
      <w:sz w:val="28"/>
    </w:rPr>
  </w:style>
  <w:style w:styleId="TableGrid" w:type="table">
    <w:name w:val="Table Grid"/>
    <w:basedOn w:val="TableNormal"/>
    <w:uiPriority w:val="59"/>
    <w:rsid w:val="00FC693F"/>
    <w:pPr>
      <w:spacing w:after="0" w:line="240" w:lineRule="auto"/>
    </w:pPr>
    <w:rPr>
      <w:rFonts w:ascii="Calibri" w:hAnsi="Calibri"/>
      <w:sz w:val="21"/>
    </w:rPr>
    <w:tblPr>
      <w:tblInd w:type="dxa" w:w="0"/>
      <w:tblCellMar>
        <w:top w:type="dxa" w:w="0"/>
        <w:left w:type="dxa" w:w="108"/>
        <w:bottom w:type="dxa" w:w="0"/>
        <w:right w:type="dxa" w:w="108"/>
      </w:tblCellMar>
      <w:tblBorders>
        <w:top w:color="C7D2E4" w:space="0" w:sz="4" w:val="single"/>
        <w:left w:color="C7D2E4" w:space="0" w:sz="4" w:val="single"/>
        <w:bottom w:color="C7D2E4" w:space="0" w:sz="4" w:val="single"/>
        <w:right w:color="C7D2E4" w:space="0" w:sz="4" w:val="single"/>
        <w:insideH w:color="C7D2E4" w:space="0" w:sz="4" w:val="single"/>
        <w:insideV w:color="C7D2E4"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60" w:before="60"/>
    </w:pPr>
    <w:rPr>
      <w:rFonts w:ascii="Consolas" w:cs="Consolas" w:eastAsia="Consolas" w:hAnsi="Consolas"/>
      <w:b w:val="0"/>
      <w:i w:val="0"/>
      <w:color w:val="4B5561"/>
      <w:sz w:val="20"/>
    </w:rPr>
  </w:style>
  <w:style w:customStyle="1" w:styleId="FirstParagraph" w:type="paragraph">
    <w:name w:val="First Paragraph"/>
    <w:pPr>
      <w:spacing w:after="120" w:before="0"/>
    </w:pPr>
    <w:rPr>
      <w:rFonts w:ascii="Calibri" w:cs="Calibri" w:eastAsia="Calibri" w:hAnsi="Calibri"/>
      <w:b w:val="0"/>
      <w:i w:val="0"/>
      <w:sz w:val="22"/>
    </w:rPr>
  </w:style>
  <w:style w:customStyle="1" w:styleId="Compact" w:type="paragraph">
    <w:name w:val="Compact"/>
    <w:pPr>
      <w:spacing w:after="40" w:before="0"/>
    </w:pPr>
    <w:rPr>
      <w:rFonts w:ascii="Calibri" w:cs="Calibri" w:eastAsia="Calibri" w:hAnsi="Calibri"/>
      <w:b w:val="0"/>
      <w:i w:val="0"/>
      <w:sz w:val="22"/>
    </w:rPr>
  </w:style>
  <w:style w:customStyle="1" w:styleId="ImageCaption" w:type="paragraph">
    <w:name w:val="Image Caption"/>
    <w:pPr>
      <w:spacing w:after="200" w:before="60"/>
      <w:jc w:val="center"/>
    </w:pPr>
    <w:rPr>
      <w:rFonts w:ascii="Calibri" w:cs="Calibri" w:eastAsia="Calibri" w:hAnsi="Calibri"/>
      <w:b w:val="0"/>
      <w:i/>
      <w:color w:val="4B5561"/>
      <w:sz w:val="20"/>
    </w:rPr>
  </w:style>
  <w:style w:customStyle="1" w:styleId="CaptionedFigure" w:type="paragraph">
    <w:name w:val="Captioned Figure"/>
    <w:pPr>
      <w:spacing w:after="0" w:before="160"/>
      <w:jc w:val="center"/>
    </w:pPr>
    <w:rPr>
      <w:rFonts w:ascii="Calibri" w:cs="Calibri" w:eastAsia="Calibri" w:hAnsi="Calibri"/>
      <w:b w:val="0"/>
      <w:i w:val="0"/>
      <w:sz w:val="22"/>
    </w:rPr>
  </w:style>
  <w:style w:customStyle="1" w:styleId="Abstract" w:type="paragraph">
    <w:name w:val="Abstract"/>
    <w:pPr>
      <w:spacing w:after="120" w:before="0"/>
    </w:pPr>
    <w:rPr>
      <w:rFonts w:ascii="Calibri" w:cs="Calibri" w:eastAsia="Calibri" w:hAnsi="Calibri"/>
      <w:b w:val="0"/>
      <w:i/>
      <w:color w:val="4B5561"/>
      <w:sz w:val="22"/>
    </w:rPr>
  </w:style>
  <w:style w:customStyle="1" w:styleId="AbstractTitle" w:type="paragraph">
    <w:name w:val="Abstract Title"/>
    <w:pPr>
      <w:spacing w:after="80" w:before="360"/>
      <w:jc w:val="center"/>
    </w:pPr>
    <w:rPr>
      <w:rFonts w:ascii="Calibri" w:cs="Calibri" w:eastAsia="Calibri" w:hAnsi="Calibri"/>
      <w:b/>
      <w:i w:val="0"/>
      <w:color w:val="4A68B0"/>
      <w:sz w:val="24"/>
    </w:rPr>
  </w:style>
  <w:style w:customStyle="1" w:styleId="Hyperlink" w:type="character">
    <w:name w:val="Hyperlink"/>
    <w:rPr>
      <w:rFonts w:ascii="Calibri" w:hAnsi="Calibri"/>
      <w:color w:val="2E4A8F"/>
      <w:u w:val="single"/>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Born-Rule Classifier</dc:title>
  <dc:creator/>
  <cp:keywords>zero-shot classification, Born rule, nearest-centroid classifier, prototype networks, calibration, quantum machine learning, embedding models, Q-Prime, QAG</cp:keywords>
  <dcterms:created xsi:type="dcterms:W3CDTF">2026-04-21T04:20:38Z</dcterms:created>
  <dcterms:modified xsi:type="dcterms:W3CDTF">2026-04-21T04:20:38Z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introduce the Born-rule classifier: a zero-shot categorisation rule that predicts \hat{y}(\psi) = \arg\max_{c}\,|\langle c\,|\,\psi\rangle|^2 — the argmax over class centroids of the squared-amplitude probability given by the quantum-mechanical Born rule. The classifier requires no gradient training, produces a calibrated probability distribution over classes by construction, and is a function only of the embedding space and a single centroid per class. It generalises two widely used baselines — nearest-centroid classification and zero-shot CLIP-style prototype classification — by applying the Born rule directly as the probability law, which yields a consistent treatment of confidence, ties, and out-of-distribution scoring.The classifier is the zero-shot labelling primitive of QGI’s QAG engine [QGI-TR-2026-01]. In that deployment it supplies topic, obligation type, severity, and polarity labels for extracted rules. The method note here describes the algorithm, its calibration, its properties, and the scope within which it can replace a supervised classifier. Numerical evaluation across public and internal benchmarks is reserved for a forthcoming companion evaluation paper.</vt:lpwstr>
  </property>
  <property fmtid="{D5CDD505-2E9C-101B-9397-08002B2CF9AE}" pid="3" name="date">
    <vt:lpwstr>21 April 2026</vt:lpwstr>
  </property>
  <property fmtid="{D5CDD505-2E9C-101B-9397-08002B2CF9AE}" pid="4" name="documentclass">
    <vt:lpwstr>article</vt:lpwstr>
  </property>
  <property fmtid="{D5CDD505-2E9C-101B-9397-08002B2CF9AE}" pid="5" name="fontsize">
    <vt:lpwstr>11pt</vt:lpwstr>
  </property>
  <property fmtid="{D5CDD505-2E9C-101B-9397-08002B2CF9AE}" pid="6" name="geometry">
    <vt:lpwstr/>
  </property>
  <property fmtid="{D5CDD505-2E9C-101B-9397-08002B2CF9AE}" pid="7" name="header-includes">
    <vt:lpwstr/>
  </property>
  <property fmtid="{D5CDD505-2E9C-101B-9397-08002B2CF9AE}" pid="8" name="linestretch">
    <vt:lpwstr>1.18</vt:lpwstr>
  </property>
  <property fmtid="{D5CDD505-2E9C-101B-9397-08002B2CF9AE}" pid="9" name="lof">
    <vt:lpwstr>False</vt:lpwstr>
  </property>
  <property fmtid="{D5CDD505-2E9C-101B-9397-08002B2CF9AE}" pid="10" name="lot">
    <vt:lpwstr>False</vt:lpwstr>
  </property>
  <property fmtid="{D5CDD505-2E9C-101B-9397-08002B2CF9AE}" pid="11" name="numbersections">
    <vt:lpwstr>True</vt:lpwstr>
  </property>
  <property fmtid="{D5CDD505-2E9C-101B-9397-08002B2CF9AE}" pid="12" name="papersize">
    <vt:lpwstr>a4</vt:lpwstr>
  </property>
  <property fmtid="{D5CDD505-2E9C-101B-9397-08002B2CF9AE}" pid="13" name="subtitle">
    <vt:lpwstr>Zero-Shot Categorisation via Squared Amplitudes on Class Centroids</vt:lpwstr>
  </property>
  <property fmtid="{D5CDD505-2E9C-101B-9397-08002B2CF9AE}" pid="14" name="toc">
    <vt:lpwstr>True</vt:lpwstr>
  </property>
  <property fmtid="{D5CDD505-2E9C-101B-9397-08002B2CF9AE}" pid="15" name="toc-depth">
    <vt:lpwstr>2</vt:lpwstr>
  </property>
  <property fmtid="{D5CDD505-2E9C-101B-9397-08002B2CF9AE}" pid="16" name="version">
    <vt:lpwstr>Preprint v1.0</vt:lpwstr>
  </property>
</Properties>
</file>