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Quantum</w:t>
      </w:r>
      <w:r>
        <w:t xml:space="preserve"> </w:t>
      </w:r>
      <w:r>
        <w:t xml:space="preserve">HyperGraph</w:t>
      </w:r>
      <w:r>
        <w:t xml:space="preserve"> </w:t>
      </w:r>
      <w:r>
        <w:t xml:space="preserve">(QHG)</w:t>
      </w:r>
    </w:p>
    <w:p>
      <w:pPr>
        <w:pStyle w:val="Subtitle"/>
      </w:pPr>
      <w:r>
        <w:t xml:space="preserve">A</w:t>
      </w:r>
      <w:r>
        <w:t xml:space="preserve"> </w:t>
      </w:r>
      <w:r>
        <w:t xml:space="preserve">First-Class</w:t>
      </w:r>
      <w:r>
        <w:t xml:space="preserve"> </w:t>
      </w:r>
      <w:r>
        <w:t xml:space="preserve">Data</w:t>
      </w:r>
      <w:r>
        <w:t xml:space="preserve"> </w:t>
      </w:r>
      <w:r>
        <w:t xml:space="preserve">Model</w:t>
      </w:r>
      <w:r>
        <w:t xml:space="preserve"> </w:t>
      </w:r>
      <w:r>
        <w:t xml:space="preserve">for</w:t>
      </w:r>
      <w:r>
        <w:t xml:space="preserve"> </w:t>
      </w:r>
      <w:r>
        <w:t xml:space="preserve">Rule-Bearing</w:t>
      </w:r>
      <w:r>
        <w:t xml:space="preserve"> </w:t>
      </w:r>
      <w:r>
        <w:t xml:space="preserve">Knowledge</w:t>
      </w:r>
    </w:p>
    <w:p>
      <w:pPr>
        <w:pStyle w:val="Date"/>
      </w:pPr>
      <w:r>
        <w:t xml:space="preserve">21</w:t>
      </w:r>
      <w:r>
        <w:t xml:space="preserve"> </w:t>
      </w:r>
      <w:r>
        <w:t xml:space="preserve">April</w:t>
      </w:r>
      <w:r>
        <w:t xml:space="preserve"> </w:t>
      </w:r>
      <w:r>
        <w:t xml:space="preserve">2026</w:t>
      </w:r>
    </w:p>
    <w:p>
      <w:pPr>
        <w:pStyle w:val="AbstractTitle"/>
      </w:pPr>
      <w:r>
        <w:t xml:space="preserve">Abstract</w:t>
      </w:r>
    </w:p>
    <w:p>
      <w:pPr>
        <w:pStyle w:val="Abstract"/>
      </w:pPr>
      <w:r>
        <w:t xml:space="preserve">Knowledge</w:t>
      </w:r>
      <w:r>
        <w:t xml:space="preserve"> </w:t>
      </w:r>
      <w:r>
        <w:t xml:space="preserve">graphs</w:t>
      </w:r>
      <w:r>
        <w:t xml:space="preserve"> </w:t>
      </w:r>
      <w:r>
        <w:t xml:space="preserve">have</w:t>
      </w:r>
      <w:r>
        <w:t xml:space="preserve"> </w:t>
      </w:r>
      <w:r>
        <w:t xml:space="preserve">become</w:t>
      </w:r>
      <w:r>
        <w:t xml:space="preserve"> </w:t>
      </w:r>
      <w:r>
        <w:t xml:space="preserve">the</w:t>
      </w:r>
      <w:r>
        <w:t xml:space="preserve"> </w:t>
      </w:r>
      <w:r>
        <w:t xml:space="preserve">default</w:t>
      </w:r>
      <w:r>
        <w:t xml:space="preserve"> </w:t>
      </w:r>
      <w:r>
        <w:t xml:space="preserve">structural</w:t>
      </w:r>
      <w:r>
        <w:t xml:space="preserve"> </w:t>
      </w:r>
      <w:r>
        <w:t xml:space="preserve">backbone</w:t>
      </w:r>
      <w:r>
        <w:t xml:space="preserve"> </w:t>
      </w:r>
      <w:r>
        <w:t xml:space="preserve">for</w:t>
      </w:r>
      <w:r>
        <w:t xml:space="preserve"> </w:t>
      </w:r>
      <w:r>
        <w:t xml:space="preserve">reasoning</w:t>
      </w:r>
      <w:r>
        <w:t xml:space="preserve"> </w:t>
      </w:r>
      <w:r>
        <w:t xml:space="preserve">over</w:t>
      </w:r>
      <w:r>
        <w:t xml:space="preserve"> </w:t>
      </w:r>
      <w:r>
        <w:t xml:space="preserve">large</w:t>
      </w:r>
      <w:r>
        <w:t xml:space="preserve"> </w:t>
      </w:r>
      <w:r>
        <w:t xml:space="preserve">text</w:t>
      </w:r>
      <w:r>
        <w:t xml:space="preserve"> </w:t>
      </w:r>
      <w:r>
        <w:t xml:space="preserve">corpora,</w:t>
      </w:r>
      <w:r>
        <w:t xml:space="preserve"> </w:t>
      </w:r>
      <w:r>
        <w:t xml:space="preserve">from</w:t>
      </w:r>
      <w:r>
        <w:t xml:space="preserve"> </w:t>
      </w:r>
      <w:r>
        <w:t xml:space="preserve">enterprise</w:t>
      </w:r>
      <w:r>
        <w:t xml:space="preserve"> </w:t>
      </w:r>
      <w:r>
        <w:t xml:space="preserve">knowledge</w:t>
      </w:r>
      <w:r>
        <w:t xml:space="preserve"> </w:t>
      </w:r>
      <w:r>
        <w:t xml:space="preserve">bases</w:t>
      </w:r>
      <w:r>
        <w:t xml:space="preserve"> </w:t>
      </w:r>
      <w:r>
        <w:t xml:space="preserve">to</w:t>
      </w:r>
      <w:r>
        <w:t xml:space="preserve"> </w:t>
      </w:r>
      <w:r>
        <w:t xml:space="preserve">agent</w:t>
      </w:r>
      <w:r>
        <w:t xml:space="preserve"> </w:t>
      </w:r>
      <w:r>
        <w:t xml:space="preserve">memory.</w:t>
      </w:r>
      <w:r>
        <w:t xml:space="preserve"> </w:t>
      </w:r>
      <w:r>
        <w:t xml:space="preserve">Existing</w:t>
      </w:r>
      <w:r>
        <w:t xml:space="preserve"> </w:t>
      </w:r>
      <w:r>
        <w:t xml:space="preserve">backbones</w:t>
      </w:r>
      <w:r>
        <w:t xml:space="preserve"> </w:t>
      </w:r>
      <w:r>
        <w:t xml:space="preserve">—</w:t>
      </w:r>
      <w:r>
        <w:t xml:space="preserve"> </w:t>
      </w:r>
      <w:r>
        <w:t xml:space="preserve">property</w:t>
      </w:r>
      <w:r>
        <w:t xml:space="preserve"> </w:t>
      </w:r>
      <w:r>
        <w:t xml:space="preserve">graphs,</w:t>
      </w:r>
      <w:r>
        <w:t xml:space="preserve"> </w:t>
      </w:r>
      <w:r>
        <w:t xml:space="preserve">RDF,</w:t>
      </w:r>
      <w:r>
        <w:t xml:space="preserve"> </w:t>
      </w:r>
      <w:r>
        <w:t xml:space="preserve">labelled-property</w:t>
      </w:r>
      <w:r>
        <w:t xml:space="preserve"> </w:t>
      </w:r>
      <w:r>
        <w:t xml:space="preserve">graphs</w:t>
      </w:r>
      <w:r>
        <w:t xml:space="preserve"> </w:t>
      </w:r>
      <w:r>
        <w:t xml:space="preserve">—</w:t>
      </w:r>
      <w:r>
        <w:t xml:space="preserve"> </w:t>
      </w:r>
      <w:r>
        <w:t xml:space="preserve">share</w:t>
      </w:r>
      <w:r>
        <w:t xml:space="preserve"> </w:t>
      </w:r>
      <w:r>
        <w:t xml:space="preserve">a</w:t>
      </w:r>
      <w:r>
        <w:t xml:space="preserve"> </w:t>
      </w:r>
      <w:r>
        <w:t xml:space="preserve">primitive:</w:t>
      </w:r>
      <w:r>
        <w:t xml:space="preserve"> </w:t>
      </w:r>
      <w:r>
        <w:t xml:space="preserve">an</w:t>
      </w:r>
      <w:r>
        <w:t xml:space="preserve"> </w:t>
      </w:r>
      <w:r>
        <w:t xml:space="preserve">edge</w:t>
      </w:r>
      <w:r>
        <w:t xml:space="preserve"> </w:t>
      </w:r>
      <w:r>
        <w:t xml:space="preserve">connects</w:t>
      </w:r>
      <w:r>
        <w:t xml:space="preserve"> </w:t>
      </w:r>
      <w:r>
        <w:rPr>
          <w:iCs/>
          <w:i/>
        </w:rPr>
        <w:t xml:space="preserve">exactly</w:t>
      </w:r>
      <w:r>
        <w:rPr>
          <w:iCs/>
          <w:i/>
        </w:rPr>
        <w:t xml:space="preserve"> </w:t>
      </w:r>
      <w:r>
        <w:rPr>
          <w:iCs/>
          <w:i/>
        </w:rPr>
        <w:t xml:space="preserve">two</w:t>
      </w:r>
      <w:r>
        <w:t xml:space="preserve"> </w:t>
      </w:r>
      <w:r>
        <w:t xml:space="preserve">nodes.</w:t>
      </w:r>
      <w:r>
        <w:t xml:space="preserve"> </w:t>
      </w:r>
      <w:r>
        <w:t xml:space="preserve">This</w:t>
      </w:r>
      <w:r>
        <w:t xml:space="preserve"> </w:t>
      </w:r>
      <w:r>
        <w:t xml:space="preserve">primitive</w:t>
      </w:r>
      <w:r>
        <w:t xml:space="preserve"> </w:t>
      </w:r>
      <w:r>
        <w:t xml:space="preserve">is</w:t>
      </w:r>
      <w:r>
        <w:t xml:space="preserve"> </w:t>
      </w:r>
      <w:r>
        <w:t xml:space="preserve">well</w:t>
      </w:r>
      <w:r>
        <w:t xml:space="preserve"> </w:t>
      </w:r>
      <w:r>
        <w:t xml:space="preserve">suited</w:t>
      </w:r>
      <w:r>
        <w:t xml:space="preserve"> </w:t>
      </w:r>
      <w:r>
        <w:t xml:space="preserve">to</w:t>
      </w:r>
      <w:r>
        <w:t xml:space="preserve"> </w:t>
      </w:r>
      <w:r>
        <w:t xml:space="preserve">entity-relation</w:t>
      </w:r>
      <w:r>
        <w:t xml:space="preserve"> </w:t>
      </w:r>
      <w:r>
        <w:t xml:space="preserve">data</w:t>
      </w:r>
      <w:r>
        <w:t xml:space="preserve"> </w:t>
      </w:r>
      <w:r>
        <w:t xml:space="preserve">but</w:t>
      </w:r>
      <w:r>
        <w:t xml:space="preserve"> </w:t>
      </w:r>
      <w:r>
        <w:t xml:space="preserve">fails</w:t>
      </w:r>
      <w:r>
        <w:t xml:space="preserve"> </w:t>
      </w:r>
      <w:r>
        <w:t xml:space="preserve">to</w:t>
      </w:r>
      <w:r>
        <w:t xml:space="preserve"> </w:t>
      </w:r>
      <w:r>
        <w:t xml:space="preserve">express</w:t>
      </w:r>
      <w:r>
        <w:t xml:space="preserve"> </w:t>
      </w:r>
      <w:r>
        <w:t xml:space="preserve">the</w:t>
      </w:r>
      <w:r>
        <w:t xml:space="preserve"> </w:t>
      </w:r>
      <w:r>
        <w:t xml:space="preserve">joint</w:t>
      </w:r>
      <w:r>
        <w:t xml:space="preserve"> </w:t>
      </w:r>
      <w:r>
        <w:t xml:space="preserve">constraints</w:t>
      </w:r>
      <w:r>
        <w:t xml:space="preserve"> </w:t>
      </w:r>
      <w:r>
        <w:t xml:space="preserve">that</w:t>
      </w:r>
      <w:r>
        <w:t xml:space="preserve"> </w:t>
      </w:r>
      <w:r>
        <w:t xml:space="preserve">define</w:t>
      </w:r>
      <w:r>
        <w:t xml:space="preserve"> </w:t>
      </w:r>
      <w:r>
        <w:t xml:space="preserve">a</w:t>
      </w:r>
      <w:r>
        <w:t xml:space="preserve"> </w:t>
      </w:r>
      <w:r>
        <w:t xml:space="preserve">regulation,</w:t>
      </w:r>
      <w:r>
        <w:t xml:space="preserve"> </w:t>
      </w:r>
      <w:r>
        <w:t xml:space="preserve">a</w:t>
      </w:r>
      <w:r>
        <w:t xml:space="preserve"> </w:t>
      </w:r>
      <w:r>
        <w:t xml:space="preserve">contract</w:t>
      </w:r>
      <w:r>
        <w:t xml:space="preserve"> </w:t>
      </w:r>
      <w:r>
        <w:t xml:space="preserve">clause,</w:t>
      </w:r>
      <w:r>
        <w:t xml:space="preserve"> </w:t>
      </w:r>
      <w:r>
        <w:t xml:space="preserve">or</w:t>
      </w:r>
      <w:r>
        <w:t xml:space="preserve"> </w:t>
      </w:r>
      <w:r>
        <w:t xml:space="preserve">a</w:t>
      </w:r>
      <w:r>
        <w:t xml:space="preserve"> </w:t>
      </w:r>
      <w:r>
        <w:t xml:space="preserve">multi-premise</w:t>
      </w:r>
      <w:r>
        <w:t xml:space="preserve"> </w:t>
      </w:r>
      <w:r>
        <w:t xml:space="preserve">inference:</w:t>
      </w:r>
      <w:r>
        <w:t xml:space="preserve"> </w:t>
      </w:r>
      <w:r>
        <w:t xml:space="preserve">a</w:t>
      </w:r>
      <w:r>
        <w:t xml:space="preserve"> </w:t>
      </w:r>
      <w:r>
        <w:t xml:space="preserve">single</w:t>
      </w:r>
      <w:r>
        <w:t xml:space="preserve"> </w:t>
      </w:r>
      <w:r>
        <w:t xml:space="preserve">obligation</w:t>
      </w:r>
      <w:r>
        <w:t xml:space="preserve"> </w:t>
      </w:r>
      <w:r>
        <w:t xml:space="preserve">routinely</w:t>
      </w:r>
      <w:r>
        <w:t xml:space="preserve"> </w:t>
      </w:r>
      <w:r>
        <w:t xml:space="preserve">depends</w:t>
      </w:r>
      <w:r>
        <w:t xml:space="preserve"> </w:t>
      </w:r>
      <w:r>
        <w:t xml:space="preserve">on</w:t>
      </w:r>
      <w:r>
        <w:t xml:space="preserve"> </w:t>
      </w:r>
      <w:r>
        <w:t xml:space="preserve">three</w:t>
      </w:r>
      <w:r>
        <w:t xml:space="preserve"> </w:t>
      </w:r>
      <w:r>
        <w:t xml:space="preserve">or</w:t>
      </w:r>
      <w:r>
        <w:t xml:space="preserve"> </w:t>
      </w:r>
      <w:r>
        <w:t xml:space="preserve">more</w:t>
      </w:r>
      <w:r>
        <w:t xml:space="preserve"> </w:t>
      </w:r>
      <w:r>
        <w:t xml:space="preserve">rules</w:t>
      </w:r>
      <w:r>
        <w:t xml:space="preserve"> </w:t>
      </w:r>
      <w:r>
        <w:t xml:space="preserve">holding</w:t>
      </w:r>
      <w:r>
        <w:t xml:space="preserve"> </w:t>
      </w:r>
      <w:r>
        <w:t xml:space="preserve">simultaneously,</w:t>
      </w:r>
      <w:r>
        <w:t xml:space="preserve"> </w:t>
      </w:r>
      <w:r>
        <w:t xml:space="preserve">with</w:t>
      </w:r>
      <w:r>
        <w:t xml:space="preserve"> </w:t>
      </w:r>
      <w:r>
        <w:t xml:space="preserve">exceptions</w:t>
      </w:r>
      <w:r>
        <w:t xml:space="preserve"> </w:t>
      </w:r>
      <w:r>
        <w:t xml:space="preserve">that</w:t>
      </w:r>
      <w:r>
        <w:t xml:space="preserve"> </w:t>
      </w:r>
      <w:r>
        <w:t xml:space="preserve">further</w:t>
      </w:r>
      <w:r>
        <w:t xml:space="preserve"> </w:t>
      </w:r>
      <w:r>
        <w:t xml:space="preserve">modify</w:t>
      </w:r>
      <w:r>
        <w:t xml:space="preserve"> </w:t>
      </w:r>
      <w:r>
        <w:t xml:space="preserve">the</w:t>
      </w:r>
      <w:r>
        <w:t xml:space="preserve"> </w:t>
      </w:r>
      <w:r>
        <w:t xml:space="preserve">joint</w:t>
      </w:r>
      <w:r>
        <w:t xml:space="preserve"> </w:t>
      </w:r>
      <w:r>
        <w:t xml:space="preserve">state.</w:t>
      </w:r>
    </w:p>
    <w:p>
      <w:pPr>
        <w:pStyle w:val="Abstract"/>
      </w:pPr>
      <w:r>
        <w:t xml:space="preserve">This</w:t>
      </w:r>
      <w:r>
        <w:t xml:space="preserve"> </w:t>
      </w:r>
      <w:r>
        <w:t xml:space="preserve">paper</w:t>
      </w:r>
      <w:r>
        <w:t xml:space="preserve"> </w:t>
      </w:r>
      <w:r>
        <w:t xml:space="preserve">introduces</w:t>
      </w:r>
      <w:r>
        <w:t xml:space="preserve"> </w:t>
      </w:r>
      <w:r>
        <w:rPr>
          <w:bCs/>
          <w:b/>
        </w:rPr>
        <w:t xml:space="preserve">Quantum</w:t>
      </w:r>
      <w:r>
        <w:rPr>
          <w:bCs/>
          <w:b/>
        </w:rPr>
        <w:t xml:space="preserve"> </w:t>
      </w:r>
      <w:r>
        <w:rPr>
          <w:bCs/>
          <w:b/>
        </w:rPr>
        <w:t xml:space="preserve">HyperGraph</w:t>
      </w:r>
      <w:r>
        <w:rPr>
          <w:bCs/>
          <w:b/>
        </w:rPr>
        <w:t xml:space="preserve"> </w:t>
      </w:r>
      <w:r>
        <w:rPr>
          <w:bCs/>
          <w:b/>
        </w:rPr>
        <w:t xml:space="preserve">(QHG)</w:t>
      </w:r>
      <w:r>
        <w:t xml:space="preserve">,</w:t>
      </w:r>
      <w:r>
        <w:t xml:space="preserve"> </w:t>
      </w:r>
      <w:r>
        <w:t xml:space="preserve">the</w:t>
      </w:r>
      <w:r>
        <w:t xml:space="preserve"> </w:t>
      </w:r>
      <w:r>
        <w:t xml:space="preserve">data</w:t>
      </w:r>
      <w:r>
        <w:t xml:space="preserve"> </w:t>
      </w:r>
      <w:r>
        <w:t xml:space="preserve">model</w:t>
      </w:r>
      <w:r>
        <w:t xml:space="preserve"> </w:t>
      </w:r>
      <w:r>
        <w:t xml:space="preserve">underneath</w:t>
      </w:r>
      <w:r>
        <w:t xml:space="preserve"> </w:t>
      </w:r>
      <w:r>
        <w:t xml:space="preserve">QGI’s</w:t>
      </w:r>
      <w:r>
        <w:t xml:space="preserve"> </w:t>
      </w:r>
      <w:r>
        <w:t xml:space="preserve">QAG</w:t>
      </w:r>
      <w:r>
        <w:t xml:space="preserve"> </w:t>
      </w:r>
      <w:r>
        <w:t xml:space="preserve">engine</w:t>
      </w:r>
      <w:r>
        <w:t xml:space="preserve"> </w:t>
      </w:r>
      <w:r>
        <w:t xml:space="preserve">[QGI-TR-2026-01].</w:t>
      </w:r>
      <w:r>
        <w:t xml:space="preserve"> </w:t>
      </w:r>
      <w:r>
        <w:t xml:space="preserve">QHG</w:t>
      </w:r>
      <w:r>
        <w:t xml:space="preserve"> </w:t>
      </w:r>
      <w:r>
        <w:t xml:space="preserve">is</w:t>
      </w:r>
      <w:r>
        <w:t xml:space="preserve"> </w:t>
      </w:r>
      <w:r>
        <w:t xml:space="preserve">a</w:t>
      </w:r>
      <w:r>
        <w:t xml:space="preserve"> </w:t>
      </w:r>
      <w:r>
        <w:t xml:space="preserve">hypergraph</w:t>
      </w:r>
      <w:r>
        <w:t xml:space="preserve"> </w:t>
      </w:r>
      <w:r>
        <w:t xml:space="preserve">—</w:t>
      </w:r>
      <w:r>
        <w:t xml:space="preserve"> </w:t>
      </w:r>
      <w:r>
        <w:t xml:space="preserve">edges</w:t>
      </w:r>
      <w:r>
        <w:t xml:space="preserve"> </w:t>
      </w:r>
      <w:r>
        <w:t xml:space="preserve">connect</w:t>
      </w:r>
      <w:r>
        <w:t xml:space="preserve"> </w:t>
      </w:r>
      <w:r>
        <w:t xml:space="preserve">arbitrary</w:t>
      </w:r>
      <w:r>
        <w:t xml:space="preserve"> </w:t>
      </w:r>
      <w:r>
        <w:t xml:space="preserve">numbers</w:t>
      </w:r>
      <w:r>
        <w:t xml:space="preserve"> </w:t>
      </w:r>
      <w:r>
        <w:t xml:space="preserve">of</w:t>
      </w:r>
      <w:r>
        <w:t xml:space="preserve"> </w:t>
      </w:r>
      <w:r>
        <w:t xml:space="preserve">nodes</w:t>
      </w:r>
      <w:r>
        <w:t xml:space="preserve"> </w:t>
      </w:r>
      <w:r>
        <w:t xml:space="preserve">—</w:t>
      </w:r>
      <w:r>
        <w:t xml:space="preserve"> </w:t>
      </w:r>
      <w:r>
        <w:t xml:space="preserve">extended</w:t>
      </w:r>
      <w:r>
        <w:t xml:space="preserve"> </w:t>
      </w:r>
      <w:r>
        <w:t xml:space="preserve">with</w:t>
      </w:r>
      <w:r>
        <w:t xml:space="preserve"> </w:t>
      </w:r>
      <w:r>
        <w:t xml:space="preserve">a</w:t>
      </w:r>
      <w:r>
        <w:t xml:space="preserve"> </w:t>
      </w:r>
      <w:r>
        <w:t xml:space="preserve">typed,</w:t>
      </w:r>
      <w:r>
        <w:t xml:space="preserve"> </w:t>
      </w:r>
      <w:r>
        <w:t xml:space="preserve">immutable,</w:t>
      </w:r>
      <w:r>
        <w:t xml:space="preserve"> </w:t>
      </w:r>
      <w:r>
        <w:t xml:space="preserve">versioned</w:t>
      </w:r>
      <w:r>
        <w:t xml:space="preserve"> </w:t>
      </w:r>
      <w:r>
        <w:t xml:space="preserve">semantic</w:t>
      </w:r>
      <w:r>
        <w:t xml:space="preserve"> </w:t>
      </w:r>
      <w:r>
        <w:t xml:space="preserve">that</w:t>
      </w:r>
      <w:r>
        <w:t xml:space="preserve"> </w:t>
      </w:r>
      <w:r>
        <w:t xml:space="preserve">makes</w:t>
      </w:r>
      <w:r>
        <w:t xml:space="preserve"> </w:t>
      </w:r>
      <w:r>
        <w:rPr>
          <w:iCs/>
          <w:i/>
        </w:rPr>
        <w:t xml:space="preserve">conflict</w:t>
      </w:r>
      <w:r>
        <w:t xml:space="preserve"> </w:t>
      </w:r>
      <w:r>
        <w:t xml:space="preserve">and</w:t>
      </w:r>
      <w:r>
        <w:t xml:space="preserve"> </w:t>
      </w:r>
      <w:r>
        <w:rPr>
          <w:iCs/>
          <w:i/>
        </w:rPr>
        <w:t xml:space="preserve">dependency</w:t>
      </w:r>
      <w:r>
        <w:t xml:space="preserve"> </w:t>
      </w:r>
      <w:r>
        <w:t xml:space="preserve">first-class</w:t>
      </w:r>
      <w:r>
        <w:t xml:space="preserve"> </w:t>
      </w:r>
      <w:r>
        <w:t xml:space="preserve">edge</w:t>
      </w:r>
      <w:r>
        <w:t xml:space="preserve"> </w:t>
      </w:r>
      <w:r>
        <w:t xml:space="preserve">types.</w:t>
      </w:r>
      <w:r>
        <w:t xml:space="preserve"> </w:t>
      </w:r>
      <w:r>
        <w:t xml:space="preserve">We</w:t>
      </w:r>
      <w:r>
        <w:t xml:space="preserve"> </w:t>
      </w:r>
      <w:r>
        <w:t xml:space="preserve">describe</w:t>
      </w:r>
      <w:r>
        <w:t xml:space="preserve"> </w:t>
      </w:r>
      <w:r>
        <w:t xml:space="preserve">the</w:t>
      </w:r>
      <w:r>
        <w:t xml:space="preserve"> </w:t>
      </w:r>
      <w:r>
        <w:t xml:space="preserve">data</w:t>
      </w:r>
      <w:r>
        <w:t xml:space="preserve"> </w:t>
      </w:r>
      <w:r>
        <w:t xml:space="preserve">model,</w:t>
      </w:r>
      <w:r>
        <w:t xml:space="preserve"> </w:t>
      </w:r>
      <w:r>
        <w:t xml:space="preserve">its</w:t>
      </w:r>
      <w:r>
        <w:t xml:space="preserve"> </w:t>
      </w:r>
      <w:r>
        <w:t xml:space="preserve">query</w:t>
      </w:r>
      <w:r>
        <w:t xml:space="preserve"> </w:t>
      </w:r>
      <w:r>
        <w:t xml:space="preserve">interface,</w:t>
      </w:r>
      <w:r>
        <w:t xml:space="preserve"> </w:t>
      </w:r>
      <w:r>
        <w:t xml:space="preserve">its</w:t>
      </w:r>
      <w:r>
        <w:t xml:space="preserve"> </w:t>
      </w:r>
      <w:r>
        <w:t xml:space="preserve">versioning</w:t>
      </w:r>
      <w:r>
        <w:t xml:space="preserve"> </w:t>
      </w:r>
      <w:r>
        <w:t xml:space="preserve">discipline,</w:t>
      </w:r>
      <w:r>
        <w:t xml:space="preserve"> </w:t>
      </w:r>
      <w:r>
        <w:t xml:space="preserve">and</w:t>
      </w:r>
      <w:r>
        <w:t xml:space="preserve"> </w:t>
      </w:r>
      <w:r>
        <w:t xml:space="preserve">its</w:t>
      </w:r>
      <w:r>
        <w:t xml:space="preserve"> </w:t>
      </w:r>
      <w:r>
        <w:t xml:space="preserve">integration</w:t>
      </w:r>
      <w:r>
        <w:t xml:space="preserve"> </w:t>
      </w:r>
      <w:r>
        <w:t xml:space="preserve">with</w:t>
      </w:r>
      <w:r>
        <w:t xml:space="preserve"> </w:t>
      </w:r>
      <w:r>
        <w:t xml:space="preserve">the</w:t>
      </w:r>
      <w:r>
        <w:t xml:space="preserve"> </w:t>
      </w:r>
      <w:r>
        <w:t xml:space="preserve">Hilbert-space</w:t>
      </w:r>
      <w:r>
        <w:t xml:space="preserve"> </w:t>
      </w:r>
      <w:r>
        <w:t xml:space="preserve">signal</w:t>
      </w:r>
      <w:r>
        <w:t xml:space="preserve"> </w:t>
      </w:r>
      <w:r>
        <w:t xml:space="preserve">layer</w:t>
      </w:r>
      <w:r>
        <w:t xml:space="preserve"> </w:t>
      </w:r>
      <w:r>
        <w:t xml:space="preserve">that</w:t>
      </w:r>
      <w:r>
        <w:t xml:space="preserve"> </w:t>
      </w:r>
      <w:r>
        <w:t xml:space="preserve">sits</w:t>
      </w:r>
      <w:r>
        <w:t xml:space="preserve"> </w:t>
      </w:r>
      <w:r>
        <w:t xml:space="preserve">on</w:t>
      </w:r>
      <w:r>
        <w:t xml:space="preserve"> </w:t>
      </w:r>
      <w:r>
        <w:t xml:space="preserve">top</w:t>
      </w:r>
      <w:r>
        <w:t xml:space="preserve"> </w:t>
      </w:r>
      <w:r>
        <w:t xml:space="preserve">of</w:t>
      </w:r>
      <w:r>
        <w:t xml:space="preserve"> </w:t>
      </w:r>
      <w:r>
        <w:t xml:space="preserve">it.</w:t>
      </w:r>
      <w:r>
        <w:t xml:space="preserve"> </w:t>
      </w:r>
      <w:r>
        <w:t xml:space="preserve">We</w:t>
      </w:r>
      <w:r>
        <w:t xml:space="preserve"> </w:t>
      </w:r>
      <w:r>
        <w:t xml:space="preserve">contrast</w:t>
      </w:r>
      <w:r>
        <w:t xml:space="preserve"> </w:t>
      </w:r>
      <w:r>
        <w:t xml:space="preserve">QHG</w:t>
      </w:r>
      <w:r>
        <w:t xml:space="preserve"> </w:t>
      </w:r>
      <w:r>
        <w:t xml:space="preserve">with</w:t>
      </w:r>
      <w:r>
        <w:t xml:space="preserve"> </w:t>
      </w:r>
      <w:r>
        <w:t xml:space="preserve">property</w:t>
      </w:r>
      <w:r>
        <w:t xml:space="preserve"> </w:t>
      </w:r>
      <w:r>
        <w:t xml:space="preserve">graphs,</w:t>
      </w:r>
      <w:r>
        <w:t xml:space="preserve"> </w:t>
      </w:r>
      <w:r>
        <w:t xml:space="preserve">RDF,</w:t>
      </w:r>
      <w:r>
        <w:t xml:space="preserve"> </w:t>
      </w:r>
      <w:r>
        <w:t xml:space="preserve">and</w:t>
      </w:r>
      <w:r>
        <w:t xml:space="preserve"> </w:t>
      </w:r>
      <w:r>
        <w:t xml:space="preserve">the</w:t>
      </w:r>
      <w:r>
        <w:t xml:space="preserve"> </w:t>
      </w:r>
      <w:r>
        <w:t xml:space="preserve">hypergraph</w:t>
      </w:r>
      <w:r>
        <w:t xml:space="preserve"> </w:t>
      </w:r>
      <w:r>
        <w:t xml:space="preserve">approaches</w:t>
      </w:r>
      <w:r>
        <w:t xml:space="preserve"> </w:t>
      </w:r>
      <w:r>
        <w:t xml:space="preserve">that</w:t>
      </w:r>
      <w:r>
        <w:t xml:space="preserve"> </w:t>
      </w:r>
      <w:r>
        <w:t xml:space="preserve">have</w:t>
      </w:r>
      <w:r>
        <w:t xml:space="preserve"> </w:t>
      </w:r>
      <w:r>
        <w:t xml:space="preserve">recently</w:t>
      </w:r>
      <w:r>
        <w:t xml:space="preserve"> </w:t>
      </w:r>
      <w:r>
        <w:t xml:space="preserve">appeared</w:t>
      </w:r>
      <w:r>
        <w:t xml:space="preserve"> </w:t>
      </w:r>
      <w:r>
        <w:t xml:space="preserve">in</w:t>
      </w:r>
      <w:r>
        <w:t xml:space="preserve"> </w:t>
      </w:r>
      <w:r>
        <w:t xml:space="preserve">the</w:t>
      </w:r>
      <w:r>
        <w:t xml:space="preserve"> </w:t>
      </w:r>
      <w:r>
        <w:t xml:space="preserve">retrieval-augmented</w:t>
      </w:r>
      <w:r>
        <w:t xml:space="preserve"> </w:t>
      </w:r>
      <w:r>
        <w:t xml:space="preserve">literature.</w:t>
      </w:r>
      <w:r>
        <w:t xml:space="preserve"> </w:t>
      </w:r>
      <w:r>
        <w:t xml:space="preserve">Our</w:t>
      </w:r>
      <w:r>
        <w:t xml:space="preserve"> </w:t>
      </w:r>
      <w:r>
        <w:t xml:space="preserve">claim</w:t>
      </w:r>
      <w:r>
        <w:t xml:space="preserve"> </w:t>
      </w:r>
      <w:r>
        <w:t xml:space="preserve">is</w:t>
      </w:r>
      <w:r>
        <w:t xml:space="preserve"> </w:t>
      </w:r>
      <w:r>
        <w:t xml:space="preserve">not</w:t>
      </w:r>
      <w:r>
        <w:t xml:space="preserve"> </w:t>
      </w:r>
      <w:r>
        <w:t xml:space="preserve">that</w:t>
      </w:r>
      <w:r>
        <w:t xml:space="preserve"> </w:t>
      </w:r>
      <w:r>
        <w:t xml:space="preserve">hypergraphs</w:t>
      </w:r>
      <w:r>
        <w:t xml:space="preserve"> </w:t>
      </w:r>
      <w:r>
        <w:t xml:space="preserve">are</w:t>
      </w:r>
      <w:r>
        <w:t xml:space="preserve"> </w:t>
      </w:r>
      <w:r>
        <w:t xml:space="preserve">new</w:t>
      </w:r>
      <w:r>
        <w:t xml:space="preserve"> </w:t>
      </w:r>
      <w:r>
        <w:t xml:space="preserve">—</w:t>
      </w:r>
      <w:r>
        <w:t xml:space="preserve"> </w:t>
      </w:r>
      <w:r>
        <w:t xml:space="preserve">they</w:t>
      </w:r>
      <w:r>
        <w:t xml:space="preserve"> </w:t>
      </w:r>
      <w:r>
        <w:t xml:space="preserve">are</w:t>
      </w:r>
      <w:r>
        <w:t xml:space="preserve"> </w:t>
      </w:r>
      <w:r>
        <w:t xml:space="preserve">not</w:t>
      </w:r>
      <w:r>
        <w:t xml:space="preserve"> </w:t>
      </w:r>
      <w:r>
        <w:t xml:space="preserve">—</w:t>
      </w:r>
      <w:r>
        <w:t xml:space="preserve"> </w:t>
      </w:r>
      <w:r>
        <w:t xml:space="preserve">but</w:t>
      </w:r>
      <w:r>
        <w:t xml:space="preserve"> </w:t>
      </w:r>
      <w:r>
        <w:t xml:space="preserve">that</w:t>
      </w:r>
      <w:r>
        <w:t xml:space="preserve"> </w:t>
      </w:r>
      <w:r>
        <w:rPr>
          <w:iCs/>
          <w:i/>
        </w:rPr>
        <w:t xml:space="preserve">conflict-as-first-class-edge</w:t>
      </w:r>
      <w:r>
        <w:t xml:space="preserve"> </w:t>
      </w:r>
      <w:r>
        <w:t xml:space="preserve">plus</w:t>
      </w:r>
      <w:r>
        <w:t xml:space="preserve"> </w:t>
      </w:r>
      <w:r>
        <w:rPr>
          <w:iCs/>
          <w:i/>
        </w:rPr>
        <w:t xml:space="preserve">immutable</w:t>
      </w:r>
      <w:r>
        <w:rPr>
          <w:iCs/>
          <w:i/>
        </w:rPr>
        <w:t xml:space="preserve"> </w:t>
      </w:r>
      <w:r>
        <w:rPr>
          <w:iCs/>
          <w:i/>
        </w:rPr>
        <w:t xml:space="preserve">versioning</w:t>
      </w:r>
      <w:r>
        <w:t xml:space="preserve"> </w:t>
      </w:r>
      <w:r>
        <w:t xml:space="preserve">plus</w:t>
      </w:r>
      <w:r>
        <w:t xml:space="preserve"> </w:t>
      </w:r>
      <w:r>
        <w:rPr>
          <w:iCs/>
          <w:i/>
        </w:rPr>
        <w:t xml:space="preserve">signed-interference</w:t>
      </w:r>
      <w:r>
        <w:rPr>
          <w:iCs/>
          <w:i/>
        </w:rPr>
        <w:t xml:space="preserve"> </w:t>
      </w:r>
      <w:r>
        <w:rPr>
          <w:iCs/>
          <w:i/>
        </w:rPr>
        <w:t xml:space="preserve">annotation</w:t>
      </w:r>
      <w:r>
        <w:t xml:space="preserve"> </w:t>
      </w:r>
      <w:r>
        <w:t xml:space="preserve">is</w:t>
      </w:r>
      <w:r>
        <w:t xml:space="preserve"> </w:t>
      </w:r>
      <w:r>
        <w:t xml:space="preserve">a</w:t>
      </w:r>
      <w:r>
        <w:t xml:space="preserve"> </w:t>
      </w:r>
      <w:r>
        <w:t xml:space="preserve">combination</w:t>
      </w:r>
      <w:r>
        <w:t xml:space="preserve"> </w:t>
      </w:r>
      <w:r>
        <w:t xml:space="preserve">that</w:t>
      </w:r>
      <w:r>
        <w:t xml:space="preserve"> </w:t>
      </w:r>
      <w:r>
        <w:t xml:space="preserve">has</w:t>
      </w:r>
      <w:r>
        <w:t xml:space="preserve"> </w:t>
      </w:r>
      <w:r>
        <w:t xml:space="preserve">not,</w:t>
      </w:r>
      <w:r>
        <w:t xml:space="preserve"> </w:t>
      </w:r>
      <w:r>
        <w:t xml:space="preserve">to</w:t>
      </w:r>
      <w:r>
        <w:t xml:space="preserve"> </w:t>
      </w:r>
      <w:r>
        <w:t xml:space="preserve">our</w:t>
      </w:r>
      <w:r>
        <w:t xml:space="preserve"> </w:t>
      </w:r>
      <w:r>
        <w:t xml:space="preserve">knowledge,</w:t>
      </w:r>
      <w:r>
        <w:t xml:space="preserve"> </w:t>
      </w:r>
      <w:r>
        <w:t xml:space="preserve">been</w:t>
      </w:r>
      <w:r>
        <w:t xml:space="preserve"> </w:t>
      </w:r>
      <w:r>
        <w:t xml:space="preserve">deployed</w:t>
      </w:r>
      <w:r>
        <w:t xml:space="preserve"> </w:t>
      </w:r>
      <w:r>
        <w:t xml:space="preserve">at</w:t>
      </w:r>
      <w:r>
        <w:t xml:space="preserve"> </w:t>
      </w:r>
      <w:r>
        <w:t xml:space="preserve">production</w:t>
      </w:r>
      <w:r>
        <w:t xml:space="preserve"> </w:t>
      </w:r>
      <w:r>
        <w:t xml:space="preserve">scale,</w:t>
      </w:r>
      <w:r>
        <w:t xml:space="preserve"> </w:t>
      </w:r>
      <w:r>
        <w:t xml:space="preserve">and</w:t>
      </w:r>
      <w:r>
        <w:t xml:space="preserve"> </w:t>
      </w:r>
      <w:r>
        <w:t xml:space="preserve">that</w:t>
      </w:r>
      <w:r>
        <w:t xml:space="preserve"> </w:t>
      </w:r>
      <w:r>
        <w:t xml:space="preserve">this</w:t>
      </w:r>
      <w:r>
        <w:t xml:space="preserve"> </w:t>
      </w:r>
      <w:r>
        <w:t xml:space="preserve">combination</w:t>
      </w:r>
      <w:r>
        <w:t xml:space="preserve"> </w:t>
      </w:r>
      <w:r>
        <w:t xml:space="preserve">is</w:t>
      </w:r>
      <w:r>
        <w:t xml:space="preserve"> </w:t>
      </w:r>
      <w:r>
        <w:t xml:space="preserve">the</w:t>
      </w:r>
      <w:r>
        <w:t xml:space="preserve"> </w:t>
      </w:r>
      <w:r>
        <w:t xml:space="preserve">right</w:t>
      </w:r>
      <w:r>
        <w:t xml:space="preserve"> </w:t>
      </w:r>
      <w:r>
        <w:t xml:space="preserve">substrate</w:t>
      </w:r>
      <w:r>
        <w:t xml:space="preserve"> </w:t>
      </w:r>
      <w:r>
        <w:t xml:space="preserve">for</w:t>
      </w:r>
      <w:r>
        <w:t xml:space="preserve"> </w:t>
      </w:r>
      <w:r>
        <w:t xml:space="preserve">reasoning</w:t>
      </w:r>
      <w:r>
        <w:t xml:space="preserve"> </w:t>
      </w:r>
      <w:r>
        <w:t xml:space="preserve">over</w:t>
      </w:r>
      <w:r>
        <w:t xml:space="preserve"> </w:t>
      </w:r>
      <w:r>
        <w:t xml:space="preserve">rule-bearing</w:t>
      </w:r>
      <w:r>
        <w:t xml:space="preserve"> </w:t>
      </w:r>
      <w:r>
        <w:t xml:space="preserve">content.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Cs/>
          <w:b/>
        </w:rPr>
        <w:t xml:space="preserve">Preprint — v1.0, 21 April 2026.</w:t>
      </w:r>
      <w:r>
        <w:t xml:space="preserve"> </w:t>
      </w:r>
      <w:r>
        <w:t xml:space="preserve">Not peer-reviewed. Authored by Dr. Sam Sammane, CTO and Founder,</w:t>
      </w:r>
      <w:r>
        <w:t xml:space="preserve"> </w:t>
      </w:r>
      <w:r>
        <w:t xml:space="preserve">Quantum General Intelligence, Inc. (</w:t>
      </w:r>
      <w:r>
        <w:rPr>
          <w:rStyle w:val="VerbatimChar"/>
        </w:rPr>
        <w:t xml:space="preserve">sam@qgi.dev</w:t>
      </w:r>
      <w:r>
        <w:t xml:space="preserve">). Companion to</w:t>
      </w:r>
      <w:r>
        <w:t xml:space="preserve"> </w:t>
      </w:r>
      <w:r>
        <w:t xml:space="preserve">[QGI-TR-2026-01]. Comments welcome at</w:t>
      </w:r>
      <w:r>
        <w:t xml:space="preserve"> </w:t>
      </w:r>
      <w:r>
        <w:rPr>
          <w:rStyle w:val="VerbatimChar"/>
        </w:rPr>
        <w:t xml:space="preserve">research@qgi.dev</w:t>
      </w:r>
      <w:r>
        <w:t xml:space="preserve">.</w:t>
      </w:r>
    </w:p>
    <w:bookmarkStart w:id="23" w:name="why-a-hypergraph-and-why-versioned"/>
    <w:p>
      <w:pPr>
        <w:pStyle w:val="Heading1"/>
      </w:pPr>
      <w:r>
        <w:t xml:space="preserve">Why a hypergraph, and why versioned</w:t>
      </w:r>
    </w:p>
    <w:p>
      <w:pPr>
        <w:pStyle w:val="CaptionedFigure"/>
      </w:pPr>
      <w:r>
        <w:drawing>
          <wp:inline>
            <wp:extent cx="5969000" cy="3979333"/>
            <wp:effectExtent b="0" l="0" r="0" t="0"/>
            <wp:docPr descr="Figure 1. A hypergraph generalises a graph by letting a single edge connect N nodes at once." title="" id="21" name="Picture"/>
            <a:graphic>
              <a:graphicData uri="http://schemas.openxmlformats.org/drawingml/2006/picture">
                <pic:pic>
                  <pic:nvPicPr>
                    <pic:cNvPr descr="../../common/figures/fig-02-why-hypergraph.png" id="22" name="Picture"/>
                    <pic:cNvPicPr>
                      <a:picLocks noChangeArrowheads="1" noChangeAspect="1"/>
                    </pic:cNvPicPr>
                  </pic:nvPicPr>
                  <pic:blipFill>
                    <a:blip r:embed="rId20"/>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A hypergraph generalises a graph by letting a single edge connect</w:t>
      </w:r>
      <w:r>
        <w:t xml:space="preserve"> </w:t>
      </w:r>
      <m:oMath>
        <m:r>
          <m:t>N</m:t>
        </m:r>
      </m:oMath>
      <w:r>
        <w:t xml:space="preserve"> </w:t>
      </w:r>
      <w:r>
        <w:t xml:space="preserve">nodes at once.</w:t>
      </w:r>
    </w:p>
    <w:p>
      <w:pPr>
        <w:pStyle w:val="BodyText"/>
      </w:pPr>
      <w:r>
        <w:t xml:space="preserve">A standard graph has edges that connect exactly two nodes. That</w:t>
      </w:r>
      <w:r>
        <w:t xml:space="preserve"> </w:t>
      </w:r>
      <w:r>
        <w:t xml:space="preserve">primitive is expressive enough for A-is-related-to-B statements and</w:t>
      </w:r>
      <w:r>
        <w:t xml:space="preserve"> </w:t>
      </w:r>
      <w:r>
        <w:t xml:space="preserve">is the right model for friendship networks, call graphs, and citation</w:t>
      </w:r>
      <w:r>
        <w:t xml:space="preserve"> </w:t>
      </w:r>
      <w:r>
        <w:t xml:space="preserve">networks. It is the wrong model for a class of content that every</w:t>
      </w:r>
      <w:r>
        <w:t xml:space="preserve"> </w:t>
      </w:r>
      <w:r>
        <w:t xml:space="preserve">regulated enterprise and every long-running agent accumulates:</w:t>
      </w:r>
      <w:r>
        <w:t xml:space="preserve"> </w:t>
      </w:r>
      <w:r>
        <w:rPr>
          <w:iCs/>
          <w:i/>
        </w:rPr>
        <w:t xml:space="preserve">rule</w:t>
      </w:r>
      <w:r>
        <w:rPr>
          <w:iCs/>
          <w:i/>
        </w:rPr>
        <w:t xml:space="preserve"> </w:t>
      </w:r>
      <w:r>
        <w:rPr>
          <w:iCs/>
          <w:i/>
        </w:rPr>
        <w:t xml:space="preserve">sets</w:t>
      </w:r>
      <w:r>
        <w:t xml:space="preserve"> </w:t>
      </w:r>
      <w:r>
        <w:t xml:space="preserve">in which a single obligation or inference depends on several</w:t>
      </w:r>
      <w:r>
        <w:t xml:space="preserve"> </w:t>
      </w:r>
      <w:r>
        <w:t xml:space="preserve">propositions holding simultaneously.</w:t>
      </w:r>
    </w:p>
    <w:p>
      <w:pPr>
        <w:pStyle w:val="BodyText"/>
      </w:pPr>
      <w:r>
        <w:t xml:space="preserve">Consider a compliance example:</w:t>
      </w:r>
      <w:r>
        <w:t xml:space="preserve"> </w:t>
      </w:r>
      <w:r>
        <w:t xml:space="preserve">“</w:t>
      </w:r>
      <w:r>
        <w:t xml:space="preserve">For activity</w:t>
      </w:r>
      <w:r>
        <w:t xml:space="preserve"> </w:t>
      </w:r>
      <m:oMath>
        <m:r>
          <m:t>X</m:t>
        </m:r>
      </m:oMath>
      <w:r>
        <w:t xml:space="preserve">, conducted by actor</w:t>
      </w:r>
      <w:r>
        <w:t xml:space="preserve"> </w:t>
      </w:r>
      <m:oMath>
        <m:r>
          <m:t>Y</m:t>
        </m:r>
      </m:oMath>
      <w:r>
        <w:t xml:space="preserve">, in jurisdiction</w:t>
      </w:r>
      <w:r>
        <w:t xml:space="preserve"> </w:t>
      </w:r>
      <m:oMath>
        <m:r>
          <m:t>Z</m:t>
        </m:r>
      </m:oMath>
      <w:r>
        <w:t xml:space="preserve">, subject to exception</w:t>
      </w:r>
      <w:r>
        <w:t xml:space="preserve"> </w:t>
      </w:r>
      <m:oMath>
        <m:r>
          <m:t>E</m:t>
        </m:r>
      </m:oMath>
      <w:r>
        <w:t xml:space="preserve">, the reporting</w:t>
      </w:r>
      <w:r>
        <w:t xml:space="preserve"> </w:t>
      </w:r>
      <w:r>
        <w:t xml:space="preserve">rule is</w:t>
      </w:r>
      <w:r>
        <w:t xml:space="preserve"> </w:t>
      </w:r>
      <m:oMath>
        <m:r>
          <m:t>R</m:t>
        </m:r>
      </m:oMath>
      <w:r>
        <w:t xml:space="preserve">.</w:t>
      </w:r>
      <w:r>
        <w:t xml:space="preserve">”</w:t>
      </w:r>
      <w:r>
        <w:t xml:space="preserve"> </w:t>
      </w:r>
      <w:r>
        <w:t xml:space="preserve">There is no pairwise edge that captures this. There is</w:t>
      </w:r>
      <w:r>
        <w:t xml:space="preserve"> </w:t>
      </w:r>
      <w:r>
        <w:t xml:space="preserve">a simultaneous constraint over</w:t>
      </w:r>
      <w:r>
        <w:t xml:space="preserve"> </w:t>
      </w:r>
      <m:oMath>
        <m:r>
          <m:rPr>
            <m:sty m:val="p"/>
          </m:rPr>
          <m:t>{</m:t>
        </m:r>
        <m:r>
          <m:t>X</m:t>
        </m:r>
        <m:r>
          <m:rPr>
            <m:sty m:val="p"/>
          </m:rPr>
          <m:t>,</m:t>
        </m:r>
        <m:r>
          <m:t>Y</m:t>
        </m:r>
        <m:r>
          <m:rPr>
            <m:sty m:val="p"/>
          </m:rPr>
          <m:t>,</m:t>
        </m:r>
        <m:r>
          <m:t>Z</m:t>
        </m:r>
        <m:r>
          <m:rPr>
            <m:sty m:val="p"/>
          </m:rPr>
          <m:t>,</m:t>
        </m:r>
        <m:r>
          <m:t>E</m:t>
        </m:r>
        <m:r>
          <m:rPr>
            <m:sty m:val="p"/>
          </m:rPr>
          <m:t>,</m:t>
        </m:r>
        <m:r>
          <m:t>R</m:t>
        </m:r>
        <m:r>
          <m:rPr>
            <m:sty m:val="p"/>
          </m:rPr>
          <m:t>}</m:t>
        </m:r>
      </m:oMath>
      <w:r>
        <w:t xml:space="preserve"> </w:t>
      </w:r>
      <w:r>
        <w:t xml:space="preserve">that holds jointly</w:t>
      </w:r>
      <w:r>
        <w:t xml:space="preserve"> </w:t>
      </w:r>
      <w:r>
        <w:t xml:space="preserve">or not at all. Modelling it as a chain of pairwise edges loses the</w:t>
      </w:r>
      <w:r>
        <w:t xml:space="preserve"> </w:t>
      </w:r>
      <w:r>
        <w:t xml:space="preserve">joint semantics: a query asking</w:t>
      </w:r>
      <w:r>
        <w:t xml:space="preserve"> </w:t>
      </w:r>
      <w:r>
        <w:t xml:space="preserve">“</w:t>
      </w:r>
      <w:r>
        <w:t xml:space="preserve">when does</w:t>
      </w:r>
      <w:r>
        <w:t xml:space="preserve"> </w:t>
      </w:r>
      <m:oMath>
        <m:r>
          <m:t>R</m:t>
        </m:r>
      </m:oMath>
      <w:r>
        <w:t xml:space="preserve"> </w:t>
      </w:r>
      <w:r>
        <w:t xml:space="preserve">apply?</w:t>
      </w:r>
      <w:r>
        <w:t xml:space="preserve">”</w:t>
      </w:r>
      <w:r>
        <w:t xml:space="preserve"> </w:t>
      </w:r>
      <w:r>
        <w:t xml:space="preserve">returns</w:t>
      </w:r>
      <w:r>
        <w:t xml:space="preserve"> </w:t>
      </w:r>
      <w:r>
        <w:t xml:space="preserve">partial answers that a reasoner must reconstruct. A hypergraph avoids</w:t>
      </w:r>
      <w:r>
        <w:t xml:space="preserve"> </w:t>
      </w:r>
      <w:r>
        <w:t xml:space="preserve">the reconstruction.</w:t>
      </w:r>
    </w:p>
    <w:p>
      <w:pPr>
        <w:pStyle w:val="BodyText"/>
      </w:pPr>
      <w:r>
        <w:t xml:space="preserve">The second choice —</w:t>
      </w:r>
      <w:r>
        <w:t xml:space="preserve"> </w:t>
      </w:r>
      <w:r>
        <w:rPr>
          <w:iCs/>
          <w:i/>
        </w:rPr>
        <w:t xml:space="preserve">versioned and immutable</w:t>
      </w:r>
      <w:r>
        <w:t xml:space="preserve"> </w:t>
      </w:r>
      <w:r>
        <w:t xml:space="preserve">— follows from the</w:t>
      </w:r>
      <w:r>
        <w:t xml:space="preserve"> </w:t>
      </w:r>
      <w:r>
        <w:t xml:space="preserve">audit requirement. Regulated systems routinely need to answer</w:t>
      </w:r>
      <w:r>
        <w:t xml:space="preserve"> </w:t>
      </w:r>
      <w:r>
        <w:t xml:space="preserve">“</w:t>
      </w:r>
      <w:r>
        <w:t xml:space="preserve">what</w:t>
      </w:r>
      <w:r>
        <w:t xml:space="preserve"> </w:t>
      </w:r>
      <w:r>
        <w:t xml:space="preserve">was the rule on date</w:t>
      </w:r>
      <w:r>
        <w:t xml:space="preserve"> </w:t>
      </w:r>
      <m:oMath>
        <m:r>
          <m:t>t</m:t>
        </m:r>
      </m:oMath>
      <w:r>
        <w:t xml:space="preserve">?</w:t>
      </w:r>
      <w:r>
        <w:t xml:space="preserve">”</w:t>
      </w:r>
      <w:r>
        <w:t xml:space="preserve"> </w:t>
      </w:r>
      <w:r>
        <w:t xml:space="preserve">and</w:t>
      </w:r>
      <w:r>
        <w:t xml:space="preserve"> </w:t>
      </w:r>
      <w:r>
        <w:t xml:space="preserve">“</w:t>
      </w:r>
      <w:r>
        <w:t xml:space="preserve">which rules led to this decision?</w:t>
      </w:r>
      <w:r>
        <w:t xml:space="preserve">”</w:t>
      </w:r>
      <w:r>
        <w:t xml:space="preserve"> </w:t>
      </w:r>
      <w:r>
        <w:t xml:space="preserve">Mutable graphs lose that property: rules are updated in place, and</w:t>
      </w:r>
      <w:r>
        <w:t xml:space="preserve"> </w:t>
      </w:r>
      <w:r>
        <w:t xml:space="preserve">the graph state at</w:t>
      </w:r>
      <w:r>
        <w:t xml:space="preserve"> </w:t>
      </w:r>
      <m:oMath>
        <m:r>
          <m:t>t</m:t>
        </m:r>
      </m:oMath>
      <w:r>
        <w:t xml:space="preserve"> </w:t>
      </w:r>
      <w:r>
        <w:t xml:space="preserve">can only be reconstructed by replaying a log.</w:t>
      </w:r>
      <w:r>
        <w:t xml:space="preserve"> </w:t>
      </w:r>
      <w:r>
        <w:t xml:space="preserve">An immutable versioned hypergraph makes every intermediate state</w:t>
      </w:r>
      <w:r>
        <w:t xml:space="preserve"> </w:t>
      </w:r>
      <w:r>
        <w:t xml:space="preserve">addressable and comparable; the graph state at</w:t>
      </w:r>
      <w:r>
        <w:t xml:space="preserve"> </w:t>
      </w:r>
      <m:oMath>
        <m:r>
          <m:t>t</m:t>
        </m:r>
      </m:oMath>
      <w:r>
        <w:t xml:space="preserve"> </w:t>
      </w:r>
      <w:r>
        <w:t xml:space="preserve">is always</w:t>
      </w:r>
      <w:r>
        <w:t xml:space="preserve"> </w:t>
      </w:r>
      <w:r>
        <w:t xml:space="preserve">available as a first-class object.</w:t>
      </w:r>
    </w:p>
    <w:p>
      <w:pPr>
        <w:pStyle w:val="BodyText"/>
      </w:pPr>
      <w:r>
        <w:t xml:space="preserve">QHG is the combination: a hypergraph whose edges carry typed</w:t>
      </w:r>
      <w:r>
        <w:t xml:space="preserve"> </w:t>
      </w:r>
      <w:r>
        <w:t xml:space="preserve">semantics (dependency, conflict, activation) and whose state is</w:t>
      </w:r>
      <w:r>
        <w:t xml:space="preserve"> </w:t>
      </w:r>
      <w:r>
        <w:t xml:space="preserve">immutable and versioned.</w:t>
      </w:r>
    </w:p>
    <w:bookmarkEnd w:id="23"/>
    <w:bookmarkStart w:id="27" w:name="the-qhg-data-model"/>
    <w:p>
      <w:pPr>
        <w:pStyle w:val="Heading1"/>
      </w:pPr>
      <w:r>
        <w:t xml:space="preserve">The QHG data model</w:t>
      </w:r>
    </w:p>
    <w:bookmarkStart w:id="24" w:name="nodes"/>
    <w:p>
      <w:pPr>
        <w:pStyle w:val="Heading2"/>
      </w:pPr>
      <w:r>
        <w:t xml:space="preserve">Nodes</w:t>
      </w:r>
    </w:p>
    <w:p>
      <w:pPr>
        <w:pStyle w:val="FirstParagraph"/>
      </w:pPr>
      <w:r>
        <w:t xml:space="preserve">QHG has four node types, corresponding to the four atomic units of</w:t>
      </w:r>
      <w:r>
        <w:t xml:space="preserve"> </w:t>
      </w:r>
      <w:r>
        <w:t xml:space="preserve">rule-bearing 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Meaning</w:t>
            </w:r>
          </w:p>
        </w:tc>
      </w:tr>
      <w:tr>
        <w:tc>
          <w:tcPr/>
          <w:p>
            <w:pPr>
              <w:pStyle w:val="Compact"/>
              <w:jc w:val="left"/>
            </w:pPr>
            <w:r>
              <w:rPr>
                <w:rStyle w:val="VerbatimChar"/>
              </w:rPr>
              <w:t xml:space="preserve">rule</w:t>
            </w:r>
          </w:p>
        </w:tc>
        <w:tc>
          <w:tcPr/>
          <w:p>
            <w:pPr>
              <w:pStyle w:val="Compact"/>
              <w:jc w:val="left"/>
            </w:pPr>
            <w:r>
              <w:t xml:space="preserve">A structured conditional statement (trigger, condition, action, exception).</w:t>
            </w:r>
          </w:p>
        </w:tc>
      </w:tr>
      <w:tr>
        <w:tc>
          <w:tcPr/>
          <w:p>
            <w:pPr>
              <w:pStyle w:val="Compact"/>
              <w:jc w:val="left"/>
            </w:pPr>
            <w:r>
              <w:rPr>
                <w:rStyle w:val="VerbatimChar"/>
              </w:rPr>
              <w:t xml:space="preserve">condition</w:t>
            </w:r>
          </w:p>
        </w:tc>
        <w:tc>
          <w:tcPr/>
          <w:p>
            <w:pPr>
              <w:pStyle w:val="Compact"/>
              <w:jc w:val="left"/>
            </w:pPr>
            <w:r>
              <w:t xml:space="preserve">A predicate extracted from a rule’s body.</w:t>
            </w:r>
          </w:p>
        </w:tc>
      </w:tr>
      <w:tr>
        <w:tc>
          <w:tcPr/>
          <w:p>
            <w:pPr>
              <w:pStyle w:val="Compact"/>
              <w:jc w:val="left"/>
            </w:pPr>
            <w:r>
              <w:rPr>
                <w:rStyle w:val="VerbatimChar"/>
              </w:rPr>
              <w:t xml:space="preserve">action</w:t>
            </w:r>
          </w:p>
        </w:tc>
        <w:tc>
          <w:tcPr/>
          <w:p>
            <w:pPr>
              <w:pStyle w:val="Compact"/>
              <w:jc w:val="left"/>
            </w:pPr>
            <w:r>
              <w:t xml:space="preserve">The obligation or outcome the rule imposes.</w:t>
            </w:r>
          </w:p>
        </w:tc>
      </w:tr>
      <w:tr>
        <w:tc>
          <w:tcPr/>
          <w:p>
            <w:pPr>
              <w:pStyle w:val="Compact"/>
              <w:jc w:val="left"/>
            </w:pPr>
            <w:r>
              <w:rPr>
                <w:rStyle w:val="VerbatimChar"/>
              </w:rPr>
              <w:t xml:space="preserve">entity</w:t>
            </w:r>
          </w:p>
        </w:tc>
        <w:tc>
          <w:tcPr/>
          <w:p>
            <w:pPr>
              <w:pStyle w:val="Compact"/>
              <w:jc w:val="left"/>
            </w:pPr>
            <w:r>
              <w:t xml:space="preserve">A real-world referent (actor, jurisdiction, time window, artefact).</w:t>
            </w:r>
          </w:p>
        </w:tc>
      </w:tr>
    </w:tbl>
    <w:p>
      <w:pPr>
        <w:pStyle w:val="BodyText"/>
      </w:pPr>
      <w:r>
        <w:t xml:space="preserve">Nodes are content-addressed: a</w:t>
      </w:r>
      <w:r>
        <w:t xml:space="preserve"> </w:t>
      </w:r>
      <w:r>
        <w:rPr>
          <w:rStyle w:val="VerbatimChar"/>
        </w:rPr>
        <w:t xml:space="preserve">rule</w:t>
      </w:r>
      <w:r>
        <w:t xml:space="preserve"> </w:t>
      </w:r>
      <w:r>
        <w:t xml:space="preserve">node’s identity is the hash of</w:t>
      </w:r>
      <w:r>
        <w:t xml:space="preserve"> </w:t>
      </w:r>
      <w:r>
        <w:t xml:space="preserve">its QNR2 AST, so two identical rules extracted from different sources</w:t>
      </w:r>
      <w:r>
        <w:t xml:space="preserve"> </w:t>
      </w:r>
      <w:r>
        <w:t xml:space="preserve">produce the same node.</w:t>
      </w:r>
    </w:p>
    <w:bookmarkEnd w:id="24"/>
    <w:bookmarkStart w:id="25" w:name="hyperedges"/>
    <w:p>
      <w:pPr>
        <w:pStyle w:val="Heading2"/>
      </w:pPr>
      <w:r>
        <w:t xml:space="preserve">Hyperedges</w:t>
      </w:r>
    </w:p>
    <w:p>
      <w:pPr>
        <w:pStyle w:val="FirstParagraph"/>
      </w:pPr>
      <w:r>
        <w:t xml:space="preserve">Hyperedges connect arbitrary numbers of nodes. They carry a type</w:t>
      </w:r>
      <w:r>
        <w:t xml:space="preserve"> </w:t>
      </w:r>
      <w:r>
        <w:t xml:space="preserve">from a closed taxonomy: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Semantic</w:t>
            </w:r>
          </w:p>
        </w:tc>
      </w:tr>
      <w:tr>
        <w:tc>
          <w:tcPr/>
          <w:p>
            <w:pPr>
              <w:pStyle w:val="Compact"/>
              <w:jc w:val="left"/>
            </w:pPr>
            <w:r>
              <w:rPr>
                <w:rStyle w:val="VerbatimChar"/>
              </w:rPr>
              <w:t xml:space="preserve">dependency</w:t>
            </w:r>
          </w:p>
        </w:tc>
        <w:tc>
          <w:tcPr/>
          <w:p>
            <w:pPr>
              <w:pStyle w:val="Compact"/>
              <w:jc w:val="left"/>
            </w:pPr>
            <w:r>
              <w:t xml:space="preserve">Edge connects a rule that depends on one or more other rules for activation, scope, or precedence.</w:t>
            </w:r>
          </w:p>
        </w:tc>
      </w:tr>
      <w:tr>
        <w:tc>
          <w:tcPr/>
          <w:p>
            <w:pPr>
              <w:pStyle w:val="Compact"/>
              <w:jc w:val="left"/>
            </w:pPr>
            <w:r>
              <w:rPr>
                <w:rStyle w:val="VerbatimChar"/>
              </w:rPr>
              <w:t xml:space="preserve">conflict</w:t>
            </w:r>
          </w:p>
        </w:tc>
        <w:tc>
          <w:tcPr/>
          <w:p>
            <w:pPr>
              <w:pStyle w:val="Compact"/>
              <w:jc w:val="left"/>
            </w:pPr>
            <w:r>
              <w:t xml:space="preserve">Edge connects two or more rules that produce contradictory outcomes on a shared trigger. Carries a</w:t>
            </w:r>
            <w:r>
              <w:t xml:space="preserve"> </w:t>
            </w:r>
            <w:r>
              <w:rPr>
                <w:iCs/>
                <w:i/>
              </w:rPr>
              <w:t xml:space="preserve">severity</w:t>
            </w:r>
            <w:r>
              <w:t xml:space="preserve"> </w:t>
            </w:r>
            <w:r>
              <w:t xml:space="preserve">and a</w:t>
            </w:r>
            <w:r>
              <w:t xml:space="preserve"> </w:t>
            </w:r>
            <w:r>
              <w:rPr>
                <w:iCs/>
                <w:i/>
              </w:rPr>
              <w:t xml:space="preserve">signed interference value</w:t>
            </w:r>
            <w:r>
              <w:t xml:space="preserve">.</w:t>
            </w:r>
          </w:p>
        </w:tc>
      </w:tr>
      <w:tr>
        <w:tc>
          <w:tcPr/>
          <w:p>
            <w:pPr>
              <w:pStyle w:val="Compact"/>
              <w:jc w:val="left"/>
            </w:pPr>
            <w:r>
              <w:rPr>
                <w:rStyle w:val="VerbatimChar"/>
              </w:rPr>
              <w:t xml:space="preserve">overlap</w:t>
            </w:r>
          </w:p>
        </w:tc>
        <w:tc>
          <w:tcPr/>
          <w:p>
            <w:pPr>
              <w:pStyle w:val="Compact"/>
              <w:jc w:val="left"/>
            </w:pPr>
            <w:r>
              <w:t xml:space="preserve">Edge connects two or more rules whose conditions intersect without necessarily contradicting.</w:t>
            </w:r>
          </w:p>
        </w:tc>
      </w:tr>
      <w:tr>
        <w:tc>
          <w:tcPr/>
          <w:p>
            <w:pPr>
              <w:pStyle w:val="Compact"/>
              <w:jc w:val="left"/>
            </w:pPr>
            <w:r>
              <w:rPr>
                <w:rStyle w:val="VerbatimChar"/>
              </w:rPr>
              <w:t xml:space="preserve">activation</w:t>
            </w:r>
          </w:p>
        </w:tc>
        <w:tc>
          <w:tcPr/>
          <w:p>
            <w:pPr>
              <w:pStyle w:val="Compact"/>
              <w:jc w:val="left"/>
            </w:pPr>
            <w:r>
              <w:t xml:space="preserve">Edge connects a rule to the conditions and entities that activate it.</w:t>
            </w:r>
          </w:p>
        </w:tc>
      </w:tr>
      <w:tr>
        <w:tc>
          <w:tcPr/>
          <w:p>
            <w:pPr>
              <w:pStyle w:val="Compact"/>
              <w:jc w:val="left"/>
            </w:pPr>
            <w:r>
              <w:rPr>
                <w:rStyle w:val="VerbatimChar"/>
              </w:rPr>
              <w:t xml:space="preserve">derivation</w:t>
            </w:r>
          </w:p>
        </w:tc>
        <w:tc>
          <w:tcPr/>
          <w:p>
            <w:pPr>
              <w:pStyle w:val="Compact"/>
              <w:jc w:val="left"/>
            </w:pPr>
            <w:r>
              <w:t xml:space="preserve">Edge connects a rule to its source span in the ingested document.</w:t>
            </w:r>
          </w:p>
        </w:tc>
      </w:tr>
      <w:tr>
        <w:tc>
          <w:tcPr/>
          <w:p>
            <w:pPr>
              <w:pStyle w:val="Compact"/>
              <w:jc w:val="left"/>
            </w:pPr>
            <w:r>
              <w:rPr>
                <w:rStyle w:val="VerbatimChar"/>
              </w:rPr>
              <w:t xml:space="preserve">supersession</w:t>
            </w:r>
          </w:p>
        </w:tc>
        <w:tc>
          <w:tcPr/>
          <w:p>
            <w:pPr>
              <w:pStyle w:val="Compact"/>
              <w:jc w:val="left"/>
            </w:pPr>
            <w:r>
              <w:t xml:space="preserve">Edge connects a rule version to the version it replaces.</w:t>
            </w:r>
          </w:p>
        </w:tc>
      </w:tr>
    </w:tbl>
    <w:p>
      <w:pPr>
        <w:pStyle w:val="BodyText"/>
      </w:pPr>
      <w:r>
        <w:t xml:space="preserve">Six types cover the full reasoning surface QAG exposes. Extensions</w:t>
      </w:r>
      <w:r>
        <w:t xml:space="preserve"> </w:t>
      </w:r>
      <w:r>
        <w:t xml:space="preserve">are treated as</w:t>
      </w:r>
      <w:r>
        <w:t xml:space="preserve"> </w:t>
      </w:r>
      <w:r>
        <w:rPr>
          <w:iCs/>
          <w:i/>
        </w:rPr>
        <w:t xml:space="preserve">new</w:t>
      </w:r>
      <w:r>
        <w:t xml:space="preserve"> </w:t>
      </w:r>
      <w:r>
        <w:t xml:space="preserve">types with their own semantics, versioned, not</w:t>
      </w:r>
      <w:r>
        <w:t xml:space="preserve"> </w:t>
      </w:r>
      <w:r>
        <w:t xml:space="preserve">as variations on existing types.</w:t>
      </w:r>
    </w:p>
    <w:bookmarkEnd w:id="25"/>
    <w:bookmarkStart w:id="26" w:name="versioning"/>
    <w:p>
      <w:pPr>
        <w:pStyle w:val="Heading2"/>
      </w:pPr>
      <w:r>
        <w:t xml:space="preserve">Versioning</w:t>
      </w:r>
    </w:p>
    <w:p>
      <w:pPr>
        <w:pStyle w:val="FirstParagraph"/>
      </w:pPr>
      <w:r>
        <w:t xml:space="preserve">A QHG is immutable at the snapshot level. A single snapshot is a</w:t>
      </w:r>
      <w:r>
        <w:t xml:space="preserve"> </w:t>
      </w:r>
      <w:r>
        <w:t xml:space="preserve">content-addressed, acyclic commitment: the hash of its node set, edge</w:t>
      </w:r>
      <w:r>
        <w:t xml:space="preserve"> </w:t>
      </w:r>
      <w:r>
        <w:t xml:space="preserve">set, and type annotations. Updates produce a new snapshot. A</w:t>
      </w:r>
      <w:r>
        <w:t xml:space="preserve"> </w:t>
      </w:r>
      <w:r>
        <w:rPr>
          <w:iCs/>
          <w:i/>
        </w:rPr>
        <w:t xml:space="preserve">supersession</w:t>
      </w:r>
      <w:r>
        <w:t xml:space="preserve"> </w:t>
      </w:r>
      <w:r>
        <w:t xml:space="preserve">edge links the new snapshot’s version of a rule to</w:t>
      </w:r>
      <w:r>
        <w:t xml:space="preserve"> </w:t>
      </w:r>
      <w:r>
        <w:t xml:space="preserve">its predecessor.</w:t>
      </w:r>
    </w:p>
    <w:p>
      <w:pPr>
        <w:pStyle w:val="BodyText"/>
      </w:pPr>
      <w:r>
        <w:t xml:space="preserve">Three concrete properties follow.</w:t>
      </w:r>
    </w:p>
    <w:p>
      <w:pPr>
        <w:pStyle w:val="BodyText"/>
      </w:pPr>
      <w:r>
        <w:rPr>
          <w:bCs/>
          <w:b/>
        </w:rPr>
        <w:t xml:space="preserve">Replay.</w:t>
      </w:r>
      <w:r>
        <w:t xml:space="preserve"> </w:t>
      </w:r>
      <w:r>
        <w:t xml:space="preserve">Any past answer produced by the QAG engine can be</w:t>
      </w:r>
      <w:r>
        <w:t xml:space="preserve"> </w:t>
      </w:r>
      <w:r>
        <w:t xml:space="preserve">replayed against the snapshot it was produced against. This is the</w:t>
      </w:r>
      <w:r>
        <w:t xml:space="preserve"> </w:t>
      </w:r>
      <w:r>
        <w:t xml:space="preserve">property that turns</w:t>
      </w:r>
      <w:r>
        <w:t xml:space="preserve"> </w:t>
      </w:r>
      <w:r>
        <w:t xml:space="preserve">“</w:t>
      </w:r>
      <w:r>
        <w:t xml:space="preserve">what rule was applied on date</w:t>
      </w:r>
      <w:r>
        <w:t xml:space="preserve"> </w:t>
      </w:r>
      <m:oMath>
        <m:r>
          <m:t>t</m:t>
        </m:r>
      </m:oMath>
      <w:r>
        <w:t xml:space="preserve">?</w:t>
      </w:r>
      <w:r>
        <w:t xml:space="preserve">”</w:t>
      </w:r>
      <w:r>
        <w:t xml:space="preserve"> </w:t>
      </w:r>
      <w:r>
        <w:t xml:space="preserve">from a</w:t>
      </w:r>
      <w:r>
        <w:t xml:space="preserve"> </w:t>
      </w:r>
      <w:r>
        <w:t xml:space="preserve">log-grep into a snapshot lookup.</w:t>
      </w:r>
    </w:p>
    <w:p>
      <w:pPr>
        <w:pStyle w:val="BodyText"/>
      </w:pPr>
      <w:r>
        <w:rPr>
          <w:bCs/>
          <w:b/>
        </w:rPr>
        <w:t xml:space="preserve">Diff.</w:t>
      </w:r>
      <w:r>
        <w:t xml:space="preserve"> </w:t>
      </w:r>
      <w:r>
        <w:t xml:space="preserve">Two snapshots admit a well-defined diff: nodes added,</w:t>
      </w:r>
      <w:r>
        <w:t xml:space="preserve"> </w:t>
      </w:r>
      <w:r>
        <w:t xml:space="preserve">nodes removed, edges added, edges removed, edge types changed. Diffs</w:t>
      </w:r>
      <w:r>
        <w:t xml:space="preserve"> </w:t>
      </w:r>
      <w:r>
        <w:t xml:space="preserve">are the atomic units of change-review.</w:t>
      </w:r>
    </w:p>
    <w:p>
      <w:pPr>
        <w:pStyle w:val="BodyText"/>
      </w:pPr>
      <w:r>
        <w:rPr>
          <w:bCs/>
          <w:b/>
        </w:rPr>
        <w:t xml:space="preserve">Branching.</w:t>
      </w:r>
      <w:r>
        <w:t xml:space="preserve"> </w:t>
      </w:r>
      <w:r>
        <w:t xml:space="preserve">A snapshot can be branched — a hypothetical rule</w:t>
      </w:r>
      <w:r>
        <w:t xml:space="preserve"> </w:t>
      </w:r>
      <w:r>
        <w:t xml:space="preserve">set, an upcoming regulatory change, a what-if analysis — without</w:t>
      </w:r>
      <w:r>
        <w:t xml:space="preserve"> </w:t>
      </w:r>
      <w:r>
        <w:t xml:space="preserve">touching the production graph. Branches merge back into mainline</w:t>
      </w:r>
      <w:r>
        <w:t xml:space="preserve"> </w:t>
      </w:r>
      <w:r>
        <w:t xml:space="preserve">under ordinary diff review.</w:t>
      </w:r>
    </w:p>
    <w:bookmarkEnd w:id="26"/>
    <w:bookmarkEnd w:id="27"/>
    <w:bookmarkStart w:id="31" w:name="query-interface"/>
    <w:p>
      <w:pPr>
        <w:pStyle w:val="Heading1"/>
      </w:pPr>
      <w:r>
        <w:t xml:space="preserve">Query interface</w:t>
      </w:r>
    </w:p>
    <w:p>
      <w:pPr>
        <w:pStyle w:val="FirstParagraph"/>
      </w:pPr>
      <w:r>
        <w:t xml:space="preserve">QHG queries are structural. Three primitive patterns cover the</w:t>
      </w:r>
      <w:r>
        <w:t xml:space="preserve"> </w:t>
      </w:r>
      <w:r>
        <w:t xml:space="preserve">majority of real deployments.</w:t>
      </w:r>
    </w:p>
    <w:bookmarkStart w:id="28" w:name="node-query-by-role"/>
    <w:p>
      <w:pPr>
        <w:pStyle w:val="Heading2"/>
      </w:pPr>
      <w:r>
        <w:t xml:space="preserve">Node-query by role</w:t>
      </w:r>
    </w:p>
    <w:p>
      <w:pPr>
        <w:pStyle w:val="FirstParagraph"/>
      </w:pPr>
      <w:r>
        <w:t xml:space="preserve">Return all rule nodes whose</w:t>
      </w:r>
      <w:r>
        <w:t xml:space="preserve"> </w:t>
      </w:r>
      <w:r>
        <w:rPr>
          <w:rStyle w:val="VerbatimChar"/>
        </w:rPr>
        <w:t xml:space="preserve">role</w:t>
      </w:r>
      <w:r>
        <w:t xml:space="preserve"> </w:t>
      </w:r>
      <w:r>
        <w:t xml:space="preserve">field matches a given value, or</w:t>
      </w:r>
      <w:r>
        <w:t xml:space="preserve"> </w:t>
      </w:r>
      <w:r>
        <w:t xml:space="preserve">whose structured AST matches a pattern. Example:</w:t>
      </w:r>
      <w:r>
        <w:t xml:space="preserve"> </w:t>
      </w:r>
      <w:r>
        <w:t xml:space="preserve">“</w:t>
      </w:r>
      <w:r>
        <w:t xml:space="preserve">every rule whose</w:t>
      </w:r>
      <w:r>
        <w:t xml:space="preserve"> </w:t>
      </w:r>
      <w:r>
        <w:rPr>
          <w:rStyle w:val="VerbatimChar"/>
        </w:rPr>
        <w:t xml:space="preserve">exception</w:t>
      </w:r>
      <w:r>
        <w:t xml:space="preserve"> </w:t>
      </w:r>
      <w:r>
        <w:t xml:space="preserve">mentions jurisdiction</w:t>
      </w:r>
      <w:r>
        <w:t xml:space="preserve"> </w:t>
      </w:r>
      <m:oMath>
        <m:r>
          <m:t>Z</m:t>
        </m:r>
      </m:oMath>
      <w:r>
        <w:t xml:space="preserve">”</w:t>
      </w:r>
      <w:r>
        <w:t xml:space="preserve">. Runs in</w:t>
      </w:r>
      <w:r>
        <w:t xml:space="preserve"> </w:t>
      </w:r>
      <m:oMath>
        <m:r>
          <m:t>O</m:t>
        </m:r>
        <m:d>
          <m:dPr>
            <m:begChr m:val="("/>
            <m:endChr m:val=")"/>
            <m:sepChr m:val=""/>
            <m:grow/>
          </m:dPr>
          <m:e>
            <m:d>
              <m:dPr>
                <m:begChr m:val="|"/>
                <m:endChr m:val="|"/>
                <m:sepChr m:val=""/>
                <m:grow/>
              </m:dPr>
              <m:e>
                <m:sSub>
                  <m:e>
                    <m:r>
                      <m:t>E</m:t>
                    </m:r>
                  </m:e>
                  <m:sub>
                    <m:r>
                      <m:rPr>
                        <m:nor/>
                        <m:sty m:val="p"/>
                      </m:rPr>
                      <m:t>exception</m:t>
                    </m:r>
                  </m:sub>
                </m:sSub>
              </m:e>
            </m:d>
          </m:e>
        </m:d>
      </m:oMath>
      <w:r>
        <w:t xml:space="preserve"> </w:t>
      </w:r>
      <w:r>
        <w:t xml:space="preserve">given an index on the</w:t>
      </w:r>
      <w:r>
        <w:t xml:space="preserve"> </w:t>
      </w:r>
      <w:r>
        <w:rPr>
          <w:rStyle w:val="VerbatimChar"/>
        </w:rPr>
        <w:t xml:space="preserve">exception</w:t>
      </w:r>
      <w:r>
        <w:t xml:space="preserve"> </w:t>
      </w:r>
      <w:r>
        <w:t xml:space="preserve">role.</w:t>
      </w:r>
    </w:p>
    <w:bookmarkEnd w:id="28"/>
    <w:bookmarkStart w:id="29" w:name="edge-query-by-type-and-degree"/>
    <w:p>
      <w:pPr>
        <w:pStyle w:val="Heading2"/>
      </w:pPr>
      <w:r>
        <w:t xml:space="preserve">Edge-query by type and degree</w:t>
      </w:r>
    </w:p>
    <w:p>
      <w:pPr>
        <w:pStyle w:val="FirstParagraph"/>
      </w:pPr>
      <w:r>
        <w:t xml:space="preserve">Return all hyperedges of type</w:t>
      </w:r>
      <w:r>
        <w:t xml:space="preserve"> </w:t>
      </w:r>
      <m:oMath>
        <m:r>
          <m:t>t</m:t>
        </m:r>
      </m:oMath>
      <w:r>
        <w:t xml:space="preserve"> </w:t>
      </w:r>
      <w:r>
        <w:t xml:space="preserve">whose cardinality matches a</w:t>
      </w:r>
      <w:r>
        <w:t xml:space="preserve"> </w:t>
      </w:r>
      <w:r>
        <w:t xml:space="preserve">predicate. Example:</w:t>
      </w:r>
      <w:r>
        <w:t xml:space="preserve"> </w:t>
      </w:r>
      <w:r>
        <w:t xml:space="preserve">“</w:t>
      </w:r>
      <w:r>
        <w:t xml:space="preserve">every</w:t>
      </w:r>
      <w:r>
        <w:t xml:space="preserve"> </w:t>
      </w:r>
      <w:r>
        <w:rPr>
          <w:rStyle w:val="VerbatimChar"/>
        </w:rPr>
        <w:t xml:space="preserve">conflict</w:t>
      </w:r>
      <w:r>
        <w:t xml:space="preserve"> </w:t>
      </w:r>
      <w:r>
        <w:t xml:space="preserve">edge of cardinality</w:t>
      </w:r>
      <w:r>
        <w:t xml:space="preserve"> </w:t>
      </w:r>
      <m:oMath>
        <m:r>
          <m:rPr>
            <m:sty m:val="p"/>
          </m:rPr>
          <m:t>≥</m:t>
        </m:r>
        <m:r>
          <m:t>3</m:t>
        </m:r>
      </m:oMath>
      <w:r>
        <w:t xml:space="preserve"> </w:t>
      </w:r>
      <w:r>
        <w:t xml:space="preserve">— three-way conflicts, which require escalation</w:t>
      </w:r>
      <w:r>
        <w:t xml:space="preserve">”</w:t>
      </w:r>
      <w:r>
        <w:t xml:space="preserve">. Runs in</w:t>
      </w:r>
      <w:r>
        <w:t xml:space="preserve"> </w:t>
      </w:r>
      <m:oMath>
        <m:r>
          <m:t>O</m:t>
        </m:r>
        <m:d>
          <m:dPr>
            <m:begChr m:val="("/>
            <m:endChr m:val=")"/>
            <m:sepChr m:val=""/>
            <m:grow/>
          </m:dPr>
          <m:e>
            <m:d>
              <m:dPr>
                <m:begChr m:val="|"/>
                <m:endChr m:val="|"/>
                <m:sepChr m:val=""/>
                <m:grow/>
              </m:dPr>
              <m:e>
                <m:sSub>
                  <m:e>
                    <m:r>
                      <m:t>E</m:t>
                    </m:r>
                  </m:e>
                  <m:sub>
                    <m:r>
                      <m:rPr>
                        <m:nor/>
                        <m:sty m:val="p"/>
                      </m:rPr>
                      <m:t>conflict</m:t>
                    </m:r>
                  </m:sub>
                </m:sSub>
              </m:e>
            </m:d>
          </m:e>
        </m:d>
      </m:oMath>
      <w:r>
        <w:t xml:space="preserve">.</w:t>
      </w:r>
    </w:p>
    <w:bookmarkEnd w:id="29"/>
    <w:bookmarkStart w:id="30" w:name="X487870a31f59ebdc8178a62813d5e34266e7c27"/>
    <w:p>
      <w:pPr>
        <w:pStyle w:val="Heading2"/>
      </w:pPr>
      <w:r>
        <w:t xml:space="preserve">Neighbourhood-query with Hilbert-space weights</w:t>
      </w:r>
    </w:p>
    <w:p>
      <w:pPr>
        <w:pStyle w:val="FirstParagraph"/>
      </w:pPr>
      <w:r>
        <w:t xml:space="preserve">Starting from a set of seed nodes, expand neighbourhoods along a</w:t>
      </w:r>
      <w:r>
        <w:t xml:space="preserve"> </w:t>
      </w:r>
      <w:r>
        <w:t xml:space="preserve">chosen edge type up to depth</w:t>
      </w:r>
      <w:r>
        <w:t xml:space="preserve"> </w:t>
      </w:r>
      <m:oMath>
        <m:r>
          <m:t>d</m:t>
        </m:r>
      </m:oMath>
      <w:r>
        <w:t xml:space="preserve">, with the results re-ranked by the</w:t>
      </w:r>
      <w:r>
        <w:t xml:space="preserve"> </w:t>
      </w:r>
      <w:r>
        <w:t xml:space="preserve">HSC signal appropriate to the edge type. Example:</w:t>
      </w:r>
      <w:r>
        <w:t xml:space="preserve"> </w:t>
      </w:r>
      <w:r>
        <w:t xml:space="preserve">“</w:t>
      </w:r>
      <w:r>
        <w:t xml:space="preserve">every rule</w:t>
      </w:r>
      <w:r>
        <w:t xml:space="preserve"> </w:t>
      </w:r>
      <w:r>
        <w:t xml:space="preserve">connected to rule</w:t>
      </w:r>
      <w:r>
        <w:t xml:space="preserve"> </w:t>
      </w:r>
      <m:oMath>
        <m:r>
          <m:t>R</m:t>
        </m:r>
      </m:oMath>
      <w:r>
        <w:t xml:space="preserve"> </w:t>
      </w:r>
      <w:r>
        <w:t xml:space="preserve">by a</w:t>
      </w:r>
      <w:r>
        <w:t xml:space="preserve"> </w:t>
      </w:r>
      <w:r>
        <w:rPr>
          <w:rStyle w:val="VerbatimChar"/>
        </w:rPr>
        <w:t xml:space="preserve">conflict</w:t>
      </w:r>
      <w:r>
        <w:t xml:space="preserve"> </w:t>
      </w:r>
      <w:r>
        <w:t xml:space="preserve">edge, re-ranked by the</w:t>
      </w:r>
      <w:r>
        <w:t xml:space="preserve"> </w:t>
      </w:r>
      <w:r>
        <w:t xml:space="preserve">interference signal’s absolute magnitude</w:t>
      </w:r>
      <w:r>
        <w:t xml:space="preserve">”</w:t>
      </w:r>
      <w:r>
        <w:t xml:space="preserve">. Runs in</w:t>
      </w:r>
      <w:r>
        <w:t xml:space="preserve"> </w:t>
      </w:r>
      <m:oMath>
        <m:r>
          <m:t>O</m:t>
        </m:r>
        <m:d>
          <m:dPr>
            <m:begChr m:val="("/>
            <m:endChr m:val=")"/>
            <m:sepChr m:val=""/>
            <m:grow/>
          </m:dPr>
          <m:e>
            <m:r>
              <m:t>d</m:t>
            </m:r>
            <m:r>
              <m:rPr>
                <m:sty m:val="p"/>
              </m:rPr>
              <m:t>⋅</m:t>
            </m:r>
            <m:r>
              <m:rPr>
                <m:nor/>
                <m:sty m:val="p"/>
              </m:rPr>
              <m:t>avg-degree</m:t>
            </m:r>
          </m:e>
        </m:d>
      </m:oMath>
      <w:r>
        <w:t xml:space="preserve"> </w:t>
      </w:r>
      <w:r>
        <w:t xml:space="preserve">with HSC re-ranking a</w:t>
      </w:r>
      <w:r>
        <w:t xml:space="preserve"> </w:t>
      </w:r>
      <m:oMath>
        <m:r>
          <m:t>O</m:t>
        </m:r>
        <m:d>
          <m:dPr>
            <m:begChr m:val="("/>
            <m:endChr m:val=")"/>
            <m:sepChr m:val=""/>
            <m:grow/>
          </m:dPr>
          <m:e>
            <m:r>
              <m:t>k</m:t>
            </m:r>
            <m:r>
              <m:t>d</m:t>
            </m:r>
          </m:e>
        </m:d>
      </m:oMath>
      <w:r>
        <w:t xml:space="preserve"> </w:t>
      </w:r>
      <w:r>
        <w:t xml:space="preserve">operation in the embedding dimension.</w:t>
      </w:r>
    </w:p>
    <w:p>
      <w:pPr>
        <w:pStyle w:val="BodyText"/>
      </w:pPr>
      <w:r>
        <w:t xml:space="preserve">The three primitives compose. A full compliance query —</w:t>
      </w:r>
      <w:r>
        <w:t xml:space="preserve"> </w:t>
      </w:r>
      <w:r>
        <w:t xml:space="preserve">“</w:t>
      </w:r>
      <w:r>
        <w:t xml:space="preserve">every</w:t>
      </w:r>
      <w:r>
        <w:t xml:space="preserve"> </w:t>
      </w:r>
      <w:r>
        <w:t xml:space="preserve">active rule in jurisdiction</w:t>
      </w:r>
      <w:r>
        <w:t xml:space="preserve"> </w:t>
      </w:r>
      <m:oMath>
        <m:r>
          <m:t>Z</m:t>
        </m:r>
      </m:oMath>
      <w:r>
        <w:t xml:space="preserve"> </w:t>
      </w:r>
      <w:r>
        <w:t xml:space="preserve">that is in conflict with company</w:t>
      </w:r>
      <w:r>
        <w:t xml:space="preserve"> </w:t>
      </w:r>
      <w:r>
        <w:t xml:space="preserve">policy</w:t>
      </w:r>
      <w:r>
        <w:t xml:space="preserve"> </w:t>
      </w:r>
      <m:oMath>
        <m:r>
          <m:t>P</m:t>
        </m:r>
      </m:oMath>
      <w:r>
        <w:t xml:space="preserve">, with the strongest conflict listed first</w:t>
      </w:r>
      <w:r>
        <w:t xml:space="preserve">”</w:t>
      </w:r>
      <w:r>
        <w:t xml:space="preserve"> </w:t>
      </w:r>
      <w:r>
        <w:t xml:space="preserve">— is</w:t>
      </w:r>
      <w:r>
        <w:t xml:space="preserve"> </w:t>
      </w:r>
      <w:r>
        <w:t xml:space="preserve">expressible as a single composed expression over the three</w:t>
      </w:r>
      <w:r>
        <w:t xml:space="preserve"> </w:t>
      </w:r>
      <w:r>
        <w:t xml:space="preserve">primitives.</w:t>
      </w:r>
    </w:p>
    <w:bookmarkEnd w:id="30"/>
    <w:bookmarkEnd w:id="31"/>
    <w:bookmarkStart w:id="32" w:name="the-hilbert-space-signal-layer"/>
    <w:p>
      <w:pPr>
        <w:pStyle w:val="Heading1"/>
      </w:pPr>
      <w:r>
        <w:t xml:space="preserve">The Hilbert-space signal layer</w:t>
      </w:r>
    </w:p>
    <w:p>
      <w:pPr>
        <w:pStyle w:val="FirstParagraph"/>
      </w:pPr>
      <w:r>
        <w:t xml:space="preserve">QHG is the graph; HSC is the signal layer. Each HSC signal is a</w:t>
      </w:r>
      <w:r>
        <w:t xml:space="preserve"> </w:t>
      </w:r>
      <w:r>
        <w:t xml:space="preserve">closed-form projection of the joint state of a subset of QHG nodes</w:t>
      </w:r>
      <w:r>
        <w:t xml:space="preserve"> </w:t>
      </w:r>
      <w:r>
        <w:t xml:space="preserve">onto a named subspace of the underlying Hilbert space. Six of the</w:t>
      </w:r>
      <w:r>
        <w:t xml:space="preserve"> </w:t>
      </w:r>
      <w:r>
        <w:t xml:space="preserve">seven HSC signals described in [QGI-TR-2026-01] annotate QHG edges</w:t>
      </w:r>
      <w:r>
        <w:t xml:space="preserve"> </w:t>
      </w:r>
      <w:r>
        <w:t xml:space="preserve">directly: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HSC signal</w:t>
            </w:r>
          </w:p>
        </w:tc>
        <w:tc>
          <w:tcPr/>
          <w:p>
            <w:pPr>
              <w:pStyle w:val="Compact"/>
              <w:jc w:val="left"/>
            </w:pPr>
            <w:r>
              <w:t xml:space="preserve">QHG element annotated</w:t>
            </w:r>
          </w:p>
        </w:tc>
      </w:tr>
      <w:tr>
        <w:tc>
          <w:tcPr/>
          <w:p>
            <w:pPr>
              <w:pStyle w:val="Compact"/>
              <w:jc w:val="left"/>
            </w:pPr>
            <w:r>
              <w:t xml:space="preserve">Relevance</w:t>
            </w:r>
          </w:p>
        </w:tc>
        <w:tc>
          <w:tcPr/>
          <w:p>
            <w:pPr>
              <w:pStyle w:val="Compact"/>
              <w:jc w:val="left"/>
            </w:pPr>
            <w:r>
              <w:t xml:space="preserve">Rule nodes, ranked with respect to a query centroid</w:t>
            </w:r>
          </w:p>
        </w:tc>
      </w:tr>
      <w:tr>
        <w:tc>
          <w:tcPr/>
          <w:p>
            <w:pPr>
              <w:pStyle w:val="Compact"/>
              <w:jc w:val="left"/>
            </w:pPr>
            <w:r>
              <w:t xml:space="preserve">Conflict</w:t>
            </w:r>
          </w:p>
        </w:tc>
        <w:tc>
          <w:tcPr/>
          <w:p>
            <w:pPr>
              <w:pStyle w:val="Compact"/>
              <w:jc w:val="left"/>
            </w:pPr>
            <w:r>
              <w:t xml:space="preserve">Pairs of rule nodes joined by a</w:t>
            </w:r>
            <w:r>
              <w:t xml:space="preserve"> </w:t>
            </w:r>
            <w:r>
              <w:rPr>
                <w:rStyle w:val="VerbatimChar"/>
              </w:rPr>
              <w:t xml:space="preserve">conflict</w:t>
            </w:r>
            <w:r>
              <w:t xml:space="preserve"> </w:t>
            </w:r>
            <w:r>
              <w:t xml:space="preserve">edge; the edge carries the signed interference value</w:t>
            </w:r>
          </w:p>
        </w:tc>
      </w:tr>
      <w:tr>
        <w:tc>
          <w:tcPr/>
          <w:p>
            <w:pPr>
              <w:pStyle w:val="Compact"/>
              <w:jc w:val="left"/>
            </w:pPr>
            <w:r>
              <w:t xml:space="preserve">Overlap</w:t>
            </w:r>
          </w:p>
        </w:tc>
        <w:tc>
          <w:tcPr/>
          <w:p>
            <w:pPr>
              <w:pStyle w:val="Compact"/>
              <w:jc w:val="left"/>
            </w:pPr>
            <w:r>
              <w:t xml:space="preserve">Pairs of rule nodes joined by an</w:t>
            </w:r>
            <w:r>
              <w:t xml:space="preserve"> </w:t>
            </w:r>
            <w:r>
              <w:rPr>
                <w:rStyle w:val="VerbatimChar"/>
              </w:rPr>
              <w:t xml:space="preserve">overlap</w:t>
            </w:r>
            <w:r>
              <w:t xml:space="preserve"> </w:t>
            </w:r>
            <w:r>
              <w:t xml:space="preserve">edge; the edge carries the intersection percentage</w:t>
            </w:r>
          </w:p>
        </w:tc>
      </w:tr>
      <w:tr>
        <w:tc>
          <w:tcPr/>
          <w:p>
            <w:pPr>
              <w:pStyle w:val="Compact"/>
              <w:jc w:val="left"/>
            </w:pPr>
            <w:r>
              <w:t xml:space="preserve">Redundancy</w:t>
            </w:r>
          </w:p>
        </w:tc>
        <w:tc>
          <w:tcPr/>
          <w:p>
            <w:pPr>
              <w:pStyle w:val="Compact"/>
              <w:jc w:val="left"/>
            </w:pPr>
            <w:r>
              <w:t xml:space="preserve">Clusters of rule nodes; the cluster is a hyperedge of degree</w:t>
            </w:r>
            <w:r>
              <w:t xml:space="preserve"> </w:t>
            </w:r>
            <m:oMath>
              <m:r>
                <m:rPr>
                  <m:sty m:val="p"/>
                </m:rPr>
                <m:t>≥</m:t>
              </m:r>
              <m:r>
                <m:t>2</m:t>
              </m:r>
            </m:oMath>
          </w:p>
        </w:tc>
      </w:tr>
      <w:tr>
        <w:tc>
          <w:tcPr/>
          <w:p>
            <w:pPr>
              <w:pStyle w:val="Compact"/>
              <w:jc w:val="left"/>
            </w:pPr>
            <w:r>
              <w:t xml:space="preserve">Coverage</w:t>
            </w:r>
          </w:p>
        </w:tc>
        <w:tc>
          <w:tcPr/>
          <w:p>
            <w:pPr>
              <w:pStyle w:val="Compact"/>
              <w:jc w:val="left"/>
            </w:pPr>
            <w:r>
              <w:t xml:space="preserve">A map over entity nodes; the map is an annotation of the entity set</w:t>
            </w:r>
          </w:p>
        </w:tc>
      </w:tr>
      <w:tr>
        <w:tc>
          <w:tcPr/>
          <w:p>
            <w:pPr>
              <w:pStyle w:val="Compact"/>
              <w:jc w:val="left"/>
            </w:pPr>
            <w:r>
              <w:t xml:space="preserve">Topology</w:t>
            </w:r>
          </w:p>
        </w:tc>
        <w:tc>
          <w:tcPr/>
          <w:p>
            <w:pPr>
              <w:pStyle w:val="Compact"/>
              <w:jc w:val="left"/>
            </w:pPr>
            <w:r>
              <w:t xml:space="preserve">A set of graph-structural annotations on the QHG itself (components, cycles, reachability)</w:t>
            </w:r>
          </w:p>
        </w:tc>
      </w:tr>
    </w:tbl>
    <w:p>
      <w:pPr>
        <w:pStyle w:val="BodyText"/>
      </w:pPr>
      <w:r>
        <w:t xml:space="preserve">A signal is a</w:t>
      </w:r>
      <w:r>
        <w:t xml:space="preserve"> </w:t>
      </w:r>
      <w:r>
        <w:rPr>
          <w:iCs/>
          <w:i/>
        </w:rPr>
        <w:t xml:space="preserve">read</w:t>
      </w:r>
      <w:r>
        <w:t xml:space="preserve"> </w:t>
      </w:r>
      <w:r>
        <w:t xml:space="preserve">of the graph, not a</w:t>
      </w:r>
      <w:r>
        <w:t xml:space="preserve"> </w:t>
      </w:r>
      <w:r>
        <w:rPr>
          <w:iCs/>
          <w:i/>
        </w:rPr>
        <w:t xml:space="preserve">write</w:t>
      </w:r>
      <w:r>
        <w:t xml:space="preserve">: the QHG itself is</w:t>
      </w:r>
      <w:r>
        <w:t xml:space="preserve"> </w:t>
      </w:r>
      <w:r>
        <w:t xml:space="preserve">immutable, and the signal layer produces its annotations on demand</w:t>
      </w:r>
      <w:r>
        <w:t xml:space="preserve"> </w:t>
      </w:r>
      <w:r>
        <w:t xml:space="preserve">from the current snapshot. Caching is performed at the snapshot</w:t>
      </w:r>
      <w:r>
        <w:t xml:space="preserve"> </w:t>
      </w:r>
      <w:r>
        <w:t xml:space="preserve">level; annotations are content-addressed by (snapshot hash, signal</w:t>
      </w:r>
      <w:r>
        <w:t xml:space="preserve"> </w:t>
      </w:r>
      <w:r>
        <w:t xml:space="preserve">type).</w:t>
      </w:r>
    </w:p>
    <w:p>
      <w:pPr>
        <w:pStyle w:val="BodyText"/>
      </w:pPr>
      <w:r>
        <w:t xml:space="preserve">This separation is what gives QAG its reproducibility property.</w:t>
      </w:r>
      <w:r>
        <w:t xml:space="preserve"> </w:t>
      </w:r>
      <w:r>
        <w:t xml:space="preserve">Given a snapshot hash and a signal type, the annotation value is a</w:t>
      </w:r>
      <w:r>
        <w:t xml:space="preserve"> </w:t>
      </w:r>
      <w:r>
        <w:t xml:space="preserve">deterministic function of the two; two runs one month apart, on the</w:t>
      </w:r>
      <w:r>
        <w:t xml:space="preserve"> </w:t>
      </w:r>
      <w:r>
        <w:t xml:space="preserve">same snapshot, must produce the same annotation.</w:t>
      </w:r>
    </w:p>
    <w:bookmarkEnd w:id="32"/>
    <w:bookmarkStart w:id="37" w:name="comparison-with-existing-data-models"/>
    <w:p>
      <w:pPr>
        <w:pStyle w:val="Heading1"/>
      </w:pPr>
      <w:r>
        <w:t xml:space="preserve">Comparison with existing data models</w:t>
      </w:r>
    </w:p>
    <w:bookmarkStart w:id="33" w:name="Xae9b04d044fd897cb0167562f03b2b74515f1e1"/>
    <w:p>
      <w:pPr>
        <w:pStyle w:val="Heading2"/>
      </w:pPr>
      <w:r>
        <w:t xml:space="preserve">Property graphs (Neo4j, Memgraph, TigerGraph)</w:t>
      </w:r>
    </w:p>
    <w:p>
      <w:pPr>
        <w:pStyle w:val="FirstParagraph"/>
      </w:pPr>
      <w:r>
        <w:t xml:space="preserve">Property graphs use pairwise edges with key-value properties.</w:t>
      </w:r>
      <w:r>
        <w:t xml:space="preserve"> </w:t>
      </w:r>
      <w:r>
        <w:t xml:space="preserve">Joint constraints are expressible only by reification: a joint</w:t>
      </w:r>
      <w:r>
        <w:t xml:space="preserve"> </w:t>
      </w:r>
      <w:r>
        <w:t xml:space="preserve">constraint becomes a node, and each participant receives a pairwise</w:t>
      </w:r>
      <w:r>
        <w:t xml:space="preserve"> </w:t>
      </w:r>
      <w:r>
        <w:t xml:space="preserve">edge to the reified node. The reification works but inflates the</w:t>
      </w:r>
      <w:r>
        <w:t xml:space="preserve"> </w:t>
      </w:r>
      <w:r>
        <w:t xml:space="preserve">graph, obscures the underlying semantics, and requires schema</w:t>
      </w:r>
      <w:r>
        <w:t xml:space="preserve"> </w:t>
      </w:r>
      <w:r>
        <w:t xml:space="preserve">discipline that is difficult to maintain at scale.</w:t>
      </w:r>
    </w:p>
    <w:p>
      <w:pPr>
        <w:pStyle w:val="BodyText"/>
      </w:pPr>
      <w:r>
        <w:t xml:space="preserve">Property graphs have no first-class notion of immutability or</w:t>
      </w:r>
      <w:r>
        <w:t xml:space="preserve"> </w:t>
      </w:r>
      <w:r>
        <w:t xml:space="preserve">versioning; mainline property-graph backends are mutable. A</w:t>
      </w:r>
      <w:r>
        <w:t xml:space="preserve"> </w:t>
      </w:r>
      <w:r>
        <w:t xml:space="preserve">versioned deployment requires an application-level layer that</w:t>
      </w:r>
      <w:r>
        <w:t xml:space="preserve"> </w:t>
      </w:r>
      <w:r>
        <w:t xml:space="preserve">serialises snapshots, which is feasible but uncommon.</w:t>
      </w:r>
    </w:p>
    <w:bookmarkEnd w:id="33"/>
    <w:bookmarkStart w:id="34" w:name="rdf-triple-stores"/>
    <w:p>
      <w:pPr>
        <w:pStyle w:val="Heading2"/>
      </w:pPr>
      <w:r>
        <w:t xml:space="preserve">RDF / triple stores</w:t>
      </w:r>
    </w:p>
    <w:p>
      <w:pPr>
        <w:pStyle w:val="FirstParagraph"/>
      </w:pPr>
      <w:r>
        <w:t xml:space="preserve">RDF is the standards-based triple-store formalism behind the</w:t>
      </w:r>
      <w:r>
        <w:t xml:space="preserve"> </w:t>
      </w:r>
      <w:r>
        <w:t xml:space="preserve">semantic web. A triple</w:t>
      </w:r>
      <w:r>
        <w:t xml:space="preserve"> </w:t>
      </w:r>
      <m:oMath>
        <m:r>
          <m:rPr>
            <m:sty m:val="p"/>
          </m:rPr>
          <m:t>⟨</m:t>
        </m:r>
        <m:r>
          <m:t>s</m:t>
        </m:r>
        <m:r>
          <m:rPr>
            <m:sty m:val="p"/>
          </m:rPr>
          <m:t>,</m:t>
        </m:r>
        <m:r>
          <m:t>p</m:t>
        </m:r>
        <m:r>
          <m:rPr>
            <m:sty m:val="p"/>
          </m:rPr>
          <m:t>,</m:t>
        </m:r>
        <m:r>
          <m:t>o</m:t>
        </m:r>
        <m:r>
          <m:rPr>
            <m:sty m:val="p"/>
          </m:rPr>
          <m:t>⟩</m:t>
        </m:r>
      </m:oMath>
      <w:r>
        <w:t xml:space="preserve"> </w:t>
      </w:r>
      <w:r>
        <w:t xml:space="preserve">is, again, a</w:t>
      </w:r>
      <w:r>
        <w:t xml:space="preserve"> </w:t>
      </w:r>
      <w:r>
        <w:t xml:space="preserve">pairwise relation. Joint constraints are expressible through</w:t>
      </w:r>
      <w:r>
        <w:t xml:space="preserve"> </w:t>
      </w:r>
      <w:r>
        <w:t xml:space="preserve">reification via</w:t>
      </w:r>
      <w:r>
        <w:t xml:space="preserve"> </w:t>
      </w:r>
      <w:r>
        <w:rPr>
          <w:rStyle w:val="VerbatimChar"/>
        </w:rPr>
        <w:t xml:space="preserve">rdf:Statement</w:t>
      </w:r>
      <w:r>
        <w:t xml:space="preserve">, but reification is so cumbersome</w:t>
      </w:r>
      <w:r>
        <w:t xml:space="preserve"> </w:t>
      </w:r>
      <w:r>
        <w:t xml:space="preserve">in practice that few production deployments use it. Named graphs</w:t>
      </w:r>
      <w:r>
        <w:t xml:space="preserve"> </w:t>
      </w:r>
      <w:r>
        <w:t xml:space="preserve">provide partial snapshotting but do not give the diff or branch</w:t>
      </w:r>
      <w:r>
        <w:t xml:space="preserve"> </w:t>
      </w:r>
      <w:r>
        <w:t xml:space="preserve">semantics of an immutable snapshot model.</w:t>
      </w:r>
    </w:p>
    <w:bookmarkEnd w:id="34"/>
    <w:bookmarkStart w:id="35" w:name="Xd3c8105648be4708efd3e47f4699247241b4ee0"/>
    <w:p>
      <w:pPr>
        <w:pStyle w:val="Heading2"/>
      </w:pPr>
      <w:r>
        <w:t xml:space="preserve">Hypergraph databases (HyperGraphDB, Grakn / TypeDB)</w:t>
      </w:r>
    </w:p>
    <w:p>
      <w:pPr>
        <w:pStyle w:val="FirstParagraph"/>
      </w:pPr>
      <w:r>
        <w:t xml:space="preserve">HyperGraphDB</w:t>
      </w:r>
      <w:r>
        <w:t xml:space="preserve"> </w:t>
      </w:r>
      <w:r>
        <w:t xml:space="preserve">[@hypergraphdb]</w:t>
      </w:r>
      <w:r>
        <w:t xml:space="preserve"> </w:t>
      </w:r>
      <w:r>
        <w:t xml:space="preserve">and TypeDB provide general-purpose</w:t>
      </w:r>
      <w:r>
        <w:t xml:space="preserve"> </w:t>
      </w:r>
      <w:r>
        <w:t xml:space="preserve">hyperedge support. Both are mutable in their mainline deployments</w:t>
      </w:r>
      <w:r>
        <w:t xml:space="preserve"> </w:t>
      </w:r>
      <w:r>
        <w:t xml:space="preserve">and none provide the typed</w:t>
      </w:r>
      <w:r>
        <w:t xml:space="preserve"> </w:t>
      </w:r>
      <w:r>
        <w:rPr>
          <w:iCs/>
          <w:i/>
        </w:rPr>
        <w:t xml:space="preserve">conflict</w:t>
      </w:r>
      <w:r>
        <w:t xml:space="preserve">,</w:t>
      </w:r>
      <w:r>
        <w:t xml:space="preserve"> </w:t>
      </w:r>
      <w:r>
        <w:rPr>
          <w:iCs/>
          <w:i/>
        </w:rPr>
        <w:t xml:space="preserve">dependency</w:t>
      </w:r>
      <w:r>
        <w:t xml:space="preserve">, and</w:t>
      </w:r>
      <w:r>
        <w:t xml:space="preserve"> </w:t>
      </w:r>
      <w:r>
        <w:rPr>
          <w:iCs/>
          <w:i/>
        </w:rPr>
        <w:t xml:space="preserve">supersession</w:t>
      </w:r>
      <w:r>
        <w:t xml:space="preserve"> </w:t>
      </w:r>
      <w:r>
        <w:t xml:space="preserve">semantics, nor the signed-interference annotation</w:t>
      </w:r>
      <w:r>
        <w:t xml:space="preserve"> </w:t>
      </w:r>
      <w:r>
        <w:t xml:space="preserve">layer. They are viable substrates for QHG in principle; QGI’s</w:t>
      </w:r>
      <w:r>
        <w:t xml:space="preserve"> </w:t>
      </w:r>
      <w:r>
        <w:t xml:space="preserve">production deployment uses a custom backend because the indexing</w:t>
      </w:r>
      <w:r>
        <w:t xml:space="preserve"> </w:t>
      </w:r>
      <w:r>
        <w:t xml:space="preserve">patterns (signal-re-ranked neighbourhood queries, snapshot-level</w:t>
      </w:r>
      <w:r>
        <w:t xml:space="preserve"> </w:t>
      </w:r>
      <w:r>
        <w:t xml:space="preserve">content addressing) are not standard hypergraph-database operations.</w:t>
      </w:r>
    </w:p>
    <w:bookmarkEnd w:id="35"/>
    <w:bookmarkStart w:id="36" w:name="recent-hypergraph-in-rag-work"/>
    <w:p>
      <w:pPr>
        <w:pStyle w:val="Heading2"/>
      </w:pPr>
      <w:r>
        <w:t xml:space="preserve">Recent hypergraph-in-RAG work</w:t>
      </w:r>
    </w:p>
    <w:p>
      <w:pPr>
        <w:pStyle w:val="FirstParagraph"/>
      </w:pPr>
      <w:r>
        <w:t xml:space="preserve">A recent line of retrieval-augmented work has begun to use</w:t>
      </w:r>
      <w:r>
        <w:t xml:space="preserve"> </w:t>
      </w:r>
      <w:r>
        <w:t xml:space="preserve">hypergraphs over LLM-extracted facts (HyperGraphRAG</w:t>
      </w:r>
      <w:r>
        <w:t xml:space="preserve"> </w:t>
      </w:r>
      <w:r>
        <w:t xml:space="preserve">[@luo2024hypergraphrag]</w:t>
      </w:r>
      <w:r>
        <w:t xml:space="preserve">, others). These systems share the hyperedge</w:t>
      </w:r>
      <w:r>
        <w:t xml:space="preserve"> </w:t>
      </w:r>
      <w:r>
        <w:t xml:space="preserve">primitive with QHG but differ in three important respects:</w:t>
      </w:r>
    </w:p>
    <w:p>
      <w:pPr>
        <w:numPr>
          <w:ilvl w:val="0"/>
          <w:numId w:val="1001"/>
        </w:numPr>
        <w:pStyle w:val="Compact"/>
      </w:pPr>
      <w:r>
        <w:t xml:space="preserve">The graph is</w:t>
      </w:r>
      <w:r>
        <w:t xml:space="preserve"> </w:t>
      </w:r>
      <w:r>
        <w:rPr>
          <w:iCs/>
          <w:i/>
        </w:rPr>
        <w:t xml:space="preserve">built by an LLM at ingestion</w:t>
      </w:r>
      <w:r>
        <w:t xml:space="preserve">. QNR2 is</w:t>
      </w:r>
      <w:r>
        <w:t xml:space="preserve"> </w:t>
      </w:r>
      <w:r>
        <w:t xml:space="preserve">deterministic; the hypergraph is reproducible.</w:t>
      </w:r>
    </w:p>
    <w:p>
      <w:pPr>
        <w:numPr>
          <w:ilvl w:val="0"/>
          <w:numId w:val="1001"/>
        </w:numPr>
        <w:pStyle w:val="Compact"/>
      </w:pPr>
      <w:r>
        <w:rPr>
          <w:iCs/>
          <w:i/>
        </w:rPr>
        <w:t xml:space="preserve">Conflict</w:t>
      </w:r>
      <w:r>
        <w:t xml:space="preserve"> </w:t>
      </w:r>
      <w:r>
        <w:t xml:space="preserve">is not a first-class edge type. These systems retrieve</w:t>
      </w:r>
      <w:r>
        <w:t xml:space="preserve"> </w:t>
      </w:r>
      <w:r>
        <w:t xml:space="preserve">by similarity and merge contradictions.</w:t>
      </w:r>
    </w:p>
    <w:p>
      <w:pPr>
        <w:numPr>
          <w:ilvl w:val="0"/>
          <w:numId w:val="1001"/>
        </w:numPr>
        <w:pStyle w:val="Compact"/>
      </w:pPr>
      <w:r>
        <w:rPr>
          <w:iCs/>
          <w:i/>
        </w:rPr>
        <w:t xml:space="preserve">Immutability and versioning</w:t>
      </w:r>
      <w:r>
        <w:t xml:space="preserve"> </w:t>
      </w:r>
      <w:r>
        <w:t xml:space="preserve">are not modelled; the graph evolves</w:t>
      </w:r>
      <w:r>
        <w:t xml:space="preserve"> </w:t>
      </w:r>
      <w:r>
        <w:t xml:space="preserve">in place.</w:t>
      </w:r>
    </w:p>
    <w:p>
      <w:pPr>
        <w:pStyle w:val="FirstParagraph"/>
      </w:pPr>
      <w:r>
        <w:t xml:space="preserve">The difference matters in production. QHG’s immutability and</w:t>
      </w:r>
      <w:r>
        <w:t xml:space="preserve"> </w:t>
      </w:r>
      <w:r>
        <w:t xml:space="preserve">conflict-as-first-class-edge are the properties that make the graph</w:t>
      </w:r>
      <w:r>
        <w:t xml:space="preserve"> </w:t>
      </w:r>
      <w:r>
        <w:t xml:space="preserve">auditable, not merely queryable.</w:t>
      </w:r>
    </w:p>
    <w:bookmarkEnd w:id="36"/>
    <w:bookmarkEnd w:id="37"/>
    <w:bookmarkStart w:id="38" w:name="storage-and-implementation-notes"/>
    <w:p>
      <w:pPr>
        <w:pStyle w:val="Heading1"/>
      </w:pPr>
      <w:r>
        <w:t xml:space="preserve">Storage and implementation notes</w:t>
      </w:r>
    </w:p>
    <w:p>
      <w:pPr>
        <w:pStyle w:val="FirstParagraph"/>
      </w:pPr>
      <w:r>
        <w:t xml:space="preserve">QHG is implemented in the QGI reference deployment as a columnar</w:t>
      </w:r>
      <w:r>
        <w:t xml:space="preserve"> </w:t>
      </w:r>
      <w:r>
        <w:t xml:space="preserve">store with a content-addressed immutable layer underneath. The</w:t>
      </w:r>
      <w:r>
        <w:t xml:space="preserve"> </w:t>
      </w:r>
      <w:r>
        <w:t xml:space="preserve">production characteristics are:</w:t>
      </w:r>
    </w:p>
    <w:p>
      <w:pPr>
        <w:numPr>
          <w:ilvl w:val="0"/>
          <w:numId w:val="1002"/>
        </w:numPr>
        <w:pStyle w:val="Compact"/>
      </w:pPr>
      <w:r>
        <w:rPr>
          <w:bCs/>
          <w:b/>
        </w:rPr>
        <w:t xml:space="preserve">Node size</w:t>
      </w:r>
      <w:r>
        <w:t xml:space="preserve"> </w:t>
      </w:r>
      <w:r>
        <w:t xml:space="preserve">— 1,536-dimensional float16 embedding plus a JSON</w:t>
      </w:r>
      <w:r>
        <w:t xml:space="preserve"> </w:t>
      </w:r>
      <w:r>
        <w:t xml:space="preserve">AST; ~4 KB per rule node at rest.</w:t>
      </w:r>
    </w:p>
    <w:p>
      <w:pPr>
        <w:numPr>
          <w:ilvl w:val="0"/>
          <w:numId w:val="1002"/>
        </w:numPr>
        <w:pStyle w:val="Compact"/>
      </w:pPr>
      <w:r>
        <w:rPr>
          <w:bCs/>
          <w:b/>
        </w:rPr>
        <w:t xml:space="preserve">Edge size</w:t>
      </w:r>
      <w:r>
        <w:t xml:space="preserve"> </w:t>
      </w:r>
      <w:r>
        <w:t xml:space="preserve">— type tag, participant hashes, annotation</w:t>
      </w:r>
      <w:r>
        <w:t xml:space="preserve"> </w:t>
      </w:r>
      <w:r>
        <w:t xml:space="preserve">payload; ~256 B per simple hyperedge.</w:t>
      </w:r>
    </w:p>
    <w:p>
      <w:pPr>
        <w:numPr>
          <w:ilvl w:val="0"/>
          <w:numId w:val="1002"/>
        </w:numPr>
        <w:pStyle w:val="Compact"/>
      </w:pPr>
      <w:r>
        <w:rPr>
          <w:bCs/>
          <w:b/>
        </w:rPr>
        <w:t xml:space="preserve">Snapshot hash</w:t>
      </w:r>
      <w:r>
        <w:t xml:space="preserve"> </w:t>
      </w:r>
      <w:r>
        <w:t xml:space="preserve">— Merkle tree over nodes, edges, and type</w:t>
      </w:r>
      <w:r>
        <w:t xml:space="preserve"> </w:t>
      </w:r>
      <w:r>
        <w:t xml:space="preserve">annotations; enables</w:t>
      </w:r>
      <w:r>
        <w:t xml:space="preserve"> </w:t>
      </w:r>
      <m:oMath>
        <m:r>
          <m:t>O</m:t>
        </m:r>
        <m:d>
          <m:dPr>
            <m:begChr m:val="("/>
            <m:endChr m:val=")"/>
            <m:sepChr m:val=""/>
            <m:grow/>
          </m:dPr>
          <m:e>
            <m:r>
              <m:t>1</m:t>
            </m:r>
          </m:e>
        </m:d>
      </m:oMath>
      <w:r>
        <w:t xml:space="preserve"> </w:t>
      </w:r>
      <w:r>
        <w:t xml:space="preserve">snapshot equality check.</w:t>
      </w:r>
    </w:p>
    <w:p>
      <w:pPr>
        <w:numPr>
          <w:ilvl w:val="0"/>
          <w:numId w:val="1002"/>
        </w:numPr>
        <w:pStyle w:val="Compact"/>
      </w:pPr>
      <w:r>
        <w:rPr>
          <w:bCs/>
          <w:b/>
        </w:rPr>
        <w:t xml:space="preserve">Query latency</w:t>
      </w:r>
      <w:r>
        <w:t xml:space="preserve"> </w:t>
      </w:r>
      <w:r>
        <w:t xml:space="preserve">—</w:t>
      </w:r>
      <w:r>
        <w:t xml:space="preserve"> </w:t>
      </w:r>
      <m:oMath>
        <m:r>
          <m:t>O</m:t>
        </m:r>
        <m:d>
          <m:dPr>
            <m:begChr m:val="("/>
            <m:endChr m:val=")"/>
            <m:sepChr m:val=""/>
            <m:grow/>
          </m:dPr>
          <m:e>
            <m:r>
              <m:t>10</m:t>
            </m:r>
            <m:r>
              <m:rPr>
                <m:nor/>
                <m:sty m:val="p"/>
              </m:rPr>
              <m:t> ms</m:t>
            </m:r>
          </m:e>
        </m:d>
      </m:oMath>
      <w:r>
        <w:t xml:space="preserve"> </w:t>
      </w:r>
      <w:r>
        <w:t xml:space="preserve">for node-queries,</w:t>
      </w:r>
      <w:r>
        <w:t xml:space="preserve"> </w:t>
      </w:r>
      <m:oMath>
        <m:r>
          <m:t>O</m:t>
        </m:r>
        <m:d>
          <m:dPr>
            <m:begChr m:val="("/>
            <m:endChr m:val=")"/>
            <m:sepChr m:val=""/>
            <m:grow/>
          </m:dPr>
          <m:e>
            <m:r>
              <m:t>50</m:t>
            </m:r>
            <m:r>
              <m:rPr>
                <m:nor/>
                <m:sty m:val="p"/>
              </m:rPr>
              <m:t> ms</m:t>
            </m:r>
          </m:e>
        </m:d>
      </m:oMath>
      <w:r>
        <w:t xml:space="preserve"> </w:t>
      </w:r>
      <w:r>
        <w:t xml:space="preserve">for typical neighbourhood-queries with HSC</w:t>
      </w:r>
      <w:r>
        <w:t xml:space="preserve"> </w:t>
      </w:r>
      <w:r>
        <w:t xml:space="preserve">re-ranking, on commodity GPU hardware.</w:t>
      </w:r>
    </w:p>
    <w:p>
      <w:pPr>
        <w:numPr>
          <w:ilvl w:val="0"/>
          <w:numId w:val="1002"/>
        </w:numPr>
        <w:pStyle w:val="Compact"/>
      </w:pPr>
      <w:r>
        <w:rPr>
          <w:bCs/>
          <w:b/>
        </w:rPr>
        <w:t xml:space="preserve">Durability</w:t>
      </w:r>
      <w:r>
        <w:t xml:space="preserve"> </w:t>
      </w:r>
      <w:r>
        <w:t xml:space="preserve">— snapshots are persisted with standard</w:t>
      </w:r>
      <w:r>
        <w:t xml:space="preserve"> </w:t>
      </w:r>
      <w:r>
        <w:t xml:space="preserve">object-storage guarantees; the content-addressed store makes</w:t>
      </w:r>
      <w:r>
        <w:t xml:space="preserve"> </w:t>
      </w:r>
      <w:r>
        <w:t xml:space="preserve">backup and replication straightforward.</w:t>
      </w:r>
    </w:p>
    <w:p>
      <w:pPr>
        <w:pStyle w:val="FirstParagraph"/>
      </w:pPr>
      <w:r>
        <w:t xml:space="preserve">The storage layer is not the contribution of this paper; the data</w:t>
      </w:r>
      <w:r>
        <w:t xml:space="preserve"> </w:t>
      </w:r>
      <w:r>
        <w:rPr>
          <w:iCs/>
          <w:i/>
        </w:rPr>
        <w:t xml:space="preserve">model</w:t>
      </w:r>
      <w:r>
        <w:t xml:space="preserve"> </w:t>
      </w:r>
      <w:r>
        <w:t xml:space="preserve">is. A QHG can in principle be hosted on any columnar or</w:t>
      </w:r>
      <w:r>
        <w:t xml:space="preserve"> </w:t>
      </w:r>
      <w:r>
        <w:t xml:space="preserve">graph store with the ability to enforce snapshot immutability.</w:t>
      </w:r>
    </w:p>
    <w:bookmarkEnd w:id="38"/>
    <w:bookmarkStart w:id="39" w:name="limitations"/>
    <w:p>
      <w:pPr>
        <w:pStyle w:val="Heading1"/>
      </w:pPr>
      <w:r>
        <w:t xml:space="preserve">Limitations</w:t>
      </w:r>
    </w:p>
    <w:p>
      <w:pPr>
        <w:numPr>
          <w:ilvl w:val="0"/>
          <w:numId w:val="1003"/>
        </w:numPr>
        <w:pStyle w:val="Compact"/>
      </w:pPr>
      <w:r>
        <w:rPr>
          <w:bCs/>
          <w:b/>
        </w:rPr>
        <w:t xml:space="preserve">Static edge type taxonomy.</w:t>
      </w:r>
      <w:r>
        <w:t xml:space="preserve"> </w:t>
      </w:r>
      <w:r>
        <w:t xml:space="preserve">Extensions are possible but must</w:t>
      </w:r>
      <w:r>
        <w:t xml:space="preserve"> </w:t>
      </w:r>
      <w:r>
        <w:t xml:space="preserve">be explicitly versioned. This is a deliberate design choice —</w:t>
      </w:r>
      <w:r>
        <w:t xml:space="preserve"> </w:t>
      </w:r>
      <w:r>
        <w:t xml:space="preserve">avoiding edge-type sprawl — but it is a constraint on</w:t>
      </w:r>
      <w:r>
        <w:t xml:space="preserve"> </w:t>
      </w:r>
      <w:r>
        <w:t xml:space="preserve">domains that need richer edge semantics.</w:t>
      </w:r>
    </w:p>
    <w:p>
      <w:pPr>
        <w:numPr>
          <w:ilvl w:val="0"/>
          <w:numId w:val="1003"/>
        </w:numPr>
        <w:pStyle w:val="Compact"/>
      </w:pPr>
      <w:r>
        <w:rPr>
          <w:bCs/>
          <w:b/>
        </w:rPr>
        <w:t xml:space="preserve">No native temporal logic.</w:t>
      </w:r>
      <w:r>
        <w:t xml:space="preserve"> </w:t>
      </w:r>
      <w:r>
        <w:t xml:space="preserve">Edges can carry time annotations as</w:t>
      </w:r>
      <w:r>
        <w:t xml:space="preserve"> </w:t>
      </w:r>
      <w:r>
        <w:t xml:space="preserve">properties, and the supersession edge captures the primary</w:t>
      </w:r>
      <w:r>
        <w:t xml:space="preserve"> </w:t>
      </w:r>
      <w:r>
        <w:t xml:space="preserve">temporal relation, but QHG does not implement general linear</w:t>
      </w:r>
      <w:r>
        <w:t xml:space="preserve"> </w:t>
      </w:r>
      <w:r>
        <w:t xml:space="preserve">temporal logic. Deployments that need it wrap QHG with an</w:t>
      </w:r>
      <w:r>
        <w:t xml:space="preserve"> </w:t>
      </w:r>
      <w:r>
        <w:t xml:space="preserve">application-level temporal layer.</w:t>
      </w:r>
    </w:p>
    <w:p>
      <w:pPr>
        <w:numPr>
          <w:ilvl w:val="0"/>
          <w:numId w:val="1003"/>
        </w:numPr>
        <w:pStyle w:val="Compact"/>
      </w:pPr>
      <w:r>
        <w:rPr>
          <w:bCs/>
          <w:b/>
        </w:rPr>
        <w:t xml:space="preserve">Managed-service realisation.</w:t>
      </w:r>
      <w:r>
        <w:t xml:space="preserve"> </w:t>
      </w:r>
      <w:r>
        <w:t xml:space="preserve">The reference implementation is</w:t>
      </w:r>
      <w:r>
        <w:t xml:space="preserve"> </w:t>
      </w:r>
      <w:r>
        <w:t xml:space="preserve">a managed deployment with the QAG engine; open-source / local</w:t>
      </w:r>
      <w:r>
        <w:t xml:space="preserve"> </w:t>
      </w:r>
      <w:r>
        <w:t xml:space="preserve">deployments are not supported in v1.0. Teams that require an open</w:t>
      </w:r>
      <w:r>
        <w:t xml:space="preserve"> </w:t>
      </w:r>
      <w:r>
        <w:t xml:space="preserve">substrate can implement QHG on top of a hypergraph-database layer</w:t>
      </w:r>
      <w:r>
        <w:t xml:space="preserve"> </w:t>
      </w:r>
      <w:r>
        <w:t xml:space="preserve">and lose only the managed operational features.</w:t>
      </w:r>
    </w:p>
    <w:bookmarkEnd w:id="39"/>
    <w:bookmarkStart w:id="40" w:name="related-work"/>
    <w:p>
      <w:pPr>
        <w:pStyle w:val="Heading1"/>
      </w:pPr>
      <w:r>
        <w:t xml:space="preserve">Related work</w:t>
      </w:r>
    </w:p>
    <w:p>
      <w:pPr>
        <w:pStyle w:val="FirstParagraph"/>
      </w:pPr>
      <w:r>
        <w:t xml:space="preserve">Hypergraphs have a long history in database research and in</w:t>
      </w:r>
      <w:r>
        <w:t xml:space="preserve"> </w:t>
      </w:r>
      <w:r>
        <w:t xml:space="preserve">theoretical computer science</w:t>
      </w:r>
      <w:r>
        <w:t xml:space="preserve"> </w:t>
      </w:r>
      <w:r>
        <w:t xml:space="preserve">[@berge1984hypergraphs]</w:t>
      </w:r>
      <w:r>
        <w:t xml:space="preserve">. Applied uses</w:t>
      </w:r>
      <w:r>
        <w:t xml:space="preserve"> </w:t>
      </w:r>
      <w:r>
        <w:t xml:space="preserve">include hypergraph learning</w:t>
      </w:r>
      <w:r>
        <w:t xml:space="preserve"> </w:t>
      </w:r>
      <w:r>
        <w:t xml:space="preserve">[@feng2019hypergraph]</w:t>
      </w:r>
      <w:r>
        <w:t xml:space="preserve">, recommender</w:t>
      </w:r>
      <w:r>
        <w:t xml:space="preserve"> </w:t>
      </w:r>
      <w:r>
        <w:t xml:space="preserve">systems</w:t>
      </w:r>
      <w:r>
        <w:t xml:space="preserve"> </w:t>
      </w:r>
      <w:r>
        <w:t xml:space="preserve">[@yang2019revisiting]</w:t>
      </w:r>
      <w:r>
        <w:t xml:space="preserve">, and, recently, retrieval-augmented</w:t>
      </w:r>
      <w:r>
        <w:t xml:space="preserve"> </w:t>
      </w:r>
      <w:r>
        <w:t xml:space="preserve">generation</w:t>
      </w:r>
      <w:r>
        <w:t xml:space="preserve"> </w:t>
      </w:r>
      <w:r>
        <w:t xml:space="preserve">[@luo2024hypergraphrag; @edge2024graphrag]</w:t>
      </w:r>
      <w:r>
        <w:t xml:space="preserve">. Immutable</w:t>
      </w:r>
      <w:r>
        <w:t xml:space="preserve"> </w:t>
      </w:r>
      <w:r>
        <w:t xml:space="preserve">data structures and versioning in databases are a standard pattern</w:t>
      </w:r>
      <w:r>
        <w:t xml:space="preserve"> </w:t>
      </w:r>
      <w:r>
        <w:t xml:space="preserve">(Datomic, Dolt, Irmin</w:t>
      </w:r>
      <w:r>
        <w:t xml:space="preserve"> </w:t>
      </w:r>
      <w:r>
        <w:t xml:space="preserve">[@irmin]</w:t>
      </w:r>
      <w:r>
        <w:t xml:space="preserve">); their combination with hypergraph</w:t>
      </w:r>
      <w:r>
        <w:t xml:space="preserve"> </w:t>
      </w:r>
      <w:r>
        <w:t xml:space="preserve">semantics is, to our knowledge, new in the agent-memory / regulated</w:t>
      </w:r>
      <w:r>
        <w:t xml:space="preserve"> </w:t>
      </w:r>
      <w:r>
        <w:t xml:space="preserve">AI space.</w:t>
      </w:r>
    </w:p>
    <w:p>
      <w:pPr>
        <w:pStyle w:val="BodyText"/>
      </w:pPr>
      <w:r>
        <w:t xml:space="preserve">The Hilbert-space signal layer draws on compositional quantum NLP</w:t>
      </w:r>
      <w:r>
        <w:t xml:space="preserve"> </w:t>
      </w:r>
      <w:r>
        <w:t xml:space="preserve">[@coecke2010discocat; @kartsaklis2021lambeq]</w:t>
      </w:r>
      <w:r>
        <w:t xml:space="preserve"> </w:t>
      </w:r>
      <w:r>
        <w:t xml:space="preserve">and on quantum</w:t>
      </w:r>
      <w:r>
        <w:t xml:space="preserve"> </w:t>
      </w:r>
      <w:r>
        <w:t xml:space="preserve">cognition</w:t>
      </w:r>
      <w:r>
        <w:t xml:space="preserve"> </w:t>
      </w:r>
      <w:r>
        <w:t xml:space="preserve">[@aerts2014quantum; @bruza2015qcognition]</w:t>
      </w:r>
      <w:r>
        <w:t xml:space="preserve">. The</w:t>
      </w:r>
      <w:r>
        <w:t xml:space="preserve"> </w:t>
      </w:r>
      <w:r>
        <w:t xml:space="preserve">combination of deterministic parsing, hypergraph state, and signed</w:t>
      </w:r>
      <w:r>
        <w:t xml:space="preserve"> </w:t>
      </w:r>
      <w:r>
        <w:t xml:space="preserve">interference as an edge annotation — the full QHG formulation —</w:t>
      </w:r>
      <w:r>
        <w:t xml:space="preserve"> </w:t>
      </w:r>
      <w:r>
        <w:t xml:space="preserve">is the contribution of the QGI engineering programme, and is the</w:t>
      </w:r>
      <w:r>
        <w:t xml:space="preserve"> </w:t>
      </w:r>
      <w:r>
        <w:t xml:space="preserve">substrate described here.</w:t>
      </w:r>
    </w:p>
    <w:bookmarkEnd w:id="40"/>
    <w:bookmarkStart w:id="41" w:name="competing-interests"/>
    <w:p>
      <w:pPr>
        <w:pStyle w:val="Heading1"/>
      </w:pPr>
      <w:r>
        <w:t xml:space="preserve">Competing interests</w:t>
      </w:r>
    </w:p>
    <w:p>
      <w:pPr>
        <w:pStyle w:val="FirstParagraph"/>
      </w:pPr>
      <w:r>
        <w:t xml:space="preserve">The author is an employee and shareholder of Quantum General</w:t>
      </w:r>
      <w:r>
        <w:t xml:space="preserve"> </w:t>
      </w:r>
      <w:r>
        <w:t xml:space="preserve">Intelligence, Inc., and has a commercial interest in the QAG</w:t>
      </w:r>
      <w:r>
        <w:t xml:space="preserve"> </w:t>
      </w:r>
      <w:r>
        <w:t xml:space="preserve">engine.</w:t>
      </w:r>
    </w:p>
    <w:bookmarkEnd w:id="41"/>
    <w:bookmarkStart w:id="42" w:name="references"/>
    <w:p>
      <w:pPr>
        <w:pStyle w:val="Heading1"/>
      </w:pPr>
      <w:r>
        <w:t xml:space="preserve">References</w:t>
      </w:r>
    </w:p>
    <w:p>
      <w:pPr>
        <w:numPr>
          <w:ilvl w:val="0"/>
          <w:numId w:val="1004"/>
        </w:numPr>
        <w:pStyle w:val="Compact"/>
      </w:pPr>
      <w:r>
        <w:t xml:space="preserve">[@berge1984hypergraphs]</w:t>
      </w:r>
      <w:r>
        <w:t xml:space="preserve"> </w:t>
      </w:r>
      <w:r>
        <w:t xml:space="preserve">Berge, C. (1984).</w:t>
      </w:r>
      <w:r>
        <w:t xml:space="preserve"> </w:t>
      </w:r>
      <w:r>
        <w:rPr>
          <w:iCs/>
          <w:i/>
        </w:rPr>
        <w:t xml:space="preserve">Hypergraphs:</w:t>
      </w:r>
      <w:r>
        <w:rPr>
          <w:iCs/>
          <w:i/>
        </w:rPr>
        <w:t xml:space="preserve"> </w:t>
      </w:r>
      <w:r>
        <w:rPr>
          <w:iCs/>
          <w:i/>
        </w:rPr>
        <w:t xml:space="preserve">Combinatorics of Finite Sets</w:t>
      </w:r>
      <w:r>
        <w:t xml:space="preserve">. North-Holland.</w:t>
      </w:r>
    </w:p>
    <w:p>
      <w:pPr>
        <w:numPr>
          <w:ilvl w:val="0"/>
          <w:numId w:val="1004"/>
        </w:numPr>
        <w:pStyle w:val="Compact"/>
      </w:pPr>
      <w:r>
        <w:t xml:space="preserve">[@hypergraphdb]</w:t>
      </w:r>
      <w:r>
        <w:t xml:space="preserve"> </w:t>
      </w:r>
      <w:r>
        <w:t xml:space="preserve">Iordanov, B. (2010).</w:t>
      </w:r>
      <w:r>
        <w:t xml:space="preserve"> </w:t>
      </w:r>
      <w:r>
        <w:rPr>
          <w:iCs/>
          <w:i/>
        </w:rPr>
        <w:t xml:space="preserve">HyperGraphDB: A Generalized</w:t>
      </w:r>
      <w:r>
        <w:rPr>
          <w:iCs/>
          <w:i/>
        </w:rPr>
        <w:t xml:space="preserve"> </w:t>
      </w:r>
      <w:r>
        <w:rPr>
          <w:iCs/>
          <w:i/>
        </w:rPr>
        <w:t xml:space="preserve">Graph Database</w:t>
      </w:r>
      <w:r>
        <w:t xml:space="preserve">. WAIM 2010.</w:t>
      </w:r>
    </w:p>
    <w:p>
      <w:pPr>
        <w:numPr>
          <w:ilvl w:val="0"/>
          <w:numId w:val="1004"/>
        </w:numPr>
        <w:pStyle w:val="Compact"/>
      </w:pPr>
      <w:r>
        <w:t xml:space="preserve">[@feng2019hypergraph]</w:t>
      </w:r>
      <w:r>
        <w:t xml:space="preserve"> </w:t>
      </w:r>
      <w:r>
        <w:t xml:space="preserve">Feng, Y., You, H., Zhang, Z., Ji, R., Gao,</w:t>
      </w:r>
      <w:r>
        <w:t xml:space="preserve"> </w:t>
      </w:r>
      <w:r>
        <w:t xml:space="preserve">Y. (2019).</w:t>
      </w:r>
      <w:r>
        <w:t xml:space="preserve"> </w:t>
      </w:r>
      <w:r>
        <w:rPr>
          <w:iCs/>
          <w:i/>
        </w:rPr>
        <w:t xml:space="preserve">Hypergraph Neural Networks</w:t>
      </w:r>
      <w:r>
        <w:t xml:space="preserve">. AAAI 2019.</w:t>
      </w:r>
    </w:p>
    <w:p>
      <w:pPr>
        <w:numPr>
          <w:ilvl w:val="0"/>
          <w:numId w:val="1004"/>
        </w:numPr>
        <w:pStyle w:val="Compact"/>
      </w:pPr>
      <w:r>
        <w:t xml:space="preserve">[@yang2019revisiting]</w:t>
      </w:r>
      <w:r>
        <w:t xml:space="preserve"> </w:t>
      </w:r>
      <w:r>
        <w:t xml:space="preserve">Yang, M. et al. (2019).</w:t>
      </w:r>
      <w:r>
        <w:t xml:space="preserve"> </w:t>
      </w:r>
      <w:r>
        <w:rPr>
          <w:iCs/>
          <w:i/>
        </w:rPr>
        <w:t xml:space="preserve">Revisiting</w:t>
      </w:r>
      <w:r>
        <w:rPr>
          <w:iCs/>
          <w:i/>
        </w:rPr>
        <w:t xml:space="preserve"> </w:t>
      </w:r>
      <w:r>
        <w:rPr>
          <w:iCs/>
          <w:i/>
        </w:rPr>
        <w:t xml:space="preserve">Hypergraph Neural Networks</w:t>
      </w:r>
      <w:r>
        <w:t xml:space="preserve">.</w:t>
      </w:r>
    </w:p>
    <w:p>
      <w:pPr>
        <w:numPr>
          <w:ilvl w:val="0"/>
          <w:numId w:val="1004"/>
        </w:numPr>
        <w:pStyle w:val="Compact"/>
      </w:pPr>
      <w:r>
        <w:t xml:space="preserve">[@edge2024graphrag]</w:t>
      </w:r>
      <w:r>
        <w:t xml:space="preserve"> </w:t>
      </w:r>
      <w:r>
        <w:t xml:space="preserve">Edge, D. et al. (2024).</w:t>
      </w:r>
      <w:r>
        <w:t xml:space="preserve"> </w:t>
      </w:r>
      <w:r>
        <w:rPr>
          <w:iCs/>
          <w:i/>
        </w:rPr>
        <w:t xml:space="preserve">From Local to</w:t>
      </w:r>
      <w:r>
        <w:rPr>
          <w:iCs/>
          <w:i/>
        </w:rPr>
        <w:t xml:space="preserve"> </w:t>
      </w:r>
      <w:r>
        <w:rPr>
          <w:iCs/>
          <w:i/>
        </w:rPr>
        <w:t xml:space="preserve">Global: A Graph RAG Approach</w:t>
      </w:r>
      <w:r>
        <w:t xml:space="preserve">. arXiv:2404.16130.</w:t>
      </w:r>
    </w:p>
    <w:p>
      <w:pPr>
        <w:numPr>
          <w:ilvl w:val="0"/>
          <w:numId w:val="1004"/>
        </w:numPr>
        <w:pStyle w:val="Compact"/>
      </w:pPr>
      <w:r>
        <w:t xml:space="preserve">[@luo2024hypergraphrag]</w:t>
      </w:r>
      <w:r>
        <w:t xml:space="preserve"> </w:t>
      </w:r>
      <w:r>
        <w:t xml:space="preserve">Luo, H. et al. (2025).</w:t>
      </w:r>
      <w:r>
        <w:t xml:space="preserve"> </w:t>
      </w:r>
      <w:r>
        <w:rPr>
          <w:iCs/>
          <w:i/>
        </w:rPr>
        <w:t xml:space="preserve">HyperGraphRAG</w:t>
      </w:r>
      <w:r>
        <w:t xml:space="preserve">.</w:t>
      </w:r>
      <w:r>
        <w:t xml:space="preserve"> </w:t>
      </w:r>
      <w:r>
        <w:t xml:space="preserve">arXiv:2503.21322.</w:t>
      </w:r>
    </w:p>
    <w:p>
      <w:pPr>
        <w:numPr>
          <w:ilvl w:val="0"/>
          <w:numId w:val="1004"/>
        </w:numPr>
        <w:pStyle w:val="Compact"/>
      </w:pPr>
      <w:r>
        <w:t xml:space="preserve">[@irmin]</w:t>
      </w:r>
      <w:r>
        <w:t xml:space="preserve"> </w:t>
      </w:r>
      <w:r>
        <w:t xml:space="preserve">Farr, K. D., Gazagnaire, T. et al. </w:t>
      </w:r>
      <w:r>
        <w:rPr>
          <w:iCs/>
          <w:i/>
        </w:rPr>
        <w:t xml:space="preserve">Irmin: an immutable,</w:t>
      </w:r>
      <w:r>
        <w:rPr>
          <w:iCs/>
          <w:i/>
        </w:rPr>
        <w:t xml:space="preserve"> </w:t>
      </w:r>
      <w:r>
        <w:rPr>
          <w:iCs/>
          <w:i/>
        </w:rPr>
        <w:t xml:space="preserve">distributed database</w:t>
      </w:r>
      <w:r>
        <w:t xml:space="preserve">. OCaml Labs.</w:t>
      </w:r>
    </w:p>
    <w:p>
      <w:pPr>
        <w:numPr>
          <w:ilvl w:val="0"/>
          <w:numId w:val="1004"/>
        </w:numPr>
        <w:pStyle w:val="Compact"/>
      </w:pPr>
      <w:r>
        <w:t xml:space="preserve">[@coecke2010discocat]</w:t>
      </w:r>
      <w:r>
        <w:t xml:space="preserve"> </w:t>
      </w:r>
      <w:r>
        <w:t xml:space="preserve">Coecke, B. et al. (2010).</w:t>
      </w:r>
      <w:r>
        <w:t xml:space="preserve"> </w:t>
      </w:r>
      <w:r>
        <w:rPr>
          <w:iCs/>
          <w:i/>
        </w:rPr>
        <w:t xml:space="preserve">Mathematical</w:t>
      </w:r>
      <w:r>
        <w:rPr>
          <w:iCs/>
          <w:i/>
        </w:rPr>
        <w:t xml:space="preserve"> </w:t>
      </w:r>
      <w:r>
        <w:rPr>
          <w:iCs/>
          <w:i/>
        </w:rPr>
        <w:t xml:space="preserve">Foundations for a Compositional Distributional Model of</w:t>
      </w:r>
      <w:r>
        <w:rPr>
          <w:iCs/>
          <w:i/>
        </w:rPr>
        <w:t xml:space="preserve"> </w:t>
      </w:r>
      <w:r>
        <w:rPr>
          <w:iCs/>
          <w:i/>
        </w:rPr>
        <w:t xml:space="preserve">Meaning</w:t>
      </w:r>
      <w:r>
        <w:t xml:space="preserve">.</w:t>
      </w:r>
    </w:p>
    <w:p>
      <w:pPr>
        <w:numPr>
          <w:ilvl w:val="0"/>
          <w:numId w:val="1004"/>
        </w:numPr>
        <w:pStyle w:val="Compact"/>
      </w:pPr>
      <w:r>
        <w:t xml:space="preserve">[@kartsaklis2021lambeq]</w:t>
      </w:r>
      <w:r>
        <w:t xml:space="preserve"> </w:t>
      </w:r>
      <w:r>
        <w:t xml:space="preserve">Kartsaklis, D. et al. (2021).</w:t>
      </w:r>
      <w:r>
        <w:t xml:space="preserve"> </w:t>
      </w:r>
      <w:r>
        <w:rPr>
          <w:iCs/>
          <w:i/>
        </w:rPr>
        <w:t xml:space="preserve">lambeq</w:t>
      </w:r>
      <w:r>
        <w:t xml:space="preserve">.</w:t>
      </w:r>
    </w:p>
    <w:p>
      <w:pPr>
        <w:numPr>
          <w:ilvl w:val="0"/>
          <w:numId w:val="1004"/>
        </w:numPr>
        <w:pStyle w:val="Compact"/>
      </w:pPr>
      <w:r>
        <w:t xml:space="preserve">[@aerts2014quantum]</w:t>
      </w:r>
      <w:r>
        <w:t xml:space="preserve"> </w:t>
      </w:r>
      <w:r>
        <w:t xml:space="preserve">Aerts, D., Sozzo, S. (2014).</w:t>
      </w:r>
      <w:r>
        <w:t xml:space="preserve"> </w:t>
      </w:r>
      <w:r>
        <w:rPr>
          <w:iCs/>
          <w:i/>
        </w:rPr>
        <w:t xml:space="preserve">Quantum</w:t>
      </w:r>
      <w:r>
        <w:rPr>
          <w:iCs/>
          <w:i/>
        </w:rPr>
        <w:t xml:space="preserve"> </w:t>
      </w:r>
      <w:r>
        <w:rPr>
          <w:iCs/>
          <w:i/>
        </w:rPr>
        <w:t xml:space="preserve">Structure in Cognition</w:t>
      </w:r>
      <w:r>
        <w:t xml:space="preserve">.</w:t>
      </w:r>
    </w:p>
    <w:p>
      <w:pPr>
        <w:numPr>
          <w:ilvl w:val="0"/>
          <w:numId w:val="1004"/>
        </w:numPr>
        <w:pStyle w:val="Compact"/>
      </w:pPr>
      <w:r>
        <w:t xml:space="preserve">[@bruza2015qcognition]</w:t>
      </w:r>
      <w:r>
        <w:t xml:space="preserve"> </w:t>
      </w:r>
      <w:r>
        <w:t xml:space="preserve">Bruza, P. D. et al. (2015).</w:t>
      </w:r>
      <w:r>
        <w:t xml:space="preserve"> </w:t>
      </w:r>
      <w:r>
        <w:rPr>
          <w:iCs/>
          <w:i/>
        </w:rPr>
        <w:t xml:space="preserve">Quantum</w:t>
      </w:r>
      <w:r>
        <w:rPr>
          <w:iCs/>
          <w:i/>
        </w:rPr>
        <w:t xml:space="preserve"> </w:t>
      </w:r>
      <w:r>
        <w:rPr>
          <w:iCs/>
          <w:i/>
        </w:rPr>
        <w:t xml:space="preserve">Cognition</w:t>
      </w:r>
      <w:r>
        <w:t xml:space="preserve">.</w:t>
      </w:r>
    </w:p>
    <w:p>
      <w:pPr>
        <w:numPr>
          <w:ilvl w:val="0"/>
          <w:numId w:val="1004"/>
        </w:numPr>
        <w:pStyle w:val="Compact"/>
      </w:pPr>
      <w:r>
        <w:t xml:space="preserve">[@qgi-tr-01]</w:t>
      </w:r>
      <w:r>
        <w:t xml:space="preserve"> </w:t>
      </w:r>
      <w:r>
        <w:t xml:space="preserve">Sammane, S. (2026).</w:t>
      </w:r>
      <w:r>
        <w:t xml:space="preserve"> </w:t>
      </w:r>
      <w:r>
        <w:rPr>
          <w:iCs/>
          <w:i/>
        </w:rPr>
        <w:t xml:space="preserve">Quantum-Augmented Generation</w:t>
      </w:r>
      <w:r>
        <w:rPr>
          <w:iCs/>
          <w:i/>
        </w:rPr>
        <w:t xml:space="preserve"> </w:t>
      </w:r>
      <w:r>
        <w:rPr>
          <w:iCs/>
          <w:i/>
        </w:rPr>
        <w:t xml:space="preserve">(QAG)</w:t>
      </w:r>
      <w:r>
        <w:t xml:space="preserve">. QGI-TR-2026-01.</w:t>
      </w:r>
    </w:p>
    <w:p>
      <w:pPr>
        <w:numPr>
          <w:ilvl w:val="0"/>
          <w:numId w:val="1004"/>
        </w:numPr>
        <w:pStyle w:val="Compact"/>
      </w:pPr>
      <w:r>
        <w:t xml:space="preserve">[@qgi-modelcard]</w:t>
      </w:r>
      <w:r>
        <w:t xml:space="preserve"> </w:t>
      </w:r>
      <w:r>
        <w:t xml:space="preserve">Sammane, S. (2026).</w:t>
      </w:r>
      <w:r>
        <w:t xml:space="preserve"> </w:t>
      </w:r>
      <w:r>
        <w:rPr>
          <w:iCs/>
          <w:i/>
        </w:rPr>
        <w:t xml:space="preserve">Q-Prime public model</w:t>
      </w:r>
      <w:r>
        <w:rPr>
          <w:iCs/>
          <w:i/>
        </w:rPr>
        <w:t xml:space="preserve"> </w:t>
      </w:r>
      <w:r>
        <w:rPr>
          <w:iCs/>
          <w:i/>
        </w:rPr>
        <w:t xml:space="preserve">card</w:t>
      </w:r>
      <w:r>
        <w:t xml:space="preserve">.</w:t>
      </w:r>
    </w:p>
    <w:bookmarkEnd w:id="42"/>
    <w:bookmarkStart w:id="43" w:name="cite-this-as"/>
    <w:p>
      <w:pPr>
        <w:pStyle w:val="Heading1"/>
      </w:pPr>
      <w:r>
        <w:t xml:space="preserve">Cite this as</w:t>
      </w:r>
    </w:p>
    <w:p>
      <w:pPr>
        <w:pStyle w:val="SourceCode"/>
      </w:pPr>
      <w:r>
        <w:rPr>
          <w:rStyle w:val="VariableTok"/>
        </w:rPr>
        <w:t xml:space="preserve">@techreport</w:t>
      </w:r>
      <w:r>
        <w:rPr>
          <w:rStyle w:val="NormalTok"/>
        </w:rPr>
        <w:t xml:space="preserve">{</w:t>
      </w:r>
      <w:r>
        <w:rPr>
          <w:rStyle w:val="OtherTok"/>
        </w:rPr>
        <w:t xml:space="preserve">sammane2026qhg</w:t>
      </w:r>
      <w:r>
        <w:rPr>
          <w:rStyle w:val="NormalTok"/>
        </w:rPr>
        <w:t xml:space="preserve">,</w:t>
      </w:r>
      <w:r>
        <w:br/>
      </w:r>
      <w:r>
        <w:rPr>
          <w:rStyle w:val="NormalTok"/>
        </w:rPr>
        <w:t xml:space="preserve">  </w:t>
      </w:r>
      <w:r>
        <w:rPr>
          <w:rStyle w:val="DataTypeTok"/>
        </w:rPr>
        <w:t xml:space="preserve">author</w:t>
      </w:r>
      <w:r>
        <w:rPr>
          <w:rStyle w:val="NormalTok"/>
        </w:rPr>
        <w:t xml:space="preserve">      = {Sam Sammane},</w:t>
      </w:r>
      <w:r>
        <w:br/>
      </w:r>
      <w:r>
        <w:rPr>
          <w:rStyle w:val="NormalTok"/>
        </w:rPr>
        <w:t xml:space="preserve">  </w:t>
      </w:r>
      <w:r>
        <w:rPr>
          <w:rStyle w:val="DataTypeTok"/>
        </w:rPr>
        <w:t xml:space="preserve">title</w:t>
      </w:r>
      <w:r>
        <w:rPr>
          <w:rStyle w:val="NormalTok"/>
        </w:rPr>
        <w:t xml:space="preserve">       = {Quantum HyperGraph (QHG): A First-Class Data Model for Rule-Bearing Knowledge},</w:t>
      </w:r>
      <w:r>
        <w:br/>
      </w:r>
      <w:r>
        <w:rPr>
          <w:rStyle w:val="NormalTok"/>
        </w:rPr>
        <w:t xml:space="preserve">  </w:t>
      </w:r>
      <w:r>
        <w:rPr>
          <w:rStyle w:val="DataTypeTok"/>
        </w:rPr>
        <w:t xml:space="preserve">institution</w:t>
      </w:r>
      <w:r>
        <w:rPr>
          <w:rStyle w:val="NormalTok"/>
        </w:rPr>
        <w:t xml:space="preserve"> = {Quantum General Intelligence, Inc.},</w:t>
      </w:r>
      <w:r>
        <w:br/>
      </w:r>
      <w:r>
        <w:rPr>
          <w:rStyle w:val="NormalTok"/>
        </w:rPr>
        <w:t xml:space="preserve">  </w:t>
      </w:r>
      <w:r>
        <w:rPr>
          <w:rStyle w:val="DataTypeTok"/>
        </w:rPr>
        <w:t xml:space="preserve">number</w:t>
      </w:r>
      <w:r>
        <w:rPr>
          <w:rStyle w:val="NormalTok"/>
        </w:rPr>
        <w:t xml:space="preserve">      = {QGI-TR-2026-05},</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month</w:t>
      </w:r>
      <w:r>
        <w:rPr>
          <w:rStyle w:val="NormalTok"/>
        </w:rPr>
        <w:t xml:space="preserve">       = {April},</w:t>
      </w:r>
      <w:r>
        <w:br/>
      </w:r>
      <w:r>
        <w:rPr>
          <w:rStyle w:val="NormalTok"/>
        </w:rPr>
        <w:t xml:space="preserve">  </w:t>
      </w:r>
      <w:r>
        <w:rPr>
          <w:rStyle w:val="DataTypeTok"/>
        </w:rPr>
        <w:t xml:space="preserve">type</w:t>
      </w:r>
      <w:r>
        <w:rPr>
          <w:rStyle w:val="NormalTok"/>
        </w:rPr>
        <w:t xml:space="preserve">        = {Preprint},</w:t>
      </w:r>
      <w:r>
        <w:br/>
      </w:r>
      <w:r>
        <w:rPr>
          <w:rStyle w:val="NormalTok"/>
        </w:rPr>
        <w:t xml:space="preserve">  </w:t>
      </w:r>
      <w:r>
        <w:rPr>
          <w:rStyle w:val="DataTypeTok"/>
        </w:rPr>
        <w:t xml:space="preserve">note</w:t>
      </w:r>
      <w:r>
        <w:rPr>
          <w:rStyle w:val="NormalTok"/>
        </w:rPr>
        <w:t xml:space="preserve">        = {Version 1.0, 21 April 2026. Not peer-reviewed.}</w:t>
      </w:r>
      <w:r>
        <w:br/>
      </w:r>
      <w:r>
        <w:rPr>
          <w:rStyle w:val="NormalTok"/>
        </w:rPr>
        <w:t xml:space="preserve">}</w:t>
      </w:r>
    </w:p>
    <w:bookmarkEnd w:id="43"/>
    <w:bookmarkStart w:id="44" w:name="version-history"/>
    <w:p>
      <w:pPr>
        <w:pStyle w:val="Heading1"/>
      </w:pPr>
      <w:r>
        <w:t xml:space="preserve">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Notes</w:t>
            </w:r>
          </w:p>
        </w:tc>
      </w:tr>
      <w:tr>
        <w:tc>
          <w:tcPr/>
          <w:p>
            <w:pPr>
              <w:pStyle w:val="Compact"/>
              <w:jc w:val="left"/>
            </w:pPr>
            <w:r>
              <w:t xml:space="preserve">v1.0</w:t>
            </w:r>
          </w:p>
        </w:tc>
        <w:tc>
          <w:tcPr/>
          <w:p>
            <w:pPr>
              <w:pStyle w:val="Compact"/>
              <w:jc w:val="left"/>
            </w:pPr>
            <w:r>
              <w:t xml:space="preserve">21 April 2026</w:t>
            </w:r>
          </w:p>
        </w:tc>
        <w:tc>
          <w:tcPr/>
          <w:p>
            <w:pPr>
              <w:pStyle w:val="Compact"/>
              <w:jc w:val="left"/>
            </w:pPr>
            <w:r>
              <w:t xml:space="preserve">Initial preprint release.</w:t>
            </w:r>
          </w:p>
        </w:tc>
      </w:tr>
    </w:tbl>
    <w:p>
      <w:r>
        <w:pict>
          <v:rect style="width:0;height:1.5pt" o:hralign="center" o:hrstd="t" o:hr="t"/>
        </w:pict>
      </w:r>
    </w:p>
    <w:p>
      <w:pPr>
        <w:pStyle w:val="FirstParagraph"/>
      </w:pPr>
      <w:r>
        <w:t xml:space="preserve">© 2025–2026 Quantum General Intelligence, Inc. All rights reserved.</w:t>
      </w:r>
    </w:p>
    <w:bookmarkEnd w:id="44"/>
    <w:sectPr w:rsidR="00FC693F" w:rsidRPr="0006063C" w:rsidSect="00034616">
      <w:pgSz w:h="16838" w:w="11906"/>
      <w:pgMar w:bottom="1247" w:footer="567" w:gutter="0" w:header="567" w:left="1247" w:right="124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83" w:lineRule="auto"/>
    </w:pPr>
    <w:rPr>
      <w:rFonts w:ascii="Calibri" w:cs="Calibri" w:eastAsia="Calibri" w:hAnsi="Calibri"/>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60"/>
      <w:outlineLvl w:val="0"/>
    </w:pPr>
    <w:rPr>
      <w:rFonts w:ascii="Calibri" w:asciiTheme="majorHAnsi" w:cs="Calibri" w:cstheme="majorBidi" w:eastAsia="Calibri" w:eastAsiaTheme="majorEastAsia" w:hAnsi="Calibri" w:hAnsiTheme="majorHAnsi"/>
      <w:b/>
      <w:bCs/>
      <w:i w:val="0"/>
      <w:color w:val="2E4A8F"/>
      <w:sz w:val="36"/>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w:asciiTheme="majorHAnsi" w:cs="Calibri" w:cstheme="majorBidi" w:eastAsia="Calibri" w:eastAsiaTheme="majorEastAsia" w:hAnsi="Calibri" w:hAnsiTheme="majorHAnsi"/>
      <w:b/>
      <w:bCs/>
      <w:i w:val="0"/>
      <w:color w:val="4A68B0"/>
      <w:sz w:val="28"/>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Calibri" w:cstheme="majorBidi" w:eastAsia="Calibri" w:eastAsiaTheme="majorEastAsia" w:hAnsi="Calibri" w:hAnsiTheme="majorHAnsi"/>
      <w:b/>
      <w:bCs/>
      <w:i w:val="0"/>
      <w:color w:val="4B5561"/>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jc w:val="center"/>
    </w:pPr>
    <w:rPr>
      <w:rFonts w:ascii="Calibri" w:asciiTheme="majorHAnsi" w:cs="Calibri" w:cstheme="majorBidi" w:eastAsia="Calibri" w:eastAsiaTheme="majorEastAsia" w:hAnsi="Calibri" w:hAnsiTheme="majorHAnsi"/>
      <w:b/>
      <w:i w:val="0"/>
      <w:color w:val="2E4A8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00"/>
      <w:jc w:val="center"/>
    </w:pPr>
    <w:rPr>
      <w:rFonts w:ascii="Calibri" w:asciiTheme="majorHAnsi" w:cs="Calibri" w:cstheme="majorBidi" w:eastAsia="Calibri" w:eastAsiaTheme="majorEastAsia" w:hAnsi="Calibri" w:hAnsiTheme="majorHAnsi"/>
      <w:b w:val="0"/>
      <w:i/>
      <w:iCs/>
      <w:color w:val="6B728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pPr>
    <w:rPr>
      <w:rFonts w:ascii="Calibri" w:cs="Calibri" w:eastAsia="Calibri" w:hAnsi="Calibri"/>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00" w:before="60" w:line="240" w:lineRule="auto"/>
      <w:jc w:val="center"/>
    </w:pPr>
    <w:rPr>
      <w:rFonts w:ascii="Calibri" w:cs="Calibri" w:eastAsia="Calibri" w:hAnsi="Calibri"/>
      <w:b w:val="0"/>
      <w:bCs/>
      <w:i/>
      <w:color w:val="4B5561"/>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20" w:before="240"/>
      <w:outlineLvl w:val="9"/>
    </w:pPr>
    <w:rPr>
      <w:rFonts w:ascii="Calibri" w:cs="Calibri" w:eastAsia="Calibri" w:hAnsi="Calibri"/>
      <w:b/>
      <w:i w:val="0"/>
      <w:color w:val="2E4A8F"/>
      <w:sz w:val="28"/>
    </w:rPr>
  </w:style>
  <w:style w:styleId="TableGrid" w:type="table">
    <w:name w:val="Table Grid"/>
    <w:basedOn w:val="TableNormal"/>
    <w:uiPriority w:val="59"/>
    <w:rsid w:val="00FC693F"/>
    <w:pPr>
      <w:spacing w:after="0" w:line="240" w:lineRule="auto"/>
    </w:pPr>
    <w:rPr>
      <w:rFonts w:ascii="Calibri" w:hAnsi="Calibri"/>
      <w:sz w:val="21"/>
    </w:rPr>
    <w:tblPr>
      <w:tblInd w:type="dxa" w:w="0"/>
      <w:tblCellMar>
        <w:top w:type="dxa" w:w="0"/>
        <w:left w:type="dxa" w:w="108"/>
        <w:bottom w:type="dxa" w:w="0"/>
        <w:right w:type="dxa" w:w="108"/>
      </w:tblCellMar>
      <w:tblBorders>
        <w:top w:color="C7D2E4" w:space="0" w:sz="4" w:val="single"/>
        <w:left w:color="C7D2E4" w:space="0" w:sz="4" w:val="single"/>
        <w:bottom w:color="C7D2E4" w:space="0" w:sz="4" w:val="single"/>
        <w:right w:color="C7D2E4" w:space="0" w:sz="4" w:val="single"/>
        <w:insideH w:color="C7D2E4" w:space="0" w:sz="4" w:val="single"/>
        <w:insideV w:color="C7D2E4"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60" w:before="60"/>
    </w:pPr>
    <w:rPr>
      <w:rFonts w:ascii="Consolas" w:cs="Consolas" w:eastAsia="Consolas" w:hAnsi="Consolas"/>
      <w:b w:val="0"/>
      <w:i w:val="0"/>
      <w:color w:val="4B5561"/>
      <w:sz w:val="20"/>
    </w:rPr>
  </w:style>
  <w:style w:customStyle="1" w:styleId="FirstParagraph" w:type="paragraph">
    <w:name w:val="First Paragraph"/>
    <w:pPr>
      <w:spacing w:after="120" w:before="0"/>
    </w:pPr>
    <w:rPr>
      <w:rFonts w:ascii="Calibri" w:cs="Calibri" w:eastAsia="Calibri" w:hAnsi="Calibri"/>
      <w:b w:val="0"/>
      <w:i w:val="0"/>
      <w:sz w:val="22"/>
    </w:rPr>
  </w:style>
  <w:style w:customStyle="1" w:styleId="Compact" w:type="paragraph">
    <w:name w:val="Compact"/>
    <w:pPr>
      <w:spacing w:after="40" w:before="0"/>
    </w:pPr>
    <w:rPr>
      <w:rFonts w:ascii="Calibri" w:cs="Calibri" w:eastAsia="Calibri" w:hAnsi="Calibri"/>
      <w:b w:val="0"/>
      <w:i w:val="0"/>
      <w:sz w:val="22"/>
    </w:rPr>
  </w:style>
  <w:style w:customStyle="1" w:styleId="ImageCaption" w:type="paragraph">
    <w:name w:val="Image Caption"/>
    <w:pPr>
      <w:spacing w:after="200" w:before="60"/>
      <w:jc w:val="center"/>
    </w:pPr>
    <w:rPr>
      <w:rFonts w:ascii="Calibri" w:cs="Calibri" w:eastAsia="Calibri" w:hAnsi="Calibri"/>
      <w:b w:val="0"/>
      <w:i/>
      <w:color w:val="4B5561"/>
      <w:sz w:val="20"/>
    </w:rPr>
  </w:style>
  <w:style w:customStyle="1" w:styleId="CaptionedFigure" w:type="paragraph">
    <w:name w:val="Captioned Figure"/>
    <w:pPr>
      <w:spacing w:after="0" w:before="160"/>
      <w:jc w:val="center"/>
    </w:pPr>
    <w:rPr>
      <w:rFonts w:ascii="Calibri" w:cs="Calibri" w:eastAsia="Calibri" w:hAnsi="Calibri"/>
      <w:b w:val="0"/>
      <w:i w:val="0"/>
      <w:sz w:val="22"/>
    </w:rPr>
  </w:style>
  <w:style w:customStyle="1" w:styleId="Abstract" w:type="paragraph">
    <w:name w:val="Abstract"/>
    <w:pPr>
      <w:spacing w:after="120" w:before="0"/>
    </w:pPr>
    <w:rPr>
      <w:rFonts w:ascii="Calibri" w:cs="Calibri" w:eastAsia="Calibri" w:hAnsi="Calibri"/>
      <w:b w:val="0"/>
      <w:i/>
      <w:color w:val="4B5561"/>
      <w:sz w:val="22"/>
    </w:rPr>
  </w:style>
  <w:style w:customStyle="1" w:styleId="AbstractTitle" w:type="paragraph">
    <w:name w:val="Abstract Title"/>
    <w:pPr>
      <w:spacing w:after="80" w:before="360"/>
      <w:jc w:val="center"/>
    </w:pPr>
    <w:rPr>
      <w:rFonts w:ascii="Calibri" w:cs="Calibri" w:eastAsia="Calibri" w:hAnsi="Calibri"/>
      <w:b/>
      <w:i w:val="0"/>
      <w:color w:val="4A68B0"/>
      <w:sz w:val="24"/>
    </w:rPr>
  </w:style>
  <w:style w:customStyle="1" w:styleId="Hyperlink" w:type="character">
    <w:name w:val="Hyperlink"/>
    <w:rPr>
      <w:rFonts w:ascii="Calibri" w:hAnsi="Calibri"/>
      <w:color w:val="2E4A8F"/>
      <w:u w:val="single"/>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HyperGraph (QHG)</dc:title>
  <dc:creator/>
  <cp:keywords>knowledge graph, hypergraph, property graph, RDF, immutable data structures, version control for graphs, rule-bearing text, regulatory knowledge, QAG, QHG</cp:keywords>
  <dcterms:created xsi:type="dcterms:W3CDTF">2026-04-21T04:20:38Z</dcterms:created>
  <dcterms:modified xsi:type="dcterms:W3CDTF">2026-04-21T04:20:38Z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Knowledge graphs have become the default structural backbone for reasoning over large text corpora, from enterprise knowledge bases to agent memory. Existing backbones — property graphs, RDF, labelled-property graphs — share a primitive: an edge connects exactly two nodes. This primitive is well suited to entity-relation data but fails to express the joint constraints that define a regulation, a contract clause, or a multi-premise inference: a single obligation routinely depends on three or more rules holding simultaneously, with exceptions that further modify the joint state.This paper introduces Quantum HyperGraph (QHG), the data model underneath QGI’s QAG engine [QGI-TR-2026-01]. QHG is a hypergraph — edges connect arbitrary numbers of nodes — extended with a typed, immutable, versioned semantic that makes conflict and dependency first-class edge types. We describe the data model, its query interface, its versioning discipline, and its integration with the Hilbert-space signal layer that sits on top of it. We contrast QHG with property graphs, RDF, and the hypergraph approaches that have recently appeared in the retrieval-augmented literature. Our claim is not that hypergraphs are new — they are not — but that conflict-as-first-class-edge plus immutable versioning plus signed-interference annotation is a combination that has not, to our knowledge, been deployed at production scale, and that this combination is the right substrate for reasoning over rule-bearing content.</vt:lpwstr>
  </property>
  <property fmtid="{D5CDD505-2E9C-101B-9397-08002B2CF9AE}" pid="3" name="date">
    <vt:lpwstr>21 April 2026</vt:lpwstr>
  </property>
  <property fmtid="{D5CDD505-2E9C-101B-9397-08002B2CF9AE}" pid="4" name="documentclass">
    <vt:lpwstr>article</vt:lpwstr>
  </property>
  <property fmtid="{D5CDD505-2E9C-101B-9397-08002B2CF9AE}" pid="5" name="fontsize">
    <vt:lpwstr>11pt</vt:lpwstr>
  </property>
  <property fmtid="{D5CDD505-2E9C-101B-9397-08002B2CF9AE}" pid="6" name="geometry">
    <vt:lpwstr/>
  </property>
  <property fmtid="{D5CDD505-2E9C-101B-9397-08002B2CF9AE}" pid="7" name="header-includes">
    <vt:lpwstr/>
  </property>
  <property fmtid="{D5CDD505-2E9C-101B-9397-08002B2CF9AE}" pid="8" name="linestretch">
    <vt:lpwstr>1.18</vt:lpwstr>
  </property>
  <property fmtid="{D5CDD505-2E9C-101B-9397-08002B2CF9AE}" pid="9" name="lof">
    <vt:lpwstr>False</vt:lpwstr>
  </property>
  <property fmtid="{D5CDD505-2E9C-101B-9397-08002B2CF9AE}" pid="10" name="lot">
    <vt:lpwstr>False</vt:lpwstr>
  </property>
  <property fmtid="{D5CDD505-2E9C-101B-9397-08002B2CF9AE}" pid="11" name="numbersections">
    <vt:lpwstr>True</vt:lpwstr>
  </property>
  <property fmtid="{D5CDD505-2E9C-101B-9397-08002B2CF9AE}" pid="12" name="papersize">
    <vt:lpwstr>a4</vt:lpwstr>
  </property>
  <property fmtid="{D5CDD505-2E9C-101B-9397-08002B2CF9AE}" pid="13" name="subtitle">
    <vt:lpwstr>A First-Class Data Model for Rule-Bearing Knowledge</vt:lpwstr>
  </property>
  <property fmtid="{D5CDD505-2E9C-101B-9397-08002B2CF9AE}" pid="14" name="toc">
    <vt:lpwstr>True</vt:lpwstr>
  </property>
  <property fmtid="{D5CDD505-2E9C-101B-9397-08002B2CF9AE}" pid="15" name="toc-depth">
    <vt:lpwstr>2</vt:lpwstr>
  </property>
  <property fmtid="{D5CDD505-2E9C-101B-9397-08002B2CF9AE}" pid="16" name="version">
    <vt:lpwstr>Preprint v1.0</vt:lpwstr>
  </property>
</Properties>
</file>