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Quantum-Augmented</w:t>
      </w:r>
      <w:r>
        <w:t xml:space="preserve"> </w:t>
      </w:r>
      <w:r>
        <w:t xml:space="preserve">Generation</w:t>
      </w:r>
    </w:p>
    <w:p>
      <w:pPr>
        <w:pStyle w:val="Subtitle"/>
      </w:pPr>
      <w:r>
        <w:t xml:space="preserve">A</w:t>
      </w:r>
      <w:r>
        <w:t xml:space="preserve"> </w:t>
      </w:r>
      <w:r>
        <w:t xml:space="preserve">Reasoning-First</w:t>
      </w:r>
      <w:r>
        <w:t xml:space="preserve"> </w:t>
      </w:r>
      <w:r>
        <w:t xml:space="preserve">Alternative</w:t>
      </w:r>
      <w:r>
        <w:t xml:space="preserve"> </w:t>
      </w:r>
      <w:r>
        <w:t xml:space="preserve">to</w:t>
      </w:r>
      <w:r>
        <w:t xml:space="preserve"> </w:t>
      </w:r>
      <w:r>
        <w:t xml:space="preserve">RAG</w:t>
      </w:r>
      <w:r>
        <w:t xml:space="preserve"> </w:t>
      </w:r>
      <w:r>
        <w:t xml:space="preserve">for</w:t>
      </w:r>
      <w:r>
        <w:t xml:space="preserve"> </w:t>
      </w:r>
      <w:r>
        <w:t xml:space="preserve">the</w:t>
      </w:r>
      <w:r>
        <w:t xml:space="preserve"> </w:t>
      </w:r>
      <w:r>
        <w:t xml:space="preserve">Regulated</w:t>
      </w:r>
      <w:r>
        <w:t xml:space="preserve"> </w:t>
      </w:r>
      <w:r>
        <w:t xml:space="preserve">Enterprise</w:t>
      </w:r>
      <w:r>
        <w:t xml:space="preserve"> </w:t>
      </w:r>
      <w:r>
        <w:t xml:space="preserve">—</w:t>
      </w:r>
      <w:r>
        <w:t xml:space="preserve"> </w:t>
      </w:r>
      <w:r>
        <w:t xml:space="preserve">Executive</w:t>
      </w:r>
      <w:r>
        <w:t xml:space="preserve"> </w:t>
      </w:r>
      <w:r>
        <w:t xml:space="preserve">Whitepaper</w:t>
      </w:r>
    </w:p>
    <w:p>
      <w:pPr>
        <w:pStyle w:val="Date"/>
      </w:pPr>
      <w:r>
        <w:t xml:space="preserve">21</w:t>
      </w:r>
      <w:r>
        <w:t xml:space="preserve"> </w:t>
      </w:r>
      <w:r>
        <w:t xml:space="preserve">April</w:t>
      </w:r>
      <w:r>
        <w:t xml:space="preserve"> </w:t>
      </w:r>
      <w:r>
        <w:t xml:space="preserve">2026</w:t>
      </w:r>
    </w:p>
    <w:p>
      <w:pPr>
        <w:pStyle w:val="AbstractTitle"/>
      </w:pPr>
      <w:r>
        <w:t xml:space="preserve">Abstract</w:t>
      </w:r>
    </w:p>
    <w:p>
      <w:pPr>
        <w:pStyle w:val="Abstract"/>
      </w:pPr>
      <w:r>
        <w:t xml:space="preserve">AI</w:t>
      </w:r>
      <w:r>
        <w:t xml:space="preserve"> </w:t>
      </w:r>
      <w:r>
        <w:t xml:space="preserve">copilots</w:t>
      </w:r>
      <w:r>
        <w:t xml:space="preserve"> </w:t>
      </w:r>
      <w:r>
        <w:t xml:space="preserve">and</w:t>
      </w:r>
      <w:r>
        <w:t xml:space="preserve"> </w:t>
      </w:r>
      <w:r>
        <w:t xml:space="preserve">agents</w:t>
      </w:r>
      <w:r>
        <w:t xml:space="preserve"> </w:t>
      </w:r>
      <w:r>
        <w:t xml:space="preserve">now</w:t>
      </w:r>
      <w:r>
        <w:t xml:space="preserve"> </w:t>
      </w:r>
      <w:r>
        <w:t xml:space="preserve">run</w:t>
      </w:r>
      <w:r>
        <w:t xml:space="preserve"> </w:t>
      </w:r>
      <w:r>
        <w:t xml:space="preserve">on</w:t>
      </w:r>
      <w:r>
        <w:t xml:space="preserve"> </w:t>
      </w:r>
      <w:r>
        <w:t xml:space="preserve">content</w:t>
      </w:r>
      <w:r>
        <w:t xml:space="preserve"> </w:t>
      </w:r>
      <w:r>
        <w:t xml:space="preserve">the</w:t>
      </w:r>
      <w:r>
        <w:t xml:space="preserve"> </w:t>
      </w:r>
      <w:r>
        <w:t xml:space="preserve">enterprise</w:t>
      </w:r>
      <w:r>
        <w:t xml:space="preserve"> </w:t>
      </w:r>
      <w:r>
        <w:t xml:space="preserve">cannot</w:t>
      </w:r>
      <w:r>
        <w:t xml:space="preserve"> </w:t>
      </w:r>
      <w:r>
        <w:t xml:space="preserve">afford</w:t>
      </w:r>
      <w:r>
        <w:t xml:space="preserve"> </w:t>
      </w:r>
      <w:r>
        <w:t xml:space="preserve">to</w:t>
      </w:r>
      <w:r>
        <w:t xml:space="preserve"> </w:t>
      </w:r>
      <w:r>
        <w:t xml:space="preserve">get</w:t>
      </w:r>
      <w:r>
        <w:t xml:space="preserve"> </w:t>
      </w:r>
      <w:r>
        <w:t xml:space="preserve">wrong</w:t>
      </w:r>
      <w:r>
        <w:t xml:space="preserve"> </w:t>
      </w:r>
      <w:r>
        <w:t xml:space="preserve">—</w:t>
      </w:r>
      <w:r>
        <w:t xml:space="preserve"> </w:t>
      </w:r>
      <w:r>
        <w:t xml:space="preserve">regulations,</w:t>
      </w:r>
      <w:r>
        <w:t xml:space="preserve"> </w:t>
      </w:r>
      <w:r>
        <w:t xml:space="preserve">policies,</w:t>
      </w:r>
      <w:r>
        <w:t xml:space="preserve"> </w:t>
      </w:r>
      <w:r>
        <w:t xml:space="preserve">contracts,</w:t>
      </w:r>
      <w:r>
        <w:t xml:space="preserve"> </w:t>
      </w:r>
      <w:r>
        <w:t xml:space="preserve">case</w:t>
      </w:r>
      <w:r>
        <w:t xml:space="preserve"> </w:t>
      </w:r>
      <w:r>
        <w:t xml:space="preserve">law,</w:t>
      </w:r>
      <w:r>
        <w:t xml:space="preserve"> </w:t>
      </w:r>
      <w:r>
        <w:t xml:space="preserve">clinical</w:t>
      </w:r>
      <w:r>
        <w:t xml:space="preserve"> </w:t>
      </w:r>
      <w:r>
        <w:t xml:space="preserve">guidelines.</w:t>
      </w:r>
      <w:r>
        <w:t xml:space="preserve"> </w:t>
      </w:r>
      <w:r>
        <w:t xml:space="preserve">The</w:t>
      </w:r>
      <w:r>
        <w:t xml:space="preserve"> </w:t>
      </w:r>
      <w:r>
        <w:t xml:space="preserve">dominant</w:t>
      </w:r>
      <w:r>
        <w:t xml:space="preserve"> </w:t>
      </w:r>
      <w:r>
        <w:t xml:space="preserve">architecture,</w:t>
      </w:r>
      <w:r>
        <w:t xml:space="preserve"> </w:t>
      </w:r>
      <w:r>
        <w:t xml:space="preserve">Retrieval-Augmented</w:t>
      </w:r>
      <w:r>
        <w:t xml:space="preserve"> </w:t>
      </w:r>
      <w:r>
        <w:t xml:space="preserve">Generation</w:t>
      </w:r>
      <w:r>
        <w:t xml:space="preserve"> </w:t>
      </w:r>
      <w:r>
        <w:t xml:space="preserve">(RAG),</w:t>
      </w:r>
      <w:r>
        <w:t xml:space="preserve"> </w:t>
      </w:r>
      <w:r>
        <w:t xml:space="preserve">was</w:t>
      </w:r>
      <w:r>
        <w:t xml:space="preserve"> </w:t>
      </w:r>
      <w:r>
        <w:t xml:space="preserve">built</w:t>
      </w:r>
      <w:r>
        <w:t xml:space="preserve"> </w:t>
      </w:r>
      <w:r>
        <w:t xml:space="preserve">for</w:t>
      </w:r>
      <w:r>
        <w:t xml:space="preserve"> </w:t>
      </w:r>
      <w:r>
        <w:t xml:space="preserve">the</w:t>
      </w:r>
      <w:r>
        <w:t xml:space="preserve"> </w:t>
      </w:r>
      <w:r>
        <w:t xml:space="preserve">open</w:t>
      </w:r>
      <w:r>
        <w:t xml:space="preserve"> </w:t>
      </w:r>
      <w:r>
        <w:t xml:space="preserve">web</w:t>
      </w:r>
      <w:r>
        <w:t xml:space="preserve"> </w:t>
      </w:r>
      <w:r>
        <w:t xml:space="preserve">and</w:t>
      </w:r>
      <w:r>
        <w:t xml:space="preserve"> </w:t>
      </w:r>
      <w:r>
        <w:t xml:space="preserve">fails</w:t>
      </w:r>
      <w:r>
        <w:t xml:space="preserve"> </w:t>
      </w:r>
      <w:r>
        <w:t xml:space="preserve">these</w:t>
      </w:r>
      <w:r>
        <w:t xml:space="preserve"> </w:t>
      </w:r>
      <w:r>
        <w:t xml:space="preserve">documents</w:t>
      </w:r>
      <w:r>
        <w:t xml:space="preserve"> </w:t>
      </w:r>
      <w:r>
        <w:t xml:space="preserve">systematically:</w:t>
      </w:r>
      <w:r>
        <w:t xml:space="preserve"> </w:t>
      </w:r>
      <w:r>
        <w:t xml:space="preserve">similar-but-contradictory</w:t>
      </w:r>
      <w:r>
        <w:t xml:space="preserve"> </w:t>
      </w:r>
      <w:r>
        <w:t xml:space="preserve">clauses</w:t>
      </w:r>
      <w:r>
        <w:t xml:space="preserve"> </w:t>
      </w:r>
      <w:r>
        <w:t xml:space="preserve">are</w:t>
      </w:r>
      <w:r>
        <w:t xml:space="preserve"> </w:t>
      </w:r>
      <w:r>
        <w:t xml:space="preserve">retrieved</w:t>
      </w:r>
      <w:r>
        <w:t xml:space="preserve"> </w:t>
      </w:r>
      <w:r>
        <w:t xml:space="preserve">as</w:t>
      </w:r>
      <w:r>
        <w:t xml:space="preserve"> </w:t>
      </w:r>
      <w:r>
        <w:t xml:space="preserve">near-duplicates,</w:t>
      </w:r>
      <w:r>
        <w:t xml:space="preserve"> </w:t>
      </w:r>
      <w:r>
        <w:t xml:space="preserve">the</w:t>
      </w:r>
      <w:r>
        <w:t xml:space="preserve"> </w:t>
      </w:r>
      <w:r>
        <w:t xml:space="preserve">generator</w:t>
      </w:r>
      <w:r>
        <w:t xml:space="preserve"> </w:t>
      </w:r>
      <w:r>
        <w:t xml:space="preserve">produces</w:t>
      </w:r>
      <w:r>
        <w:t xml:space="preserve"> </w:t>
      </w:r>
      <w:r>
        <w:t xml:space="preserve">a</w:t>
      </w:r>
      <w:r>
        <w:t xml:space="preserve"> </w:t>
      </w:r>
      <w:r>
        <w:t xml:space="preserve">confident-and-wrong</w:t>
      </w:r>
      <w:r>
        <w:t xml:space="preserve"> </w:t>
      </w:r>
      <w:r>
        <w:t xml:space="preserve">answer,</w:t>
      </w:r>
      <w:r>
        <w:t xml:space="preserve"> </w:t>
      </w:r>
      <w:r>
        <w:t xml:space="preserve">the</w:t>
      </w:r>
      <w:r>
        <w:t xml:space="preserve"> </w:t>
      </w:r>
      <w:r>
        <w:t xml:space="preserve">audit</w:t>
      </w:r>
      <w:r>
        <w:t xml:space="preserve"> </w:t>
      </w:r>
      <w:r>
        <w:t xml:space="preserve">trail</w:t>
      </w:r>
      <w:r>
        <w:t xml:space="preserve"> </w:t>
      </w:r>
      <w:r>
        <w:t xml:space="preserve">is</w:t>
      </w:r>
      <w:r>
        <w:t xml:space="preserve"> </w:t>
      </w:r>
      <w:r>
        <w:t xml:space="preserve">a</w:t>
      </w:r>
      <w:r>
        <w:t xml:space="preserve"> </w:t>
      </w:r>
      <w:r>
        <w:t xml:space="preserve">liability.</w:t>
      </w:r>
      <w:r>
        <w:t xml:space="preserve"> </w:t>
      </w:r>
      <w:r>
        <w:t xml:space="preserve">The</w:t>
      </w:r>
      <w:r>
        <w:t xml:space="preserve"> </w:t>
      </w:r>
      <w:r>
        <w:t xml:space="preserve">gap</w:t>
      </w:r>
      <w:r>
        <w:t xml:space="preserve"> </w:t>
      </w:r>
      <w:r>
        <w:t xml:space="preserve">is</w:t>
      </w:r>
      <w:r>
        <w:t xml:space="preserve"> </w:t>
      </w:r>
      <w:r>
        <w:t xml:space="preserve">categorical,</w:t>
      </w:r>
      <w:r>
        <w:t xml:space="preserve"> </w:t>
      </w:r>
      <w:r>
        <w:t xml:space="preserve">not</w:t>
      </w:r>
      <w:r>
        <w:t xml:space="preserve"> </w:t>
      </w:r>
      <w:r>
        <w:t xml:space="preserve">incremental.</w:t>
      </w:r>
      <w:r>
        <w:t xml:space="preserve"> </w:t>
      </w:r>
      <w:r>
        <w:t xml:space="preserve">On</w:t>
      </w:r>
      <w:r>
        <w:t xml:space="preserve"> </w:t>
      </w:r>
      <w:r>
        <w:t xml:space="preserve">QGI’s</w:t>
      </w:r>
      <w:r>
        <w:t xml:space="preserve"> </w:t>
      </w:r>
      <w:r>
        <w:t xml:space="preserve">regulatory-conflict</w:t>
      </w:r>
      <w:r>
        <w:t xml:space="preserve"> </w:t>
      </w:r>
      <w:r>
        <w:t xml:space="preserve">benchmark,</w:t>
      </w:r>
      <w:r>
        <w:t xml:space="preserve"> </w:t>
      </w:r>
      <w:r>
        <w:t xml:space="preserve">classical</w:t>
      </w:r>
      <w:r>
        <w:t xml:space="preserve"> </w:t>
      </w:r>
      <w:r>
        <w:t xml:space="preserve">similarity</w:t>
      </w:r>
      <w:r>
        <w:t xml:space="preserve"> </w:t>
      </w:r>
      <w:r>
        <w:t xml:space="preserve">across</w:t>
      </w:r>
      <w:r>
        <w:t xml:space="preserve"> </w:t>
      </w:r>
      <w:r>
        <w:t xml:space="preserve">five</w:t>
      </w:r>
      <w:r>
        <w:t xml:space="preserve"> </w:t>
      </w:r>
      <w:r>
        <w:t xml:space="preserve">widely</w:t>
      </w:r>
      <w:r>
        <w:t xml:space="preserve"> </w:t>
      </w:r>
      <w:r>
        <w:t xml:space="preserve">used</w:t>
      </w:r>
      <w:r>
        <w:t xml:space="preserve"> </w:t>
      </w:r>
      <w:r>
        <w:t xml:space="preserve">embedding</w:t>
      </w:r>
      <w:r>
        <w:t xml:space="preserve"> </w:t>
      </w:r>
      <w:r>
        <w:t xml:space="preserve">models</w:t>
      </w:r>
      <w:r>
        <w:t xml:space="preserve"> </w:t>
      </w:r>
      <w:r>
        <w:t xml:space="preserve">from</w:t>
      </w:r>
      <w:r>
        <w:t xml:space="preserve"> </w:t>
      </w:r>
      <w:r>
        <w:t xml:space="preserve">four</w:t>
      </w:r>
      <w:r>
        <w:t xml:space="preserve"> </w:t>
      </w:r>
      <w:r>
        <w:t xml:space="preserve">organisations</w:t>
      </w:r>
      <w:r>
        <w:t xml:space="preserve"> </w:t>
      </w:r>
      <w:r>
        <w:t xml:space="preserve">scores</w:t>
      </w:r>
      <w:r>
        <w:t xml:space="preserve"> </w:t>
      </w:r>
      <w:r>
        <w:t xml:space="preserve">an</w:t>
      </w:r>
      <w:r>
        <w:t xml:space="preserve"> </w:t>
      </w:r>
      <w:r>
        <w:t xml:space="preserve">F1</w:t>
      </w:r>
      <w:r>
        <w:t xml:space="preserve"> </w:t>
      </w:r>
      <w:r>
        <w:t xml:space="preserve">of</w:t>
      </w:r>
      <w:r>
        <w:t xml:space="preserve"> </w:t>
      </w:r>
      <w:r>
        <w:rPr>
          <w:bCs/>
          <w:b/>
        </w:rPr>
        <w:t xml:space="preserve">0.000</w:t>
      </w:r>
      <w:r>
        <w:t xml:space="preserve">;</w:t>
      </w:r>
      <w:r>
        <w:t xml:space="preserve"> </w:t>
      </w:r>
      <w:r>
        <w:t xml:space="preserve">the</w:t>
      </w:r>
      <w:r>
        <w:t xml:space="preserve"> </w:t>
      </w:r>
      <w:r>
        <w:t xml:space="preserve">QGI</w:t>
      </w:r>
      <w:r>
        <w:t xml:space="preserve"> </w:t>
      </w:r>
      <w:r>
        <w:t xml:space="preserve">engine,</w:t>
      </w:r>
      <w:r>
        <w:t xml:space="preserve"> </w:t>
      </w:r>
      <w:r>
        <w:t xml:space="preserve">driven</w:t>
      </w:r>
      <w:r>
        <w:t xml:space="preserve"> </w:t>
      </w:r>
      <w:r>
        <w:t xml:space="preserve">by</w:t>
      </w:r>
      <w:r>
        <w:t xml:space="preserve"> </w:t>
      </w:r>
      <w:r>
        <w:t xml:space="preserve">a</w:t>
      </w:r>
      <w:r>
        <w:t xml:space="preserve"> </w:t>
      </w:r>
      <w:r>
        <w:t xml:space="preserve">purpose-built</w:t>
      </w:r>
      <w:r>
        <w:t xml:space="preserve"> </w:t>
      </w:r>
      <w:r>
        <w:t xml:space="preserve">embedding</w:t>
      </w:r>
      <w:r>
        <w:t xml:space="preserve"> </w:t>
      </w:r>
      <w:r>
        <w:t xml:space="preserve">(</w:t>
      </w:r>
      <w:r>
        <w:rPr>
          <w:bCs/>
          <w:b/>
        </w:rPr>
        <w:t xml:space="preserve">Q-Prime</w:t>
      </w:r>
      <w:r>
        <w:t xml:space="preserve">),</w:t>
      </w:r>
      <w:r>
        <w:t xml:space="preserve"> </w:t>
      </w:r>
      <w:r>
        <w:t xml:space="preserve">scores</w:t>
      </w:r>
      <w:r>
        <w:t xml:space="preserve"> </w:t>
      </w:r>
      <w:r>
        <w:rPr>
          <w:bCs/>
          <w:b/>
        </w:rPr>
        <w:t xml:space="preserve">1.000</w:t>
      </w:r>
      <w:r>
        <w:t xml:space="preserve">.</w:t>
      </w:r>
    </w:p>
    <w:p>
      <w:pPr>
        <w:pStyle w:val="Abstract"/>
      </w:pPr>
      <w:r>
        <w:t xml:space="preserve">This</w:t>
      </w:r>
      <w:r>
        <w:t xml:space="preserve"> </w:t>
      </w:r>
      <w:r>
        <w:t xml:space="preserve">whitepaper</w:t>
      </w:r>
      <w:r>
        <w:t xml:space="preserve"> </w:t>
      </w:r>
      <w:r>
        <w:t xml:space="preserve">is</w:t>
      </w:r>
      <w:r>
        <w:t xml:space="preserve"> </w:t>
      </w:r>
      <w:r>
        <w:t xml:space="preserve">the</w:t>
      </w:r>
      <w:r>
        <w:t xml:space="preserve"> </w:t>
      </w:r>
      <w:r>
        <w:t xml:space="preserve">CIO</w:t>
      </w:r>
      <w:r>
        <w:t xml:space="preserve"> </w:t>
      </w:r>
      <w:r>
        <w:t xml:space="preserve">and</w:t>
      </w:r>
      <w:r>
        <w:t xml:space="preserve"> </w:t>
      </w:r>
      <w:r>
        <w:t xml:space="preserve">procurement</w:t>
      </w:r>
      <w:r>
        <w:t xml:space="preserve"> </w:t>
      </w:r>
      <w:r>
        <w:t xml:space="preserve">version</w:t>
      </w:r>
      <w:r>
        <w:t xml:space="preserve"> </w:t>
      </w:r>
      <w:r>
        <w:t xml:space="preserve">of</w:t>
      </w:r>
      <w:r>
        <w:t xml:space="preserve"> </w:t>
      </w:r>
      <w:r>
        <w:t xml:space="preserve">QGI’s</w:t>
      </w:r>
      <w:r>
        <w:t xml:space="preserve"> </w:t>
      </w:r>
      <w:r>
        <w:t xml:space="preserve">technical</w:t>
      </w:r>
      <w:r>
        <w:t xml:space="preserve"> </w:t>
      </w:r>
      <w:r>
        <w:t xml:space="preserve">paper</w:t>
      </w:r>
      <w:r>
        <w:t xml:space="preserve"> </w:t>
      </w:r>
      <w:r>
        <w:t xml:space="preserve">series.</w:t>
      </w:r>
      <w:r>
        <w:t xml:space="preserve"> </w:t>
      </w:r>
      <w:r>
        <w:t xml:space="preserve">It</w:t>
      </w:r>
      <w:r>
        <w:t xml:space="preserve"> </w:t>
      </w:r>
      <w:r>
        <w:t xml:space="preserve">explains,</w:t>
      </w:r>
      <w:r>
        <w:t xml:space="preserve"> </w:t>
      </w:r>
      <w:r>
        <w:t xml:space="preserve">without</w:t>
      </w:r>
      <w:r>
        <w:t xml:space="preserve"> </w:t>
      </w:r>
      <w:r>
        <w:t xml:space="preserve">mathematics,</w:t>
      </w:r>
      <w:r>
        <w:t xml:space="preserve"> </w:t>
      </w:r>
      <w:r>
        <w:t xml:space="preserve">what</w:t>
      </w:r>
      <w:r>
        <w:t xml:space="preserve"> </w:t>
      </w:r>
      <w:r>
        <w:rPr>
          <w:bCs/>
          <w:b/>
        </w:rPr>
        <w:t xml:space="preserve">Quantum-Augmented</w:t>
      </w:r>
      <w:r>
        <w:rPr>
          <w:bCs/>
          <w:b/>
        </w:rPr>
        <w:t xml:space="preserve"> </w:t>
      </w:r>
      <w:r>
        <w:rPr>
          <w:bCs/>
          <w:b/>
        </w:rPr>
        <w:t xml:space="preserve">Generation</w:t>
      </w:r>
      <w:r>
        <w:rPr>
          <w:bCs/>
          <w:b/>
        </w:rPr>
        <w:t xml:space="preserve"> </w:t>
      </w:r>
      <w:r>
        <w:rPr>
          <w:bCs/>
          <w:b/>
        </w:rPr>
        <w:t xml:space="preserve">(QAG)</w:t>
      </w:r>
      <w:r>
        <w:t xml:space="preserve"> </w:t>
      </w:r>
      <w:r>
        <w:t xml:space="preserve">is,</w:t>
      </w:r>
      <w:r>
        <w:t xml:space="preserve"> </w:t>
      </w:r>
      <w:r>
        <w:t xml:space="preserve">what</w:t>
      </w:r>
      <w:r>
        <w:t xml:space="preserve"> </w:t>
      </w:r>
      <w:r>
        <w:t xml:space="preserve">it</w:t>
      </w:r>
      <w:r>
        <w:t xml:space="preserve"> </w:t>
      </w:r>
      <w:r>
        <w:t xml:space="preserve">costs</w:t>
      </w:r>
      <w:r>
        <w:t xml:space="preserve"> </w:t>
      </w:r>
      <w:r>
        <w:t xml:space="preserve">today</w:t>
      </w:r>
      <w:r>
        <w:t xml:space="preserve"> </w:t>
      </w:r>
      <w:r>
        <w:t xml:space="preserve">to</w:t>
      </w:r>
      <w:r>
        <w:t xml:space="preserve"> </w:t>
      </w:r>
      <w:r>
        <w:t xml:space="preserve">run</w:t>
      </w:r>
      <w:r>
        <w:t xml:space="preserve"> </w:t>
      </w:r>
      <w:r>
        <w:t xml:space="preserve">without</w:t>
      </w:r>
      <w:r>
        <w:t xml:space="preserve"> </w:t>
      </w:r>
      <w:r>
        <w:t xml:space="preserve">it,</w:t>
      </w:r>
      <w:r>
        <w:t xml:space="preserve"> </w:t>
      </w:r>
      <w:r>
        <w:t xml:space="preserve">how</w:t>
      </w:r>
      <w:r>
        <w:t xml:space="preserve"> </w:t>
      </w:r>
      <w:r>
        <w:t xml:space="preserve">it</w:t>
      </w:r>
      <w:r>
        <w:t xml:space="preserve"> </w:t>
      </w:r>
      <w:r>
        <w:t xml:space="preserve">sits</w:t>
      </w:r>
      <w:r>
        <w:t xml:space="preserve"> </w:t>
      </w:r>
      <w:r>
        <w:t xml:space="preserve">alongside</w:t>
      </w:r>
      <w:r>
        <w:t xml:space="preserve"> </w:t>
      </w:r>
      <w:r>
        <w:t xml:space="preserve">existing</w:t>
      </w:r>
      <w:r>
        <w:t xml:space="preserve"> </w:t>
      </w:r>
      <w:r>
        <w:t xml:space="preserve">AI</w:t>
      </w:r>
      <w:r>
        <w:t xml:space="preserve"> </w:t>
      </w:r>
      <w:r>
        <w:t xml:space="preserve">investments,</w:t>
      </w:r>
      <w:r>
        <w:t xml:space="preserve"> </w:t>
      </w:r>
      <w:r>
        <w:t xml:space="preserve">and</w:t>
      </w:r>
      <w:r>
        <w:t xml:space="preserve"> </w:t>
      </w:r>
      <w:r>
        <w:t xml:space="preserve">what</w:t>
      </w:r>
      <w:r>
        <w:t xml:space="preserve"> </w:t>
      </w:r>
      <w:r>
        <w:t xml:space="preserve">evaluation</w:t>
      </w:r>
      <w:r>
        <w:t xml:space="preserve"> </w:t>
      </w:r>
      <w:r>
        <w:t xml:space="preserve">criteria</w:t>
      </w:r>
      <w:r>
        <w:t xml:space="preserve"> </w:t>
      </w:r>
      <w:r>
        <w:t xml:space="preserve">your</w:t>
      </w:r>
      <w:r>
        <w:t xml:space="preserve"> </w:t>
      </w:r>
      <w:r>
        <w:t xml:space="preserve">team</w:t>
      </w:r>
      <w:r>
        <w:t xml:space="preserve"> </w:t>
      </w:r>
      <w:r>
        <w:t xml:space="preserve">should</w:t>
      </w:r>
      <w:r>
        <w:t xml:space="preserve"> </w:t>
      </w:r>
      <w:r>
        <w:t xml:space="preserve">use</w:t>
      </w:r>
      <w:r>
        <w:t xml:space="preserve"> </w:t>
      </w:r>
      <w:r>
        <w:t xml:space="preserve">when</w:t>
      </w:r>
      <w:r>
        <w:t xml:space="preserve"> </w:t>
      </w:r>
      <w:r>
        <w:t xml:space="preserve">selecting</w:t>
      </w:r>
      <w:r>
        <w:t xml:space="preserve"> </w:t>
      </w:r>
      <w:r>
        <w:t xml:space="preserve">an</w:t>
      </w:r>
      <w:r>
        <w:t xml:space="preserve"> </w:t>
      </w:r>
      <w:r>
        <w:t xml:space="preserve">AI</w:t>
      </w:r>
      <w:r>
        <w:t xml:space="preserve"> </w:t>
      </w:r>
      <w:r>
        <w:t xml:space="preserve">vendor</w:t>
      </w:r>
      <w:r>
        <w:t xml:space="preserve"> </w:t>
      </w:r>
      <w:r>
        <w:t xml:space="preserve">for</w:t>
      </w:r>
      <w:r>
        <w:t xml:space="preserve"> </w:t>
      </w:r>
      <w:r>
        <w:t xml:space="preserve">rule-bearing</w:t>
      </w:r>
      <w:r>
        <w:t xml:space="preserve"> </w:t>
      </w:r>
      <w:r>
        <w:t xml:space="preserve">content.</w:t>
      </w:r>
      <w:r>
        <w:t xml:space="preserve"> </w:t>
      </w:r>
      <w:r>
        <w:t xml:space="preserve">A</w:t>
      </w:r>
      <w:r>
        <w:t xml:space="preserve"> </w:t>
      </w:r>
      <w:r>
        <w:t xml:space="preserve">six-point</w:t>
      </w:r>
      <w:r>
        <w:t xml:space="preserve"> </w:t>
      </w:r>
      <w:r>
        <w:t xml:space="preserve">evaluation</w:t>
      </w:r>
      <w:r>
        <w:t xml:space="preserve"> </w:t>
      </w:r>
      <w:r>
        <w:t xml:space="preserve">checklist</w:t>
      </w:r>
      <w:r>
        <w:t xml:space="preserve"> </w:t>
      </w:r>
      <w:r>
        <w:t xml:space="preserve">is</w:t>
      </w:r>
      <w:r>
        <w:t xml:space="preserve"> </w:t>
      </w:r>
      <w:r>
        <w:t xml:space="preserve">provided</w:t>
      </w:r>
      <w:r>
        <w:t xml:space="preserve"> </w:t>
      </w:r>
      <w:r>
        <w:t xml:space="preserve">for</w:t>
      </w:r>
      <w:r>
        <w:t xml:space="preserve"> </w:t>
      </w:r>
      <w:r>
        <w:t xml:space="preserve">use</w:t>
      </w:r>
      <w:r>
        <w:t xml:space="preserve"> </w:t>
      </w:r>
      <w:r>
        <w:t xml:space="preserve">in</w:t>
      </w:r>
      <w:r>
        <w:t xml:space="preserve"> </w:t>
      </w:r>
      <w:r>
        <w:t xml:space="preserve">RFPs.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Cs/>
          <w:b/>
        </w:rPr>
        <w:t xml:space="preserve">Executive Whitepaper — v1.0, 21 April 2026.</w:t>
      </w:r>
      <w:r>
        <w:t xml:space="preserve"> </w:t>
      </w:r>
      <w:r>
        <w:t xml:space="preserve">Authored by Dr. Sam Sammane, CTO and Founder, Quantum General</w:t>
      </w:r>
      <w:r>
        <w:t xml:space="preserve"> </w:t>
      </w:r>
      <w:r>
        <w:t xml:space="preserve">Intelligence, Inc. (</w:t>
      </w:r>
      <w:r>
        <w:rPr>
          <w:rStyle w:val="VerbatimChar"/>
        </w:rPr>
        <w:t xml:space="preserve">sam@qgi.dev</w:t>
      </w:r>
      <w:r>
        <w:t xml:space="preserve">). Companion to the QAG technical</w:t>
      </w:r>
      <w:r>
        <w:t xml:space="preserve"> </w:t>
      </w:r>
      <w:r>
        <w:t xml:space="preserve">paper [QGI-TR-2026-01]. Intended audience: CIO, CRO, Chief</w:t>
      </w:r>
      <w:r>
        <w:t xml:space="preserve"> </w:t>
      </w:r>
      <w:r>
        <w:t xml:space="preserve">Compliance Officer, VP Engineering, Head of AI Governance.</w:t>
      </w:r>
    </w:p>
    <w:bookmarkStart w:id="20" w:name="the-cost-of-getting-rules-wrong"/>
    <w:p>
      <w:pPr>
        <w:pStyle w:val="Heading1"/>
      </w:pPr>
      <w:r>
        <w:t xml:space="preserve">The cost of getting rules wrong</w:t>
      </w:r>
    </w:p>
    <w:p>
      <w:pPr>
        <w:pStyle w:val="FirstParagraph"/>
      </w:pPr>
      <w:r>
        <w:t xml:space="preserve">A regulated enterprise runs on rules. Regulations, internal policies,</w:t>
      </w:r>
      <w:r>
        <w:t xml:space="preserve"> </w:t>
      </w:r>
      <w:r>
        <w:t xml:space="preserve">supplier contracts, clinical guidelines, trading limits, franchise</w:t>
      </w:r>
      <w:r>
        <w:t xml:space="preserve"> </w:t>
      </w:r>
      <w:r>
        <w:t xml:space="preserve">agreements, collective-bargaining agreements — the list is long</w:t>
      </w:r>
      <w:r>
        <w:t xml:space="preserve"> </w:t>
      </w:r>
      <w:r>
        <w:t xml:space="preserve">and each entry encodes structure that a human counsel can read and</w:t>
      </w:r>
      <w:r>
        <w:t xml:space="preserve"> </w:t>
      </w:r>
      <w:r>
        <w:t xml:space="preserve">that a standard AI system cannot. That structure includes triggers</w:t>
      </w:r>
      <w:r>
        <w:t xml:space="preserve"> </w:t>
      </w:r>
      <w:r>
        <w:t xml:space="preserve">(</w:t>
      </w:r>
      <w:r>
        <w:t xml:space="preserve">“</w:t>
      </w:r>
      <w:r>
        <w:t xml:space="preserve">when X happens</w:t>
      </w:r>
      <w:r>
        <w:t xml:space="preserve">”</w:t>
      </w:r>
      <w:r>
        <w:t xml:space="preserve">), conditions (</w:t>
      </w:r>
      <w:r>
        <w:t xml:space="preserve">“</w:t>
      </w:r>
      <w:r>
        <w:t xml:space="preserve">provided that Y</w:t>
      </w:r>
      <w:r>
        <w:t xml:space="preserve">”</w:t>
      </w:r>
      <w:r>
        <w:t xml:space="preserve">), obligations</w:t>
      </w:r>
      <w:r>
        <w:t xml:space="preserve"> </w:t>
      </w:r>
      <w:r>
        <w:t xml:space="preserve">(</w:t>
      </w:r>
      <w:r>
        <w:t xml:space="preserve">“</w:t>
      </w:r>
      <w:r>
        <w:t xml:space="preserve">the institution shall report within 30 days</w:t>
      </w:r>
      <w:r>
        <w:t xml:space="preserve">”</w:t>
      </w:r>
      <w:r>
        <w:t xml:space="preserve">), exceptions (</w:t>
      </w:r>
      <w:r>
        <w:t xml:space="preserve">“</w:t>
      </w:r>
      <w:r>
        <w:t xml:space="preserve">except</w:t>
      </w:r>
      <w:r>
        <w:t xml:space="preserve"> </w:t>
      </w:r>
      <w:r>
        <w:t xml:space="preserve">where Z applies</w:t>
      </w:r>
      <w:r>
        <w:t xml:space="preserve">”</w:t>
      </w:r>
      <w:r>
        <w:t xml:space="preserve">), and cross-references (</w:t>
      </w:r>
      <w:r>
        <w:t xml:space="preserve">“</w:t>
      </w:r>
      <w:r>
        <w:t xml:space="preserve">see §4.2(b)</w:t>
      </w:r>
      <w:r>
        <w:t xml:space="preserve">”</w:t>
      </w:r>
      <w:r>
        <w:t xml:space="preserve">).</w:t>
      </w:r>
    </w:p>
    <w:p>
      <w:pPr>
        <w:pStyle w:val="BodyText"/>
      </w:pPr>
      <w:r>
        <w:t xml:space="preserve">What happens today when an enterprise asks a standard AI copilot a</w:t>
      </w:r>
      <w:r>
        <w:t xml:space="preserve"> </w:t>
      </w:r>
      <w:r>
        <w:t xml:space="preserve">question about its own policies? The copilot retrieves the passages</w:t>
      </w:r>
      <w:r>
        <w:t xml:space="preserve"> </w:t>
      </w:r>
      <w:r>
        <w:t xml:space="preserve">in its index most similar to the question, concatenates them into a</w:t>
      </w:r>
      <w:r>
        <w:t xml:space="preserve"> </w:t>
      </w:r>
      <w:r>
        <w:t xml:space="preserve">prompt, and asks a language model to summarise. If two of the</w:t>
      </w:r>
      <w:r>
        <w:t xml:space="preserve"> </w:t>
      </w:r>
      <w:r>
        <w:t xml:space="preserve">retrieved passages are</w:t>
      </w:r>
      <w:r>
        <w:t xml:space="preserve"> </w:t>
      </w:r>
      <w:r>
        <w:rPr>
          <w:iCs/>
          <w:i/>
        </w:rPr>
        <w:t xml:space="preserve">similar but contradictory</w:t>
      </w:r>
      <w:r>
        <w:t xml:space="preserve"> </w:t>
      </w:r>
      <w:r>
        <w:t xml:space="preserve">— for example,</w:t>
      </w:r>
      <w:r>
        <w:t xml:space="preserve"> </w:t>
      </w:r>
      <w:r>
        <w:t xml:space="preserve">“</w:t>
      </w:r>
      <w:r>
        <w:t xml:space="preserve">the institution must disclose</w:t>
      </w:r>
      <w:r>
        <w:t xml:space="preserve">”</w:t>
      </w:r>
      <w:r>
        <w:t xml:space="preserve"> </w:t>
      </w:r>
      <w:r>
        <w:t xml:space="preserve">and</w:t>
      </w:r>
      <w:r>
        <w:t xml:space="preserve"> </w:t>
      </w:r>
      <w:r>
        <w:t xml:space="preserve">“</w:t>
      </w:r>
      <w:r>
        <w:t xml:space="preserve">the institution must not</w:t>
      </w:r>
      <w:r>
        <w:t xml:space="preserve"> </w:t>
      </w:r>
      <w:r>
        <w:t xml:space="preserve">disclose</w:t>
      </w:r>
      <w:r>
        <w:t xml:space="preserve">”</w:t>
      </w:r>
      <w:r>
        <w:t xml:space="preserve"> </w:t>
      </w:r>
      <w:r>
        <w:t xml:space="preserve">— the copilot cannot tell. It produces a fluent, confident</w:t>
      </w:r>
      <w:r>
        <w:t xml:space="preserve"> </w:t>
      </w:r>
      <w:r>
        <w:t xml:space="preserve">answer that references both. The language model downstream has no</w:t>
      </w:r>
      <w:r>
        <w:t xml:space="preserve"> </w:t>
      </w:r>
      <w:r>
        <w:t xml:space="preserve">way to know that the underlying evidence contradicts itself.</w:t>
      </w:r>
    </w:p>
    <w:p>
      <w:pPr>
        <w:pStyle w:val="BodyText"/>
      </w:pPr>
      <w:r>
        <w:t xml:space="preserve">The business consequences are well known to anyone who has run</w:t>
      </w:r>
      <w:r>
        <w:t xml:space="preserve"> </w:t>
      </w:r>
      <w:r>
        <w:t xml:space="preserve">compliance on the receiving end of an AI-generated answer:</w:t>
      </w:r>
    </w:p>
    <w:p>
      <w:pPr>
        <w:numPr>
          <w:ilvl w:val="0"/>
          <w:numId w:val="1001"/>
        </w:numPr>
        <w:pStyle w:val="Compact"/>
      </w:pPr>
      <w:r>
        <w:rPr>
          <w:bCs/>
          <w:b/>
        </w:rPr>
        <w:t xml:space="preserve">Wrong answers in the audit report.</w:t>
      </w:r>
      <w:r>
        <w:t xml:space="preserve"> </w:t>
      </w:r>
      <w:r>
        <w:t xml:space="preserve">A regulator asks about</w:t>
      </w:r>
      <w:r>
        <w:t xml:space="preserve"> </w:t>
      </w:r>
      <w:r>
        <w:t xml:space="preserve">the firm’s policy; the copilot cites a superseded paragraph</w:t>
      </w:r>
      <w:r>
        <w:t xml:space="preserve"> </w:t>
      </w:r>
      <w:r>
        <w:t xml:space="preserve">alongside the current one; the answer is produced under a plausible</w:t>
      </w:r>
      <w:r>
        <w:t xml:space="preserve"> </w:t>
      </w:r>
      <w:r>
        <w:t xml:space="preserve">but incorrect synthesis.</w:t>
      </w:r>
    </w:p>
    <w:p>
      <w:pPr>
        <w:numPr>
          <w:ilvl w:val="0"/>
          <w:numId w:val="1001"/>
        </w:numPr>
        <w:pStyle w:val="Compact"/>
      </w:pPr>
      <w:r>
        <w:rPr>
          <w:bCs/>
          <w:b/>
        </w:rPr>
        <w:t xml:space="preserve">Silent policy drift.</w:t>
      </w:r>
      <w:r>
        <w:t xml:space="preserve"> </w:t>
      </w:r>
      <w:r>
        <w:t xml:space="preserve">New regulations arrive quarterly; the</w:t>
      </w:r>
      <w:r>
        <w:t xml:space="preserve"> </w:t>
      </w:r>
      <w:r>
        <w:t xml:space="preserve">copilot never flags the contradictions between new regulation and</w:t>
      </w:r>
      <w:r>
        <w:t xml:space="preserve"> </w:t>
      </w:r>
      <w:r>
        <w:t xml:space="preserve">existing policy, so contradictions accumulate until a human notices</w:t>
      </w:r>
      <w:r>
        <w:t xml:space="preserve"> </w:t>
      </w:r>
      <w:r>
        <w:t xml:space="preserve">them.</w:t>
      </w:r>
    </w:p>
    <w:p>
      <w:pPr>
        <w:numPr>
          <w:ilvl w:val="0"/>
          <w:numId w:val="1001"/>
        </w:numPr>
        <w:pStyle w:val="Compact"/>
      </w:pPr>
      <w:r>
        <w:rPr>
          <w:bCs/>
          <w:b/>
        </w:rPr>
        <w:t xml:space="preserve">Contract inconsistency at scale.</w:t>
      </w:r>
      <w:r>
        <w:t xml:space="preserve"> </w:t>
      </w:r>
      <w:r>
        <w:t xml:space="preserve">Vendor contracts signed under</w:t>
      </w:r>
      <w:r>
        <w:t xml:space="preserve"> </w:t>
      </w:r>
      <w:r>
        <w:t xml:space="preserve">different legal teams over five years contain conflicting</w:t>
      </w:r>
      <w:r>
        <w:t xml:space="preserve"> </w:t>
      </w:r>
      <w:r>
        <w:t xml:space="preserve">termination clauses; the standard copilot treats them as related</w:t>
      </w:r>
      <w:r>
        <w:t xml:space="preserve"> </w:t>
      </w:r>
      <w:r>
        <w:t xml:space="preserve">but does not surface the conflict.</w:t>
      </w:r>
    </w:p>
    <w:p>
      <w:pPr>
        <w:numPr>
          <w:ilvl w:val="0"/>
          <w:numId w:val="1001"/>
        </w:numPr>
        <w:pStyle w:val="Compact"/>
      </w:pPr>
      <w:r>
        <w:rPr>
          <w:bCs/>
          <w:b/>
        </w:rPr>
        <w:t xml:space="preserve">Unusable provenance.</w:t>
      </w:r>
      <w:r>
        <w:t xml:space="preserve"> </w:t>
      </w:r>
      <w:r>
        <w:t xml:space="preserve">A regulator or internal auditor asks</w:t>
      </w:r>
      <w:r>
        <w:t xml:space="preserve"> </w:t>
      </w:r>
      <w:r>
        <w:t xml:space="preserve">“</w:t>
      </w:r>
      <w:r>
        <w:t xml:space="preserve">why did the AI answer this way?</w:t>
      </w:r>
      <w:r>
        <w:t xml:space="preserve">”</w:t>
      </w:r>
      <w:r>
        <w:t xml:space="preserve">. The copilot can return the</w:t>
      </w:r>
      <w:r>
        <w:t xml:space="preserve"> </w:t>
      </w:r>
      <w:r>
        <w:t xml:space="preserve">chunks it retrieved, but cannot explain why those chunks rather</w:t>
      </w:r>
      <w:r>
        <w:t xml:space="preserve"> </w:t>
      </w:r>
      <w:r>
        <w:t xml:space="preserve">than others, nor reproduce the answer next quarter if the</w:t>
      </w:r>
      <w:r>
        <w:t xml:space="preserve"> </w:t>
      </w:r>
      <w:r>
        <w:t xml:space="preserve">embedding model has been updated.</w:t>
      </w:r>
    </w:p>
    <w:p>
      <w:pPr>
        <w:pStyle w:val="FirstParagraph"/>
      </w:pPr>
      <w:r>
        <w:t xml:space="preserve">These are not edge cases. They are the default failure mode of the</w:t>
      </w:r>
      <w:r>
        <w:t xml:space="preserve"> </w:t>
      </w:r>
      <w:r>
        <w:t xml:space="preserve">dominant AI architecture applied to the work the regulated enterprise</w:t>
      </w:r>
      <w:r>
        <w:t xml:space="preserve"> </w:t>
      </w:r>
      <w:r>
        <w:t xml:space="preserve">actually does.</w:t>
      </w:r>
    </w:p>
    <w:bookmarkEnd w:id="20"/>
    <w:bookmarkStart w:id="21" w:name="whats-broken-similarity-based-retrieval"/>
    <w:p>
      <w:pPr>
        <w:pStyle w:val="Heading1"/>
      </w:pPr>
      <w:r>
        <w:t xml:space="preserve">What’s broken: similarity-based retrieval</w:t>
      </w:r>
    </w:p>
    <w:p>
      <w:pPr>
        <w:pStyle w:val="FirstParagraph"/>
      </w:pPr>
      <w:r>
        <w:t xml:space="preserve">The failure mode has a single root cause. Every standard AI copilot</w:t>
      </w:r>
      <w:r>
        <w:t xml:space="preserve"> </w:t>
      </w:r>
      <w:r>
        <w:t xml:space="preserve">relies on</w:t>
      </w:r>
      <w:r>
        <w:t xml:space="preserve"> </w:t>
      </w:r>
      <w:r>
        <w:rPr>
          <w:iCs/>
          <w:i/>
        </w:rPr>
        <w:t xml:space="preserve">similarity-based retrieval</w:t>
      </w:r>
      <w:r>
        <w:t xml:space="preserve">: pieces of text are converted</w:t>
      </w:r>
      <w:r>
        <w:t xml:space="preserve"> </w:t>
      </w:r>
      <w:r>
        <w:t xml:space="preserve">into vectors by an embedding model, and the system returns the</w:t>
      </w:r>
      <w:r>
        <w:t xml:space="preserve"> </w:t>
      </w:r>
      <w:r>
        <w:t xml:space="preserve">passages whose vectors are closest to the question’s vector. The</w:t>
      </w:r>
      <w:r>
        <w:t xml:space="preserve"> </w:t>
      </w:r>
      <w:r>
        <w:t xml:space="preserve">approach is beautifully simple. It has one property that disqualifies</w:t>
      </w:r>
      <w:r>
        <w:t xml:space="preserve"> </w:t>
      </w:r>
      <w:r>
        <w:t xml:space="preserve">it for rule-bearing content: similarity is indifferent to</w:t>
      </w:r>
      <w:r>
        <w:t xml:space="preserve"> </w:t>
      </w:r>
      <w:r>
        <w:rPr>
          <w:iCs/>
          <w:i/>
        </w:rPr>
        <w:t xml:space="preserve">contradiction</w:t>
      </w:r>
      <w:r>
        <w:t xml:space="preserve">.</w:t>
      </w:r>
    </w:p>
    <w:p>
      <w:pPr>
        <w:pStyle w:val="BodyText"/>
      </w:pPr>
      <w:r>
        <w:t xml:space="preserve">Two passages that say the opposite of each other —</w:t>
      </w:r>
      <w:r>
        <w:t xml:space="preserve"> </w:t>
      </w:r>
      <w:r>
        <w:t xml:space="preserve">“</w:t>
      </w:r>
      <w:r>
        <w:t xml:space="preserve">must disclose</w:t>
      </w:r>
      <w:r>
        <w:t xml:space="preserve">”</w:t>
      </w:r>
      <w:r>
        <w:t xml:space="preserve"> </w:t>
      </w:r>
      <w:r>
        <w:t xml:space="preserve">and</w:t>
      </w:r>
      <w:r>
        <w:t xml:space="preserve"> </w:t>
      </w:r>
      <w:r>
        <w:t xml:space="preserve">“</w:t>
      </w:r>
      <w:r>
        <w:t xml:space="preserve">must not disclose</w:t>
      </w:r>
      <w:r>
        <w:t xml:space="preserve">”</w:t>
      </w:r>
      <w:r>
        <w:t xml:space="preserve"> </w:t>
      </w:r>
      <w:r>
        <w:t xml:space="preserve">— are close to each other in vector space.</w:t>
      </w:r>
      <w:r>
        <w:t xml:space="preserve"> </w:t>
      </w:r>
      <w:r>
        <w:t xml:space="preserve">So are two paraphrases of the same rule. The system cannot</w:t>
      </w:r>
      <w:r>
        <w:t xml:space="preserve"> </w:t>
      </w:r>
      <w:r>
        <w:t xml:space="preserve">distinguish them. From the downstream generator’s perspective, they</w:t>
      </w:r>
      <w:r>
        <w:t xml:space="preserve"> </w:t>
      </w:r>
      <w:r>
        <w:t xml:space="preserve">are interchangeable pieces of evidence.</w:t>
      </w:r>
    </w:p>
    <w:p>
      <w:pPr>
        <w:pStyle w:val="BodyText"/>
      </w:pPr>
      <w:r>
        <w:t xml:space="preserve">This is not a tuning problem. Larger models do not make the</w:t>
      </w:r>
      <w:r>
        <w:t xml:space="preserve"> </w:t>
      </w:r>
      <w:r>
        <w:t xml:space="preserve">disagreement between</w:t>
      </w:r>
      <w:r>
        <w:t xml:space="preserve"> </w:t>
      </w:r>
      <w:r>
        <w:t xml:space="preserve">“</w:t>
      </w:r>
      <w:r>
        <w:t xml:space="preserve">must</w:t>
      </w:r>
      <w:r>
        <w:t xml:space="preserve">”</w:t>
      </w:r>
      <w:r>
        <w:t xml:space="preserve"> </w:t>
      </w:r>
      <w:r>
        <w:t xml:space="preserve">and</w:t>
      </w:r>
      <w:r>
        <w:t xml:space="preserve"> </w:t>
      </w:r>
      <w:r>
        <w:t xml:space="preserve">“</w:t>
      </w:r>
      <w:r>
        <w:t xml:space="preserve">must not</w:t>
      </w:r>
      <w:r>
        <w:t xml:space="preserve">”</w:t>
      </w:r>
      <w:r>
        <w:t xml:space="preserve"> </w:t>
      </w:r>
      <w:r>
        <w:t xml:space="preserve">larger. The issue is the</w:t>
      </w:r>
      <w:r>
        <w:t xml:space="preserve"> </w:t>
      </w:r>
      <w:r>
        <w:t xml:space="preserve">primitive itself, built into the embedding model’s training</w:t>
      </w:r>
      <w:r>
        <w:t xml:space="preserve"> </w:t>
      </w:r>
      <w:r>
        <w:t xml:space="preserve">objective. Every widely deployed general-purpose embedding —</w:t>
      </w:r>
      <w:r>
        <w:t xml:space="preserve"> </w:t>
      </w:r>
      <w:r>
        <w:t xml:space="preserve">OpenAI, Cohere, Anthropic, BGE, E5, GTE — shares the primitive.</w:t>
      </w:r>
      <w:r>
        <w:t xml:space="preserve"> </w:t>
      </w:r>
      <w:r>
        <w:t xml:space="preserve">Swapping one for another does not resolve the failure. A longer</w:t>
      </w:r>
      <w:r>
        <w:t xml:space="preserve"> </w:t>
      </w:r>
      <w:r>
        <w:t xml:space="preserve">context window does not resolve it either; longer contexts contain</w:t>
      </w:r>
      <w:r>
        <w:t xml:space="preserve"> </w:t>
      </w:r>
      <w:r>
        <w:t xml:space="preserve">more contradictions, not fewer.</w:t>
      </w:r>
    </w:p>
    <w:p>
      <w:pPr>
        <w:pStyle w:val="BodyText"/>
      </w:pPr>
      <w:r>
        <w:t xml:space="preserve">The correct response is to change the primitive.</w:t>
      </w:r>
    </w:p>
    <w:bookmarkEnd w:id="21"/>
    <w:bookmarkStart w:id="22" w:name="what-qag-does-differently"/>
    <w:p>
      <w:pPr>
        <w:pStyle w:val="Heading1"/>
      </w:pPr>
      <w:r>
        <w:t xml:space="preserve">What QAG does differently</w:t>
      </w:r>
    </w:p>
    <w:p>
      <w:pPr>
        <w:pStyle w:val="FirstParagraph"/>
      </w:pPr>
      <w:r>
        <w:rPr>
          <w:bCs/>
          <w:b/>
        </w:rPr>
        <w:t xml:space="preserve">Quantum-Augmented Generation (QAG)</w:t>
      </w:r>
      <w:r>
        <w:t xml:space="preserve"> </w:t>
      </w:r>
      <w:r>
        <w:t xml:space="preserve">is QGI’s replacement for the</w:t>
      </w:r>
      <w:r>
        <w:t xml:space="preserve"> </w:t>
      </w:r>
      <w:r>
        <w:t xml:space="preserve">retrieve-then-stuff primitive. It is built around four architectural</w:t>
      </w:r>
      <w:r>
        <w:t xml:space="preserve"> </w:t>
      </w:r>
      <w:r>
        <w:t xml:space="preserve">choices that give it properties standard copilots cannot match. In</w:t>
      </w:r>
      <w:r>
        <w:t xml:space="preserve"> </w:t>
      </w:r>
      <w:r>
        <w:t xml:space="preserve">plain language:</w:t>
      </w:r>
    </w:p>
    <w:p>
      <w:pPr>
        <w:pStyle w:val="BodyText"/>
      </w:pPr>
      <w:r>
        <w:rPr>
          <w:bCs/>
          <w:b/>
        </w:rPr>
        <w:t xml:space="preserve">Choice 1 — Understand structure, not just text.</w:t>
      </w:r>
      <w:r>
        <w:t xml:space="preserve"> </w:t>
      </w:r>
      <w:r>
        <w:t xml:space="preserve">QAG uses a</w:t>
      </w:r>
      <w:r>
        <w:t xml:space="preserve"> </w:t>
      </w:r>
      <w:r>
        <w:t xml:space="preserve">deterministic, algorithmic parser (</w:t>
      </w:r>
      <w:r>
        <w:rPr>
          <w:bCs/>
          <w:b/>
        </w:rPr>
        <w:t xml:space="preserve">QNR2</w:t>
      </w:r>
      <w:r>
        <w:t xml:space="preserve">) to read each rule and</w:t>
      </w:r>
      <w:r>
        <w:t xml:space="preserve"> </w:t>
      </w:r>
      <w:r>
        <w:t xml:space="preserve">extract its structure: trigger, condition, action, exception,</w:t>
      </w:r>
      <w:r>
        <w:t xml:space="preserve"> </w:t>
      </w:r>
      <w:r>
        <w:t xml:space="preserve">obligation strength, scope, cross-references. The parser produces</w:t>
      </w:r>
      <w:r>
        <w:t xml:space="preserve"> </w:t>
      </w:r>
      <w:r>
        <w:t xml:space="preserve">the same output every time and records why it produced what it did.</w:t>
      </w:r>
    </w:p>
    <w:p>
      <w:pPr>
        <w:pStyle w:val="BodyText"/>
      </w:pPr>
      <w:r>
        <w:rPr>
          <w:bCs/>
          <w:b/>
        </w:rPr>
        <w:t xml:space="preserve">Choice 2 — Store rules as a graph, not a list.</w:t>
      </w:r>
      <w:r>
        <w:t xml:space="preserve"> </w:t>
      </w:r>
      <w:r>
        <w:t xml:space="preserve">Parsed rules</w:t>
      </w:r>
      <w:r>
        <w:t xml:space="preserve"> </w:t>
      </w:r>
      <w:r>
        <w:t xml:space="preserve">live in a</w:t>
      </w:r>
      <w:r>
        <w:t xml:space="preserve"> </w:t>
      </w:r>
      <w:r>
        <w:rPr>
          <w:bCs/>
          <w:b/>
        </w:rPr>
        <w:t xml:space="preserve">Quantum HyperGraph (QHG)</w:t>
      </w:r>
      <w:r>
        <w:t xml:space="preserve">, where each connection can</w:t>
      </w:r>
      <w:r>
        <w:t xml:space="preserve"> </w:t>
      </w:r>
      <w:r>
        <w:t xml:space="preserve">link any number of rules at once. That is what real compliance looks</w:t>
      </w:r>
      <w:r>
        <w:t xml:space="preserve"> </w:t>
      </w:r>
      <w:r>
        <w:t xml:space="preserve">like: a single obligation typically joins three or four rules</w:t>
      </w:r>
      <w:r>
        <w:t xml:space="preserve"> </w:t>
      </w:r>
      <w:r>
        <w:t xml:space="preserve">simultaneously. The graph is immutable — past states can always be</w:t>
      </w:r>
      <w:r>
        <w:t xml:space="preserve"> </w:t>
      </w:r>
      <w:r>
        <w:t xml:space="preserve">recovered — and changes produce new versions, not overwrites.</w:t>
      </w:r>
    </w:p>
    <w:p>
      <w:pPr>
        <w:pStyle w:val="BodyText"/>
      </w:pPr>
      <w:r>
        <w:rPr>
          <w:bCs/>
          <w:b/>
        </w:rPr>
        <w:t xml:space="preserve">Choice 3 — Measure agreement and disagreement, not just</w:t>
      </w:r>
      <w:r>
        <w:rPr>
          <w:bCs/>
          <w:b/>
        </w:rPr>
        <w:t xml:space="preserve"> </w:t>
      </w:r>
      <w:r>
        <w:rPr>
          <w:bCs/>
          <w:b/>
        </w:rPr>
        <w:t xml:space="preserve">similarity.</w:t>
      </w:r>
      <w:r>
        <w:t xml:space="preserve"> </w:t>
      </w:r>
      <w:r>
        <w:t xml:space="preserve">QAG uses a purpose-built embedding model</w:t>
      </w:r>
      <w:r>
        <w:t xml:space="preserve"> </w:t>
      </w:r>
      <w:r>
        <w:t xml:space="preserve">(</w:t>
      </w:r>
      <w:r>
        <w:rPr>
          <w:bCs/>
          <w:b/>
        </w:rPr>
        <w:t xml:space="preserve">Q-Prime</w:t>
      </w:r>
      <w:r>
        <w:t xml:space="preserve">) that preserves</w:t>
      </w:r>
      <w:r>
        <w:t xml:space="preserve"> </w:t>
      </w:r>
      <w:r>
        <w:rPr>
          <w:iCs/>
          <w:i/>
        </w:rPr>
        <w:t xml:space="preserve">polarity</w:t>
      </w:r>
      <w:r>
        <w:t xml:space="preserve"> </w:t>
      </w:r>
      <w:r>
        <w:t xml:space="preserve">(the difference between</w:t>
      </w:r>
      <w:r>
        <w:t xml:space="preserve"> </w:t>
      </w:r>
      <w:r>
        <w:t xml:space="preserve">“</w:t>
      </w:r>
      <w:r>
        <w:t xml:space="preserve">must</w:t>
      </w:r>
      <w:r>
        <w:t xml:space="preserve">”</w:t>
      </w:r>
      <w:r>
        <w:t xml:space="preserve"> </w:t>
      </w:r>
      <w:r>
        <w:t xml:space="preserve">and</w:t>
      </w:r>
      <w:r>
        <w:t xml:space="preserve"> </w:t>
      </w:r>
      <w:r>
        <w:t xml:space="preserve">“</w:t>
      </w:r>
      <w:r>
        <w:t xml:space="preserve">must not</w:t>
      </w:r>
      <w:r>
        <w:t xml:space="preserve">”</w:t>
      </w:r>
      <w:r>
        <w:t xml:space="preserve">),</w:t>
      </w:r>
      <w:r>
        <w:t xml:space="preserve"> </w:t>
      </w:r>
      <w:r>
        <w:rPr>
          <w:iCs/>
          <w:i/>
        </w:rPr>
        <w:t xml:space="preserve">scope</w:t>
      </w:r>
      <w:r>
        <w:t xml:space="preserve"> </w:t>
      </w:r>
      <w:r>
        <w:t xml:space="preserve">(the difference between</w:t>
      </w:r>
      <w:r>
        <w:t xml:space="preserve"> </w:t>
      </w:r>
      <w:r>
        <w:t xml:space="preserve">“</w:t>
      </w:r>
      <w:r>
        <w:t xml:space="preserve">all</w:t>
      </w:r>
      <w:r>
        <w:t xml:space="preserve">”</w:t>
      </w:r>
      <w:r>
        <w:t xml:space="preserve"> </w:t>
      </w:r>
      <w:r>
        <w:t xml:space="preserve">and</w:t>
      </w:r>
      <w:r>
        <w:t xml:space="preserve"> </w:t>
      </w:r>
      <w:r>
        <w:t xml:space="preserve">“</w:t>
      </w:r>
      <w:r>
        <w:t xml:space="preserve">some</w:t>
      </w:r>
      <w:r>
        <w:t xml:space="preserve">”</w:t>
      </w:r>
      <w:r>
        <w:t xml:space="preserve">), and</w:t>
      </w:r>
      <w:r>
        <w:t xml:space="preserve"> </w:t>
      </w:r>
      <w:r>
        <w:rPr>
          <w:iCs/>
          <w:i/>
        </w:rPr>
        <w:t xml:space="preserve">obligation strength</w:t>
      </w:r>
      <w:r>
        <w:t xml:space="preserve"> </w:t>
      </w:r>
      <w:r>
        <w:t xml:space="preserve">(the difference between</w:t>
      </w:r>
      <w:r>
        <w:t xml:space="preserve"> </w:t>
      </w:r>
      <w:r>
        <w:t xml:space="preserve">“</w:t>
      </w:r>
      <w:r>
        <w:t xml:space="preserve">must</w:t>
      </w:r>
      <w:r>
        <w:t xml:space="preserve">”</w:t>
      </w:r>
      <w:r>
        <w:t xml:space="preserve"> </w:t>
      </w:r>
      <w:r>
        <w:t xml:space="preserve">and</w:t>
      </w:r>
      <w:r>
        <w:t xml:space="preserve"> </w:t>
      </w:r>
      <w:r>
        <w:t xml:space="preserve">“</w:t>
      </w:r>
      <w:r>
        <w:t xml:space="preserve">may</w:t>
      </w:r>
      <w:r>
        <w:t xml:space="preserve">”</w:t>
      </w:r>
      <w:r>
        <w:t xml:space="preserve">). With these preserved, QAG can compute an</w:t>
      </w:r>
      <w:r>
        <w:t xml:space="preserve"> </w:t>
      </w:r>
      <w:r>
        <w:rPr>
          <w:iCs/>
          <w:i/>
        </w:rPr>
        <w:t xml:space="preserve">interference</w:t>
      </w:r>
      <w:r>
        <w:rPr>
          <w:iCs/>
          <w:i/>
        </w:rPr>
        <w:t xml:space="preserve"> </w:t>
      </w:r>
      <w:r>
        <w:rPr>
          <w:iCs/>
          <w:i/>
        </w:rPr>
        <w:t xml:space="preserve">signal</w:t>
      </w:r>
      <w:r>
        <w:t xml:space="preserve"> </w:t>
      </w:r>
      <w:r>
        <w:t xml:space="preserve">between any two rules that is positive when they agree,</w:t>
      </w:r>
      <w:r>
        <w:t xml:space="preserve"> </w:t>
      </w:r>
      <w:r>
        <w:t xml:space="preserve">negative when they disagree, and small when they are unrelated. This</w:t>
      </w:r>
      <w:r>
        <w:t xml:space="preserve"> </w:t>
      </w:r>
      <w:r>
        <w:t xml:space="preserve">is the single property every standard copilot lacks.</w:t>
      </w:r>
    </w:p>
    <w:p>
      <w:pPr>
        <w:pStyle w:val="BodyText"/>
      </w:pPr>
      <w:r>
        <w:rPr>
          <w:bCs/>
          <w:b/>
        </w:rPr>
        <w:t xml:space="preserve">Choice 4 — Answer, then prove the answer.</w:t>
      </w:r>
      <w:r>
        <w:t xml:space="preserve"> </w:t>
      </w:r>
      <w:r>
        <w:t xml:space="preserve">Every QAG answer</w:t>
      </w:r>
      <w:r>
        <w:t xml:space="preserve"> </w:t>
      </w:r>
      <w:r>
        <w:t xml:space="preserve">cites a specific rule in a specific section of a specific document.</w:t>
      </w:r>
      <w:r>
        <w:t xml:space="preserve"> </w:t>
      </w:r>
      <w:r>
        <w:t xml:space="preserve">Claims that cannot be grounded are not produced. The entire pipeline</w:t>
      </w:r>
      <w:r>
        <w:t xml:space="preserve"> </w:t>
      </w:r>
      <w:r>
        <w:t xml:space="preserve">from question to answer is recorded in a trace that an auditor can</w:t>
      </w:r>
      <w:r>
        <w:t xml:space="preserve"> </w:t>
      </w:r>
      <w:r>
        <w:t xml:space="preserve">step through.</w:t>
      </w:r>
    </w:p>
    <w:p>
      <w:pPr>
        <w:pStyle w:val="BodyText"/>
      </w:pPr>
      <w:r>
        <w:t xml:space="preserve">The headline result on QGI’s regulatory-conflict benchmark: classical</w:t>
      </w:r>
      <w:r>
        <w:t xml:space="preserve"> </w:t>
      </w:r>
      <w:r>
        <w:t xml:space="preserve">similarity across five widely used embedding models scores an F1 of</w:t>
      </w:r>
      <w:r>
        <w:t xml:space="preserve"> </w:t>
      </w:r>
      <w:r>
        <w:rPr>
          <w:bCs/>
          <w:b/>
        </w:rPr>
        <w:t xml:space="preserve">0.000</w:t>
      </w:r>
      <w:r>
        <w:t xml:space="preserve">; the QAG engine driven by Q-Prime scores</w:t>
      </w:r>
      <w:r>
        <w:t xml:space="preserve"> </w:t>
      </w:r>
      <w:r>
        <w:rPr>
          <w:bCs/>
          <w:b/>
        </w:rPr>
        <w:t xml:space="preserve">1.000</w:t>
      </w:r>
      <w:r>
        <w:t xml:space="preserve">. The</w:t>
      </w:r>
      <w:r>
        <w:t xml:space="preserve"> </w:t>
      </w:r>
      <w:r>
        <w:t xml:space="preserve">gap is categorical.</w:t>
      </w:r>
    </w:p>
    <w:bookmarkEnd w:id="22"/>
    <w:bookmarkStart w:id="23" w:name="what-qag-publishes-vs.-what-qag-does-not"/>
    <w:p>
      <w:pPr>
        <w:pStyle w:val="Heading1"/>
      </w:pPr>
      <w:r>
        <w:t xml:space="preserve">What QAG publishes vs. what QAG does not</w:t>
      </w:r>
    </w:p>
    <w:p>
      <w:pPr>
        <w:pStyle w:val="FirstParagraph"/>
      </w:pPr>
      <w:r>
        <w:t xml:space="preserve">A single message to put in every procurement conversation:</w:t>
      </w:r>
      <w:r>
        <w:t xml:space="preserve"> </w:t>
      </w:r>
      <w:r>
        <w:rPr>
          <w:bCs/>
          <w:b/>
        </w:rPr>
        <w:t xml:space="preserve">QAG</w:t>
      </w:r>
      <w:r>
        <w:rPr>
          <w:bCs/>
          <w:b/>
        </w:rPr>
        <w:t xml:space="preserve"> </w:t>
      </w:r>
      <w:r>
        <w:rPr>
          <w:bCs/>
          <w:b/>
        </w:rPr>
        <w:t xml:space="preserve">publishes signals, not decisions.</w:t>
      </w:r>
    </w:p>
    <w:p>
      <w:pPr>
        <w:pStyle w:val="BodyText"/>
      </w:pPr>
      <w:r>
        <w:t xml:space="preserve">QAG tells your compliance, contracts, or operations team:</w:t>
      </w:r>
    </w:p>
    <w:p>
      <w:pPr>
        <w:numPr>
          <w:ilvl w:val="0"/>
          <w:numId w:val="1002"/>
        </w:numPr>
        <w:pStyle w:val="Compact"/>
      </w:pPr>
      <w:r>
        <w:t xml:space="preserve">Which rules apply to this question. (</w:t>
      </w:r>
      <w:r>
        <w:rPr>
          <w:iCs/>
          <w:i/>
        </w:rPr>
        <w:t xml:space="preserve">Relevance</w:t>
      </w:r>
      <w:r>
        <w:t xml:space="preserve">)</w:t>
      </w:r>
    </w:p>
    <w:p>
      <w:pPr>
        <w:numPr>
          <w:ilvl w:val="0"/>
          <w:numId w:val="1002"/>
        </w:numPr>
        <w:pStyle w:val="Compact"/>
      </w:pPr>
      <w:r>
        <w:t xml:space="preserve">Where rules contradict each other. (</w:t>
      </w:r>
      <w:r>
        <w:rPr>
          <w:iCs/>
          <w:i/>
        </w:rPr>
        <w:t xml:space="preserve">Conflict</w:t>
      </w:r>
      <w:r>
        <w:t xml:space="preserve">)</w:t>
      </w:r>
    </w:p>
    <w:p>
      <w:pPr>
        <w:numPr>
          <w:ilvl w:val="0"/>
          <w:numId w:val="1002"/>
        </w:numPr>
        <w:pStyle w:val="Compact"/>
      </w:pPr>
      <w:r>
        <w:t xml:space="preserve">Where rules overlap without contradicting. (</w:t>
      </w:r>
      <w:r>
        <w:rPr>
          <w:iCs/>
          <w:i/>
        </w:rPr>
        <w:t xml:space="preserve">Overlap</w:t>
      </w:r>
      <w:r>
        <w:t xml:space="preserve">)</w:t>
      </w:r>
    </w:p>
    <w:p>
      <w:pPr>
        <w:numPr>
          <w:ilvl w:val="0"/>
          <w:numId w:val="1002"/>
        </w:numPr>
        <w:pStyle w:val="Compact"/>
      </w:pPr>
      <w:r>
        <w:t xml:space="preserve">Which rules are duplicates or near-duplicates. (</w:t>
      </w:r>
      <w:r>
        <w:rPr>
          <w:iCs/>
          <w:i/>
        </w:rPr>
        <w:t xml:space="preserve">Redundancy</w:t>
      </w:r>
      <w:r>
        <w:t xml:space="preserve">)</w:t>
      </w:r>
    </w:p>
    <w:p>
      <w:pPr>
        <w:numPr>
          <w:ilvl w:val="0"/>
          <w:numId w:val="1002"/>
        </w:numPr>
        <w:pStyle w:val="Compact"/>
      </w:pPr>
      <w:r>
        <w:t xml:space="preserve">Where the rule set has gaps. (</w:t>
      </w:r>
      <w:r>
        <w:rPr>
          <w:iCs/>
          <w:i/>
        </w:rPr>
        <w:t xml:space="preserve">Coverage</w:t>
      </w:r>
      <w:r>
        <w:t xml:space="preserve">)</w:t>
      </w:r>
    </w:p>
    <w:p>
      <w:pPr>
        <w:numPr>
          <w:ilvl w:val="0"/>
          <w:numId w:val="1002"/>
        </w:numPr>
        <w:pStyle w:val="Compact"/>
      </w:pPr>
      <w:r>
        <w:t xml:space="preserve">Whether the rule set is internally consistent. (</w:t>
      </w:r>
      <w:r>
        <w:rPr>
          <w:iCs/>
          <w:i/>
        </w:rPr>
        <w:t xml:space="preserve">Coherence</w:t>
      </w:r>
      <w:r>
        <w:t xml:space="preserve">)</w:t>
      </w:r>
    </w:p>
    <w:p>
      <w:pPr>
        <w:numPr>
          <w:ilvl w:val="0"/>
          <w:numId w:val="1002"/>
        </w:numPr>
        <w:pStyle w:val="Compact"/>
      </w:pPr>
      <w:r>
        <w:t xml:space="preserve">What the dependency topology looks like. (</w:t>
      </w:r>
      <w:r>
        <w:rPr>
          <w:iCs/>
          <w:i/>
        </w:rPr>
        <w:t xml:space="preserve">Topology</w:t>
      </w:r>
      <w:r>
        <w:t xml:space="preserve">)</w:t>
      </w:r>
    </w:p>
    <w:p>
      <w:pPr>
        <w:pStyle w:val="FirstParagraph"/>
      </w:pPr>
      <w:r>
        <w:t xml:space="preserve">QAG does</w:t>
      </w:r>
      <w:r>
        <w:t xml:space="preserve"> </w:t>
      </w:r>
      <w:r>
        <w:rPr>
          <w:iCs/>
          <w:i/>
        </w:rPr>
        <w:t xml:space="preserve">not</w:t>
      </w:r>
      <w:r>
        <w:t xml:space="preserve"> </w:t>
      </w:r>
      <w:r>
        <w:t xml:space="preserve">decide:</w:t>
      </w:r>
    </w:p>
    <w:p>
      <w:pPr>
        <w:numPr>
          <w:ilvl w:val="0"/>
          <w:numId w:val="1003"/>
        </w:numPr>
        <w:pStyle w:val="Compact"/>
      </w:pPr>
      <w:r>
        <w:t xml:space="preserve">Whether a loan should be originated.</w:t>
      </w:r>
    </w:p>
    <w:p>
      <w:pPr>
        <w:numPr>
          <w:ilvl w:val="0"/>
          <w:numId w:val="1003"/>
        </w:numPr>
        <w:pStyle w:val="Compact"/>
      </w:pPr>
      <w:r>
        <w:t xml:space="preserve">Whether a trade is compliant.</w:t>
      </w:r>
    </w:p>
    <w:p>
      <w:pPr>
        <w:numPr>
          <w:ilvl w:val="0"/>
          <w:numId w:val="1003"/>
        </w:numPr>
        <w:pStyle w:val="Compact"/>
      </w:pPr>
      <w:r>
        <w:t xml:space="preserve">Whether a patient’s prior authorisation is granted.</w:t>
      </w:r>
    </w:p>
    <w:p>
      <w:pPr>
        <w:numPr>
          <w:ilvl w:val="0"/>
          <w:numId w:val="1003"/>
        </w:numPr>
        <w:pStyle w:val="Compact"/>
      </w:pPr>
      <w:r>
        <w:t xml:space="preserve">Whether a news item may be published.</w:t>
      </w:r>
    </w:p>
    <w:p>
      <w:pPr>
        <w:numPr>
          <w:ilvl w:val="0"/>
          <w:numId w:val="1003"/>
        </w:numPr>
        <w:pStyle w:val="Compact"/>
      </w:pPr>
      <w:r>
        <w:t xml:space="preserve">Whether an employee should be hired or fired.</w:t>
      </w:r>
    </w:p>
    <w:p>
      <w:pPr>
        <w:pStyle w:val="FirstParagraph"/>
      </w:pPr>
      <w:r>
        <w:t xml:space="preserve">Those decisions belong to qualified humans, supported by QAG’s</w:t>
      </w:r>
      <w:r>
        <w:t xml:space="preserve"> </w:t>
      </w:r>
      <w:r>
        <w:t xml:space="preserve">signals and audit trail. The separation is a design choice: QAG is</w:t>
      </w:r>
      <w:r>
        <w:t xml:space="preserve"> </w:t>
      </w:r>
      <w:r>
        <w:t xml:space="preserve">built to be the AI component of a pipeline that includes certified</w:t>
      </w:r>
      <w:r>
        <w:t xml:space="preserve"> </w:t>
      </w:r>
      <w:r>
        <w:t xml:space="preserve">human review. It is not a substitute for that review.</w:t>
      </w:r>
    </w:p>
    <w:bookmarkEnd w:id="23"/>
    <w:bookmarkStart w:id="24" w:name="Xbd63b14f0ab58720666d9cb63c47b40fc644bd5"/>
    <w:p>
      <w:pPr>
        <w:pStyle w:val="Heading1"/>
      </w:pPr>
      <w:r>
        <w:t xml:space="preserve">Five enterprise applications on one engine</w:t>
      </w:r>
    </w:p>
    <w:p>
      <w:pPr>
        <w:pStyle w:val="FirstParagraph"/>
      </w:pPr>
      <w:r>
        <w:t xml:space="preserve">The same QAG pipeline supports five enterprise applications; they are</w:t>
      </w:r>
      <w:r>
        <w:t xml:space="preserve"> </w:t>
      </w:r>
      <w:r>
        <w:t xml:space="preserve">not five separate products.</w:t>
      </w:r>
    </w:p>
    <w:p>
      <w:pPr>
        <w:pStyle w:val="BodyText"/>
      </w:pPr>
      <w:r>
        <w:rPr>
          <w:bCs/>
          <w:b/>
        </w:rPr>
        <w:t xml:space="preserve">1. Regulatory compliance.</w:t>
      </w:r>
      <w:r>
        <w:t xml:space="preserve"> </w:t>
      </w:r>
      <w:r>
        <w:t xml:space="preserve">Ingest thousands of regulations and</w:t>
      </w:r>
      <w:r>
        <w:t xml:space="preserve"> </w:t>
      </w:r>
      <w:r>
        <w:t xml:space="preserve">internal policies. Conflict signals surface contradictions between</w:t>
      </w:r>
      <w:r>
        <w:t xml:space="preserve"> </w:t>
      </w:r>
      <w:r>
        <w:t xml:space="preserve">company policy and external regulation; coverage signals reveal the</w:t>
      </w:r>
      <w:r>
        <w:t xml:space="preserve"> </w:t>
      </w:r>
      <w:r>
        <w:t xml:space="preserve">gaps. Every finding is audit-trail-ready. Typical domains: SOX,</w:t>
      </w:r>
      <w:r>
        <w:t xml:space="preserve"> </w:t>
      </w:r>
      <w:r>
        <w:t xml:space="preserve">HIPAA, FERC, Basel III, MiFID II.</w:t>
      </w:r>
    </w:p>
    <w:p>
      <w:pPr>
        <w:pStyle w:val="BodyText"/>
      </w:pPr>
      <w:r>
        <w:rPr>
          <w:bCs/>
          <w:b/>
        </w:rPr>
        <w:t xml:space="preserve">2. Contract intelligence.</w:t>
      </w:r>
      <w:r>
        <w:t xml:space="preserve"> </w:t>
      </w:r>
      <w:r>
        <w:t xml:space="preserve">Extract clauses, obligations, and</w:t>
      </w:r>
      <w:r>
        <w:t xml:space="preserve"> </w:t>
      </w:r>
      <w:r>
        <w:t xml:space="preserve">termination conditions from a portfolio of agreements. Overlap</w:t>
      </w:r>
      <w:r>
        <w:t xml:space="preserve"> </w:t>
      </w:r>
      <w:r>
        <w:t xml:space="preserve">signals reveal inconsistencies across vendor contracts; temporal</w:t>
      </w:r>
      <w:r>
        <w:t xml:space="preserve"> </w:t>
      </w:r>
      <w:r>
        <w:t xml:space="preserve">rules track renewal and termination deadlines. Reduces hours-to-answer</w:t>
      </w:r>
      <w:r>
        <w:t xml:space="preserve"> </w:t>
      </w:r>
      <w:r>
        <w:t xml:space="preserve">from days to minutes on typical procurement questions.</w:t>
      </w:r>
    </w:p>
    <w:p>
      <w:pPr>
        <w:pStyle w:val="BodyText"/>
      </w:pPr>
      <w:r>
        <w:rPr>
          <w:bCs/>
          <w:b/>
        </w:rPr>
        <w:t xml:space="preserve">3. Policy management.</w:t>
      </w:r>
      <w:r>
        <w:t xml:space="preserve"> </w:t>
      </w:r>
      <w:r>
        <w:t xml:space="preserve">Detect redundant, conflicting, or outdated</w:t>
      </w:r>
      <w:r>
        <w:t xml:space="preserve"> </w:t>
      </w:r>
      <w:r>
        <w:t xml:space="preserve">internal rules at scale. In reference deployments, redundancy</w:t>
      </w:r>
      <w:r>
        <w:t xml:space="preserve"> </w:t>
      </w:r>
      <w:r>
        <w:t xml:space="preserve">recommendations reduce policy bloat by</w:t>
      </w:r>
      <w:r>
        <w:t xml:space="preserve"> </w:t>
      </w:r>
      <w:r>
        <w:rPr>
          <w:bCs/>
          <w:b/>
        </w:rPr>
        <w:t xml:space="preserve">40–60 %</w:t>
      </w:r>
      <w:r>
        <w:t xml:space="preserve"> </w:t>
      </w:r>
      <w:r>
        <w:t xml:space="preserve">on first pass —</w:t>
      </w:r>
      <w:r>
        <w:t xml:space="preserve"> </w:t>
      </w:r>
      <w:r>
        <w:t xml:space="preserve">without changing the underlying authority of any rule, only removing</w:t>
      </w:r>
      <w:r>
        <w:t xml:space="preserve"> </w:t>
      </w:r>
      <w:r>
        <w:t xml:space="preserve">duplicates and flagging contradictions for human review.</w:t>
      </w:r>
    </w:p>
    <w:p>
      <w:pPr>
        <w:pStyle w:val="BodyText"/>
      </w:pPr>
      <w:r>
        <w:rPr>
          <w:bCs/>
          <w:b/>
        </w:rPr>
        <w:t xml:space="preserve">4. Due diligence.</w:t>
      </w:r>
      <w:r>
        <w:t xml:space="preserve"> </w:t>
      </w:r>
      <w:r>
        <w:t xml:space="preserve">Ingest entire data rooms in hours rather than</w:t>
      </w:r>
      <w:r>
        <w:t xml:space="preserve"> </w:t>
      </w:r>
      <w:r>
        <w:t xml:space="preserve">weeks. Topology analysis reveals hidden dependencies and risk</w:t>
      </w:r>
      <w:r>
        <w:t xml:space="preserve"> </w:t>
      </w:r>
      <w:r>
        <w:t xml:space="preserve">clusters across hundreds of documents. The structure a human reviewer</w:t>
      </w:r>
      <w:r>
        <w:t xml:space="preserve"> </w:t>
      </w:r>
      <w:r>
        <w:t xml:space="preserve">would find after a month of reading, surfaced in the first hours.</w:t>
      </w:r>
    </w:p>
    <w:p>
      <w:pPr>
        <w:pStyle w:val="BodyText"/>
      </w:pPr>
      <w:r>
        <w:rPr>
          <w:bCs/>
          <w:b/>
        </w:rPr>
        <w:t xml:space="preserve">5. AI agent grounding.</w:t>
      </w:r>
      <w:r>
        <w:t xml:space="preserve"> </w:t>
      </w:r>
      <w:r>
        <w:t xml:space="preserve">Serve as the knowledge substrate for</w:t>
      </w:r>
      <w:r>
        <w:t xml:space="preserve"> </w:t>
      </w:r>
      <w:r>
        <w:t xml:space="preserve">corporate copilots and autonomous agents. Every agent answer is</w:t>
      </w:r>
      <w:r>
        <w:t xml:space="preserve"> </w:t>
      </w:r>
      <w:r>
        <w:t xml:space="preserve">traced to an authoritative source; the</w:t>
      </w:r>
      <w:r>
        <w:t xml:space="preserve"> </w:t>
      </w:r>
      <w:r>
        <w:rPr>
          <w:bCs/>
          <w:b/>
        </w:rPr>
        <w:t xml:space="preserve">MCP protocol</w:t>
      </w:r>
      <w:r>
        <w:t xml:space="preserve"> </w:t>
      </w:r>
      <w:r>
        <w:t xml:space="preserve">lets any</w:t>
      </w:r>
      <w:r>
        <w:t xml:space="preserve"> </w:t>
      </w:r>
      <w:r>
        <w:t xml:space="preserve">MCP-compatible agent query the graph with the same provenance</w:t>
      </w:r>
      <w:r>
        <w:t xml:space="preserve"> </w:t>
      </w:r>
      <w:r>
        <w:t xml:space="preserve">guarantees.</w:t>
      </w:r>
    </w:p>
    <w:p>
      <w:pPr>
        <w:pStyle w:val="BodyText"/>
      </w:pPr>
      <w:r>
        <w:t xml:space="preserve">All five sit on the same engine. A QAG deployment that starts in</w:t>
      </w:r>
      <w:r>
        <w:t xml:space="preserve"> </w:t>
      </w:r>
      <w:r>
        <w:t xml:space="preserve">regulatory compliance expands into contracts, policy, due diligence,</w:t>
      </w:r>
      <w:r>
        <w:t xml:space="preserve"> </w:t>
      </w:r>
      <w:r>
        <w:t xml:space="preserve">and agent grounding without a second procurement cycle.</w:t>
      </w:r>
    </w:p>
    <w:bookmarkEnd w:id="24"/>
    <w:bookmarkStart w:id="25" w:name="Xa2399d620cc2c5d9e3ec461345fcf6b86121a64"/>
    <w:p>
      <w:pPr>
        <w:pStyle w:val="Heading1"/>
      </w:pPr>
      <w:r>
        <w:t xml:space="preserve">Trust architecture: the five properties regulators ask for</w:t>
      </w:r>
    </w:p>
    <w:p>
      <w:pPr>
        <w:pStyle w:val="FirstParagraph"/>
      </w:pPr>
      <w:r>
        <w:t xml:space="preserve">Every regulator, internal auditor, and model-governance leader we</w:t>
      </w:r>
      <w:r>
        <w:t xml:space="preserve"> </w:t>
      </w:r>
      <w:r>
        <w:t xml:space="preserve">have worked with asks for five things, usually in the following</w:t>
      </w:r>
      <w:r>
        <w:t xml:space="preserve"> </w:t>
      </w:r>
      <w:r>
        <w:t xml:space="preserve">order. Most AI systems satisfy one or two. QAG satisfies all five</w:t>
      </w:r>
      <w:r>
        <w:t xml:space="preserve"> </w:t>
      </w:r>
      <w:r>
        <w:t xml:space="preserve">by construction:</w:t>
      </w:r>
    </w:p>
    <w:p>
      <w:pPr>
        <w:numPr>
          <w:ilvl w:val="0"/>
          <w:numId w:val="1004"/>
        </w:numPr>
        <w:pStyle w:val="Compact"/>
      </w:pPr>
      <w:r>
        <w:rPr>
          <w:bCs/>
          <w:b/>
        </w:rPr>
        <w:t xml:space="preserve">Deterministic parsing.</w:t>
      </w:r>
      <w:r>
        <w:t xml:space="preserve"> </w:t>
      </w:r>
      <w:r>
        <w:t xml:space="preserve">The ingestion pipeline produces the</w:t>
      </w:r>
      <w:r>
        <w:t xml:space="preserve"> </w:t>
      </w:r>
      <w:r>
        <w:t xml:space="preserve">same structured output every time from the same input. No</w:t>
      </w:r>
      <w:r>
        <w:t xml:space="preserve"> </w:t>
      </w:r>
      <w:r>
        <w:t xml:space="preserve">temperature, no sampling, no silent version drift.</w:t>
      </w:r>
    </w:p>
    <w:p>
      <w:pPr>
        <w:numPr>
          <w:ilvl w:val="0"/>
          <w:numId w:val="1004"/>
        </w:numPr>
        <w:pStyle w:val="Compact"/>
      </w:pPr>
      <w:r>
        <w:rPr>
          <w:bCs/>
          <w:b/>
        </w:rPr>
        <w:t xml:space="preserve">Immutable state.</w:t>
      </w:r>
      <w:r>
        <w:t xml:space="preserve"> </w:t>
      </w:r>
      <w:r>
        <w:t xml:space="preserve">Once the rule graph is built, it is not</w:t>
      </w:r>
      <w:r>
        <w:t xml:space="preserve"> </w:t>
      </w:r>
      <w:r>
        <w:t xml:space="preserve">mutated. Updates produce a new version. The rule set in force on</w:t>
      </w:r>
      <w:r>
        <w:t xml:space="preserve"> </w:t>
      </w:r>
      <w:r>
        <w:t xml:space="preserve">any past date can always be recovered.</w:t>
      </w:r>
    </w:p>
    <w:p>
      <w:pPr>
        <w:numPr>
          <w:ilvl w:val="0"/>
          <w:numId w:val="1004"/>
        </w:numPr>
        <w:pStyle w:val="Compact"/>
      </w:pPr>
      <w:r>
        <w:rPr>
          <w:bCs/>
          <w:b/>
        </w:rPr>
        <w:t xml:space="preserve">Advisory-only intelligence.</w:t>
      </w:r>
      <w:r>
        <w:t xml:space="preserve"> </w:t>
      </w:r>
      <w:r>
        <w:t xml:space="preserve">The AI layer informs; the human</w:t>
      </w:r>
      <w:r>
        <w:t xml:space="preserve"> </w:t>
      </w:r>
      <w:r>
        <w:t xml:space="preserve">layer decides. No AI output silently modifies the rule base.</w:t>
      </w:r>
    </w:p>
    <w:p>
      <w:pPr>
        <w:numPr>
          <w:ilvl w:val="0"/>
          <w:numId w:val="1004"/>
        </w:numPr>
        <w:pStyle w:val="Compact"/>
      </w:pPr>
      <w:r>
        <w:rPr>
          <w:bCs/>
          <w:b/>
        </w:rPr>
        <w:t xml:space="preserve">Source-grounded answers.</w:t>
      </w:r>
      <w:r>
        <w:t xml:space="preserve"> </w:t>
      </w:r>
      <w:r>
        <w:t xml:space="preserve">Every claim traces to a specific</w:t>
      </w:r>
      <w:r>
        <w:t xml:space="preserve"> </w:t>
      </w:r>
      <w:r>
        <w:t xml:space="preserve">rule in a specific document. Hallucination is prevented by</w:t>
      </w:r>
      <w:r>
        <w:t xml:space="preserve"> </w:t>
      </w:r>
      <w:r>
        <w:t xml:space="preserve">construction, not filtered after the fact.</w:t>
      </w:r>
    </w:p>
    <w:p>
      <w:pPr>
        <w:numPr>
          <w:ilvl w:val="0"/>
          <w:numId w:val="1004"/>
        </w:numPr>
        <w:pStyle w:val="Compact"/>
      </w:pPr>
      <w:r>
        <w:rPr>
          <w:bCs/>
          <w:b/>
        </w:rPr>
        <w:t xml:space="preserve">Replayable audit trace.</w:t>
      </w:r>
      <w:r>
        <w:t xml:space="preserve"> </w:t>
      </w:r>
      <w:r>
        <w:t xml:space="preserve">Every step of the pipeline —</w:t>
      </w:r>
      <w:r>
        <w:t xml:space="preserve"> </w:t>
      </w:r>
      <w:r>
        <w:t xml:space="preserve">question, intent, candidate rules, signals, answer, grounding,</w:t>
      </w:r>
      <w:r>
        <w:t xml:space="preserve"> </w:t>
      </w:r>
      <w:r>
        <w:t xml:space="preserve">confidence — is recorded and reproducible.</w:t>
      </w:r>
    </w:p>
    <w:p>
      <w:pPr>
        <w:pStyle w:val="FirstParagraph"/>
      </w:pPr>
      <w:r>
        <w:t xml:space="preserve">An AI system that lacks any of the five is, by the standards of every</w:t>
      </w:r>
      <w:r>
        <w:t xml:space="preserve"> </w:t>
      </w:r>
      <w:r>
        <w:t xml:space="preserve">major regulator we have read, unfit for use in a controlled decision.</w:t>
      </w:r>
    </w:p>
    <w:bookmarkEnd w:id="25"/>
    <w:bookmarkStart w:id="26" w:name="Xee37f87e039c34b7397932e1effeca0e33d28d5"/>
    <w:p>
      <w:pPr>
        <w:pStyle w:val="Heading1"/>
      </w:pPr>
      <w:r>
        <w:t xml:space="preserve">Beyond compliance: the same primitives solve agent memory</w:t>
      </w:r>
    </w:p>
    <w:p>
      <w:pPr>
        <w:pStyle w:val="FirstParagraph"/>
      </w:pPr>
      <w:r>
        <w:t xml:space="preserve">The QAG engine’s primitives — conflict detection, signed</w:t>
      </w:r>
      <w:r>
        <w:t xml:space="preserve"> </w:t>
      </w:r>
      <w:r>
        <w:t xml:space="preserve">interference, audit-replayable trace — apply beyond compliance. A</w:t>
      </w:r>
      <w:r>
        <w:t xml:space="preserve"> </w:t>
      </w:r>
      <w:r>
        <w:t xml:space="preserve">long-running AI agent that serves customers, runs a sales motion, or</w:t>
      </w:r>
      <w:r>
        <w:t xml:space="preserve"> </w:t>
      </w:r>
      <w:r>
        <w:t xml:space="preserve">operates a factory accumulates rules, preferences, and observations</w:t>
      </w:r>
      <w:r>
        <w:t xml:space="preserve"> </w:t>
      </w:r>
      <w:r>
        <w:t xml:space="preserve">over time. The same</w:t>
      </w:r>
      <w:r>
        <w:t xml:space="preserve"> </w:t>
      </w:r>
      <w:r>
        <w:t xml:space="preserve">“</w:t>
      </w:r>
      <w:r>
        <w:t xml:space="preserve">similar is not the same as consistent</w:t>
      </w:r>
      <w:r>
        <w:t xml:space="preserve">”</w:t>
      </w:r>
      <w:r>
        <w:t xml:space="preserve"> </w:t>
      </w:r>
      <w:r>
        <w:t xml:space="preserve">failure</w:t>
      </w:r>
      <w:r>
        <w:t xml:space="preserve"> </w:t>
      </w:r>
      <w:r>
        <w:t xml:space="preserve">that breaks compliance retrieval breaks agent memory: the agent</w:t>
      </w:r>
      <w:r>
        <w:t xml:space="preserve"> </w:t>
      </w:r>
      <w:r>
        <w:t xml:space="preserve">retrieves yesterday’s preference together with today’s contradicting</w:t>
      </w:r>
      <w:r>
        <w:t xml:space="preserve"> </w:t>
      </w:r>
      <w:r>
        <w:t xml:space="preserve">preference, and picks one of them by attention bias.</w:t>
      </w:r>
    </w:p>
    <w:p>
      <w:pPr>
        <w:pStyle w:val="BodyText"/>
      </w:pPr>
      <w:r>
        <w:t xml:space="preserve">QAG-backed agent memory applies the interference signal to memory</w:t>
      </w:r>
      <w:r>
        <w:t xml:space="preserve"> </w:t>
      </w:r>
      <w:r>
        <w:t xml:space="preserve">items directly. When two memory items disagree, the disagreement is</w:t>
      </w:r>
      <w:r>
        <w:t xml:space="preserve"> </w:t>
      </w:r>
      <w:r>
        <w:t xml:space="preserve">surfaced as an event the agent (or its operator) must resolve. The</w:t>
      </w:r>
      <w:r>
        <w:t xml:space="preserve"> </w:t>
      </w:r>
      <w:r>
        <w:t xml:space="preserve">companion preprint [QGI-TR-2026-03] develops this use case in</w:t>
      </w:r>
      <w:r>
        <w:t xml:space="preserve"> </w:t>
      </w:r>
      <w:r>
        <w:t xml:space="preserve">detail. The relevant message for the enterprise is that the same</w:t>
      </w:r>
      <w:r>
        <w:t xml:space="preserve"> </w:t>
      </w:r>
      <w:r>
        <w:t xml:space="preserve">engine you license for compliance becomes the memory layer for your</w:t>
      </w:r>
      <w:r>
        <w:t xml:space="preserve"> </w:t>
      </w:r>
      <w:r>
        <w:t xml:space="preserve">copilots. You do not pay twice; you deploy once.</w:t>
      </w:r>
    </w:p>
    <w:bookmarkEnd w:id="26"/>
    <w:bookmarkStart w:id="27" w:name="X99e23e33083593daa62eaf9d43ff22b9a817d07"/>
    <w:p>
      <w:pPr>
        <w:pStyle w:val="Heading1"/>
      </w:pPr>
      <w:r>
        <w:t xml:space="preserve">Six evaluation criteria for AI procurement</w:t>
      </w:r>
    </w:p>
    <w:p>
      <w:pPr>
        <w:pStyle w:val="FirstParagraph"/>
      </w:pPr>
      <w:r>
        <w:t xml:space="preserve">Use the six questions below in any RFP or vendor-evaluation process</w:t>
      </w:r>
      <w:r>
        <w:t xml:space="preserve"> </w:t>
      </w:r>
      <w:r>
        <w:t xml:space="preserve">for AI systems that touch rule-bearing content. QAG passes all six;</w:t>
      </w:r>
      <w:r>
        <w:t xml:space="preserve"> </w:t>
      </w:r>
      <w:r>
        <w:t xml:space="preserve">most current systems pass one or two.</w:t>
      </w:r>
    </w:p>
    <w:p>
      <w:pPr>
        <w:numPr>
          <w:ilvl w:val="0"/>
          <w:numId w:val="1005"/>
        </w:numPr>
        <w:pStyle w:val="Compact"/>
      </w:pPr>
      <w:r>
        <w:rPr>
          <w:bCs/>
          <w:b/>
        </w:rPr>
        <w:t xml:space="preserve">Does the system detect contradictions between pieces of</w:t>
      </w:r>
      <w:r>
        <w:rPr>
          <w:bCs/>
          <w:b/>
        </w:rPr>
        <w:t xml:space="preserve"> </w:t>
      </w:r>
      <w:r>
        <w:rPr>
          <w:bCs/>
          <w:b/>
        </w:rPr>
        <w:t xml:space="preserve">retrieved content?</w:t>
      </w:r>
      <w:r>
        <w:t xml:space="preserve"> </w:t>
      </w:r>
      <w:r>
        <w:t xml:space="preserve">Ask for a demonstration on your own</w:t>
      </w:r>
      <w:r>
        <w:t xml:space="preserve"> </w:t>
      </w:r>
      <w:r>
        <w:t xml:space="preserve">corpus, not on a vendor’s benchmark. Ask specifically for the</w:t>
      </w:r>
      <w:r>
        <w:t xml:space="preserve"> </w:t>
      </w:r>
      <w:r>
        <w:rPr>
          <w:bCs/>
          <w:b/>
        </w:rPr>
        <w:t xml:space="preserve">conflict F1</w:t>
      </w:r>
      <w:r>
        <w:t xml:space="preserve">.</w:t>
      </w:r>
    </w:p>
    <w:p>
      <w:pPr>
        <w:numPr>
          <w:ilvl w:val="0"/>
          <w:numId w:val="1005"/>
        </w:numPr>
        <w:pStyle w:val="Compact"/>
      </w:pPr>
      <w:r>
        <w:rPr>
          <w:bCs/>
          <w:b/>
        </w:rPr>
        <w:t xml:space="preserve">Does the system distinguish</w:t>
      </w:r>
      <w:r>
        <w:rPr>
          <w:bCs/>
          <w:b/>
        </w:rPr>
        <w:t xml:space="preserve"> </w:t>
      </w:r>
      <w:r>
        <w:rPr>
          <w:bCs/>
          <w:b/>
        </w:rPr>
        <w:t xml:space="preserve">“</w:t>
      </w:r>
      <w:r>
        <w:rPr>
          <w:bCs/>
          <w:b/>
        </w:rPr>
        <w:t xml:space="preserve">must</w:t>
      </w:r>
      <w:r>
        <w:rPr>
          <w:bCs/>
          <w:b/>
        </w:rPr>
        <w:t xml:space="preserve">”</w:t>
      </w:r>
      <w:r>
        <w:rPr>
          <w:bCs/>
          <w:b/>
        </w:rPr>
        <w:t xml:space="preserve"> </w:t>
      </w:r>
      <w:r>
        <w:rPr>
          <w:bCs/>
          <w:b/>
        </w:rPr>
        <w:t xml:space="preserve">from</w:t>
      </w:r>
      <w:r>
        <w:rPr>
          <w:bCs/>
          <w:b/>
        </w:rPr>
        <w:t xml:space="preserve"> </w:t>
      </w:r>
      <w:r>
        <w:rPr>
          <w:bCs/>
          <w:b/>
        </w:rPr>
        <w:t xml:space="preserve">“</w:t>
      </w:r>
      <w:r>
        <w:rPr>
          <w:bCs/>
          <w:b/>
        </w:rPr>
        <w:t xml:space="preserve">must not</w:t>
      </w:r>
      <w:r>
        <w:rPr>
          <w:bCs/>
          <w:b/>
        </w:rPr>
        <w:t xml:space="preserve">”</w:t>
      </w:r>
      <w:r>
        <w:rPr>
          <w:bCs/>
          <w:b/>
        </w:rPr>
        <w:t xml:space="preserve">, and</w:t>
      </w:r>
      <w:r>
        <w:rPr>
          <w:bCs/>
          <w:b/>
        </w:rPr>
        <w:t xml:space="preserve"> </w:t>
      </w:r>
      <w:r>
        <w:rPr>
          <w:bCs/>
          <w:b/>
        </w:rPr>
        <w:t xml:space="preserve">“</w:t>
      </w:r>
      <w:r>
        <w:rPr>
          <w:bCs/>
          <w:b/>
        </w:rPr>
        <w:t xml:space="preserve">all</w:t>
      </w:r>
      <w:r>
        <w:rPr>
          <w:bCs/>
          <w:b/>
        </w:rPr>
        <w:t xml:space="preserve">”</w:t>
      </w:r>
      <w:r>
        <w:rPr>
          <w:bCs/>
          <w:b/>
        </w:rPr>
        <w:t xml:space="preserve"> </w:t>
      </w:r>
      <w:r>
        <w:rPr>
          <w:bCs/>
          <w:b/>
        </w:rPr>
        <w:t xml:space="preserve">from</w:t>
      </w:r>
      <w:r>
        <w:rPr>
          <w:bCs/>
          <w:b/>
        </w:rPr>
        <w:t xml:space="preserve"> </w:t>
      </w:r>
      <w:r>
        <w:rPr>
          <w:bCs/>
          <w:b/>
        </w:rPr>
        <w:t xml:space="preserve">“</w:t>
      </w:r>
      <w:r>
        <w:rPr>
          <w:bCs/>
          <w:b/>
        </w:rPr>
        <w:t xml:space="preserve">some</w:t>
      </w:r>
      <w:r>
        <w:rPr>
          <w:bCs/>
          <w:b/>
        </w:rPr>
        <w:t xml:space="preserve">”</w:t>
      </w:r>
      <w:r>
        <w:rPr>
          <w:bCs/>
          <w:b/>
        </w:rPr>
        <w:t xml:space="preserve">, in its similarity scores?</w:t>
      </w:r>
      <w:r>
        <w:t xml:space="preserve"> </w:t>
      </w:r>
      <w:r>
        <w:t xml:space="preserve">Ask for a test with</w:t>
      </w:r>
      <w:r>
        <w:t xml:space="preserve"> </w:t>
      </w:r>
      <w:r>
        <w:t xml:space="preserve">a pair that differs only by a negation and a pair that differs</w:t>
      </w:r>
      <w:r>
        <w:t xml:space="preserve"> </w:t>
      </w:r>
      <w:r>
        <w:t xml:space="preserve">only by a quantifier.</w:t>
      </w:r>
    </w:p>
    <w:p>
      <w:pPr>
        <w:numPr>
          <w:ilvl w:val="0"/>
          <w:numId w:val="1005"/>
        </w:numPr>
        <w:pStyle w:val="Compact"/>
      </w:pPr>
      <w:r>
        <w:rPr>
          <w:bCs/>
          <w:b/>
        </w:rPr>
        <w:t xml:space="preserve">Is the parser deterministic?</w:t>
      </w:r>
      <w:r>
        <w:t xml:space="preserve"> </w:t>
      </w:r>
      <w:r>
        <w:t xml:space="preserve">Ask whether the ingestion</w:t>
      </w:r>
      <w:r>
        <w:t xml:space="preserve"> </w:t>
      </w:r>
      <w:r>
        <w:t xml:space="preserve">pipeline uses a large language model. If it does, accept that</w:t>
      </w:r>
      <w:r>
        <w:t xml:space="preserve"> </w:t>
      </w:r>
      <w:r>
        <w:t xml:space="preserve">your graph state is non-deterministic.</w:t>
      </w:r>
    </w:p>
    <w:p>
      <w:pPr>
        <w:numPr>
          <w:ilvl w:val="0"/>
          <w:numId w:val="1005"/>
        </w:numPr>
        <w:pStyle w:val="Compact"/>
      </w:pPr>
      <w:r>
        <w:rPr>
          <w:bCs/>
          <w:b/>
        </w:rPr>
        <w:t xml:space="preserve">Is the state immutable and versioned?</w:t>
      </w:r>
      <w:r>
        <w:t xml:space="preserve"> </w:t>
      </w:r>
      <w:r>
        <w:t xml:space="preserve">Ask whether past rule</w:t>
      </w:r>
      <w:r>
        <w:t xml:space="preserve"> </w:t>
      </w:r>
      <w:r>
        <w:t xml:space="preserve">states can be recovered without log replay.</w:t>
      </w:r>
    </w:p>
    <w:p>
      <w:pPr>
        <w:numPr>
          <w:ilvl w:val="0"/>
          <w:numId w:val="1005"/>
        </w:numPr>
        <w:pStyle w:val="Compact"/>
      </w:pPr>
      <w:r>
        <w:rPr>
          <w:bCs/>
          <w:b/>
        </w:rPr>
        <w:t xml:space="preserve">Is every answer traceable to a specific source?</w:t>
      </w:r>
      <w:r>
        <w:t xml:space="preserve"> </w:t>
      </w:r>
      <w:r>
        <w:t xml:space="preserve">Ask for a</w:t>
      </w:r>
      <w:r>
        <w:t xml:space="preserve"> </w:t>
      </w:r>
      <w:r>
        <w:t xml:space="preserve">demonstration with a synthetic document in which the correct</w:t>
      </w:r>
      <w:r>
        <w:t xml:space="preserve"> </w:t>
      </w:r>
      <w:r>
        <w:t xml:space="preserve">answer appears only in a specific paragraph.</w:t>
      </w:r>
    </w:p>
    <w:p>
      <w:pPr>
        <w:numPr>
          <w:ilvl w:val="0"/>
          <w:numId w:val="1005"/>
        </w:numPr>
        <w:pStyle w:val="Compact"/>
      </w:pPr>
      <w:r>
        <w:rPr>
          <w:bCs/>
          <w:b/>
        </w:rPr>
        <w:t xml:space="preserve">Is the entire pipeline replayable?</w:t>
      </w:r>
      <w:r>
        <w:t xml:space="preserve"> </w:t>
      </w:r>
      <w:r>
        <w:t xml:space="preserve">Ask whether the vendor</w:t>
      </w:r>
      <w:r>
        <w:t xml:space="preserve"> </w:t>
      </w:r>
      <w:r>
        <w:t xml:space="preserve">can, three months from now, produce the exact same answer to a</w:t>
      </w:r>
      <w:r>
        <w:t xml:space="preserve"> </w:t>
      </w:r>
      <w:r>
        <w:t xml:space="preserve">current question given the same inputs.</w:t>
      </w:r>
    </w:p>
    <w:p>
      <w:pPr>
        <w:pStyle w:val="FirstParagraph"/>
      </w:pPr>
      <w:r>
        <w:t xml:space="preserve">A vendor that cannot answer</w:t>
      </w:r>
      <w:r>
        <w:t xml:space="preserve"> </w:t>
      </w:r>
      <w:r>
        <w:t xml:space="preserve">“</w:t>
      </w:r>
      <w:r>
        <w:t xml:space="preserve">yes</w:t>
      </w:r>
      <w:r>
        <w:t xml:space="preserve">”</w:t>
      </w:r>
      <w:r>
        <w:t xml:space="preserve"> </w:t>
      </w:r>
      <w:r>
        <w:t xml:space="preserve">to all six should not be selected</w:t>
      </w:r>
      <w:r>
        <w:t xml:space="preserve"> </w:t>
      </w:r>
      <w:r>
        <w:t xml:space="preserve">for production use against rule-bearing content.</w:t>
      </w:r>
    </w:p>
    <w:bookmarkEnd w:id="27"/>
    <w:bookmarkStart w:id="28" w:name="deployment-options"/>
    <w:p>
      <w:pPr>
        <w:pStyle w:val="Heading1"/>
      </w:pPr>
      <w:r>
        <w:t xml:space="preserve">Deployment options</w:t>
      </w:r>
    </w:p>
    <w:p>
      <w:pPr>
        <w:pStyle w:val="FirstParagraph"/>
      </w:pPr>
      <w:r>
        <w:t xml:space="preserve">QAG is delivered as a managed engine. Three access paths are</w:t>
      </w:r>
      <w:r>
        <w:t xml:space="preserve"> </w:t>
      </w:r>
      <w:r>
        <w:t xml:space="preserve">available today:</w:t>
      </w:r>
    </w:p>
    <w:p>
      <w:pPr>
        <w:pStyle w:val="BodyText"/>
      </w:pPr>
      <w:r>
        <w:rPr>
          <w:bCs/>
          <w:b/>
        </w:rPr>
        <w:t xml:space="preserve">Evaluation access.</w:t>
      </w:r>
      <w:r>
        <w:t xml:space="preserve"> </w:t>
      </w:r>
      <w:r>
        <w:t xml:space="preserve">90-day evaluation under QGI Commercial Model</w:t>
      </w:r>
      <w:r>
        <w:t xml:space="preserve"> </w:t>
      </w:r>
      <w:r>
        <w:t xml:space="preserve">License v1.0, no charge. Token request:</w:t>
      </w:r>
      <w:r>
        <w:t xml:space="preserve"> </w:t>
      </w:r>
      <w:r>
        <w:rPr>
          <w:rStyle w:val="VerbatimChar"/>
        </w:rPr>
        <w:t xml:space="preserve">contact@qgi.dev</w:t>
      </w:r>
      <w:r>
        <w:t xml:space="preserve">.</w:t>
      </w:r>
    </w:p>
    <w:p>
      <w:pPr>
        <w:pStyle w:val="BodyText"/>
      </w:pPr>
      <w:r>
        <w:rPr>
          <w:bCs/>
          <w:b/>
        </w:rPr>
        <w:t xml:space="preserve">Enterprise.</w:t>
      </w:r>
      <w:r>
        <w:t xml:space="preserve"> </w:t>
      </w:r>
      <w:r>
        <w:t xml:space="preserve">Production SLA, dedicated endpoints, audit support,</w:t>
      </w:r>
      <w:r>
        <w:t xml:space="preserve"> </w:t>
      </w:r>
      <w:r>
        <w:t xml:space="preserve">indemnification options. Tiers: Startup, Growth, Enterprise, OEM /</w:t>
      </w:r>
      <w:r>
        <w:t xml:space="preserve"> </w:t>
      </w:r>
      <w:r>
        <w:t xml:space="preserve">Channel. Inquiry:</w:t>
      </w:r>
      <w:r>
        <w:t xml:space="preserve"> </w:t>
      </w:r>
      <w:r>
        <w:rPr>
          <w:rStyle w:val="VerbatimChar"/>
        </w:rPr>
        <w:t xml:space="preserve">contact@qgi.dev</w:t>
      </w:r>
      <w:r>
        <w:t xml:space="preserve">.</w:t>
      </w:r>
    </w:p>
    <w:p>
      <w:pPr>
        <w:pStyle w:val="BodyText"/>
      </w:pPr>
      <w:r>
        <w:rPr>
          <w:bCs/>
          <w:b/>
        </w:rPr>
        <w:t xml:space="preserve">OpenRouter.</w:t>
      </w:r>
      <w:r>
        <w:t xml:space="preserve"> </w:t>
      </w:r>
      <w:r>
        <w:t xml:space="preserve">Q-Prime is listed on OpenRouter as part of the QAG</w:t>
      </w:r>
      <w:r>
        <w:t xml:space="preserve"> </w:t>
      </w:r>
      <w:r>
        <w:t xml:space="preserve">public beta for teams that want to test a narrow slice of the</w:t>
      </w:r>
      <w:r>
        <w:t xml:space="preserve"> </w:t>
      </w:r>
      <w:r>
        <w:t xml:space="preserve">functionality before engaging procurement.</w:t>
      </w:r>
    </w:p>
    <w:p>
      <w:pPr>
        <w:pStyle w:val="BodyText"/>
      </w:pPr>
      <w:r>
        <w:t xml:space="preserve">General availability for the full QAG engine is 21 June 2026.</w:t>
      </w:r>
    </w:p>
    <w:bookmarkEnd w:id="28"/>
    <w:bookmarkStart w:id="29" w:name="about-quantum-general-intelligence"/>
    <w:p>
      <w:pPr>
        <w:pStyle w:val="Heading1"/>
      </w:pPr>
      <w:r>
        <w:t xml:space="preserve">About Quantum General Intelligence</w:t>
      </w:r>
    </w:p>
    <w:p>
      <w:pPr>
        <w:pStyle w:val="FirstParagraph"/>
      </w:pPr>
      <w:r>
        <w:t xml:space="preserve">Quantum General Intelligence (QGI) is a research and product company</w:t>
      </w:r>
      <w:r>
        <w:t xml:space="preserve"> </w:t>
      </w:r>
      <w:r>
        <w:t xml:space="preserve">building the infrastructure for AI systems that enterprises can</w:t>
      </w:r>
      <w:r>
        <w:t xml:space="preserve"> </w:t>
      </w:r>
      <w:r>
        <w:t xml:space="preserve">audit. The founding team combines backgrounds in quantum</w:t>
      </w:r>
      <w:r>
        <w:t xml:space="preserve"> </w:t>
      </w:r>
      <w:r>
        <w:t xml:space="preserve">information, formal verification, and applied ML. QGI’s products are:</w:t>
      </w:r>
    </w:p>
    <w:p>
      <w:pPr>
        <w:numPr>
          <w:ilvl w:val="0"/>
          <w:numId w:val="1006"/>
        </w:numPr>
        <w:pStyle w:val="Compact"/>
      </w:pPr>
      <w:r>
        <w:rPr>
          <w:bCs/>
          <w:b/>
        </w:rPr>
        <w:t xml:space="preserve">Q-Prime</w:t>
      </w:r>
      <w:r>
        <w:t xml:space="preserve"> </w:t>
      </w:r>
      <w:r>
        <w:t xml:space="preserve">— the purpose-built embedding model underneath the</w:t>
      </w:r>
      <w:r>
        <w:t xml:space="preserve"> </w:t>
      </w:r>
      <w:r>
        <w:t xml:space="preserve">QAG engine; public beta available now.</w:t>
      </w:r>
    </w:p>
    <w:p>
      <w:pPr>
        <w:numPr>
          <w:ilvl w:val="0"/>
          <w:numId w:val="1006"/>
        </w:numPr>
        <w:pStyle w:val="Compact"/>
      </w:pPr>
      <w:r>
        <w:rPr>
          <w:bCs/>
          <w:b/>
        </w:rPr>
        <w:t xml:space="preserve">QAG engine</w:t>
      </w:r>
      <w:r>
        <w:t xml:space="preserve"> </w:t>
      </w:r>
      <w:r>
        <w:t xml:space="preserve">— the reasoning-first knowledge infrastructure</w:t>
      </w:r>
      <w:r>
        <w:t xml:space="preserve"> </w:t>
      </w:r>
      <w:r>
        <w:t xml:space="preserve">described in this paper; GA 21 June 2026.</w:t>
      </w:r>
    </w:p>
    <w:p>
      <w:pPr>
        <w:numPr>
          <w:ilvl w:val="0"/>
          <w:numId w:val="1006"/>
        </w:numPr>
        <w:pStyle w:val="Compact"/>
      </w:pPr>
      <w:r>
        <w:rPr>
          <w:bCs/>
          <w:b/>
        </w:rPr>
        <w:t xml:space="preserve">Neural Symbolic Agents</w:t>
      </w:r>
      <w:r>
        <w:t xml:space="preserve"> </w:t>
      </w:r>
      <w:r>
        <w:t xml:space="preserve">— an enterprise agent runtime on top</w:t>
      </w:r>
      <w:r>
        <w:t xml:space="preserve"> </w:t>
      </w:r>
      <w:r>
        <w:t xml:space="preserve">of QAG.</w:t>
      </w:r>
    </w:p>
    <w:p>
      <w:pPr>
        <w:numPr>
          <w:ilvl w:val="0"/>
          <w:numId w:val="1006"/>
        </w:numPr>
        <w:pStyle w:val="Compact"/>
      </w:pPr>
      <w:r>
        <w:rPr>
          <w:bCs/>
          <w:b/>
        </w:rPr>
        <w:t xml:space="preserve">Qualtron</w:t>
      </w:r>
      <w:r>
        <w:t xml:space="preserve"> </w:t>
      </w:r>
      <w:r>
        <w:t xml:space="preserve">— vertical models for mortgage, banking, healthcare,</w:t>
      </w:r>
      <w:r>
        <w:t xml:space="preserve"> </w:t>
      </w:r>
      <w:r>
        <w:t xml:space="preserve">and regulated news.</w:t>
      </w:r>
    </w:p>
    <w:p>
      <w:pPr>
        <w:pStyle w:val="FirstParagraph"/>
      </w:pPr>
      <w:r>
        <w:t xml:space="preserve">QGI is headquartered at</w:t>
      </w:r>
      <w:r>
        <w:t xml:space="preserve"> </w:t>
      </w:r>
      <w:r>
        <w:rPr>
          <w:rStyle w:val="VerbatimChar"/>
        </w:rPr>
        <w:t xml:space="preserve">qgi.dev</w:t>
      </w:r>
      <w:r>
        <w:t xml:space="preserve">. Commercial inquiries:</w:t>
      </w:r>
      <w:r>
        <w:t xml:space="preserve"> </w:t>
      </w:r>
      <w:r>
        <w:rPr>
          <w:rStyle w:val="VerbatimChar"/>
        </w:rPr>
        <w:t xml:space="preserve">contact@qgi.dev</w:t>
      </w:r>
      <w:r>
        <w:t xml:space="preserve">. Research:</w:t>
      </w:r>
      <w:r>
        <w:t xml:space="preserve"> </w:t>
      </w:r>
      <w:r>
        <w:rPr>
          <w:rStyle w:val="VerbatimChar"/>
        </w:rPr>
        <w:t xml:space="preserve">research@qgi.dev</w:t>
      </w:r>
      <w:r>
        <w:t xml:space="preserve">. Press:</w:t>
      </w:r>
      <w:r>
        <w:t xml:space="preserve"> </w:t>
      </w:r>
      <w:r>
        <w:rPr>
          <w:rStyle w:val="VerbatimChar"/>
        </w:rPr>
        <w:t xml:space="preserve">press@qgi.dev</w:t>
      </w:r>
      <w:r>
        <w:t xml:space="preserve">.</w:t>
      </w:r>
    </w:p>
    <w:bookmarkEnd w:id="29"/>
    <w:bookmarkStart w:id="30" w:name="notes-and-disclosures"/>
    <w:p>
      <w:pPr>
        <w:pStyle w:val="Heading1"/>
      </w:pPr>
      <w:r>
        <w:t xml:space="preserve">Notes and disclosures</w:t>
      </w:r>
    </w:p>
    <w:p>
      <w:pPr>
        <w:pStyle w:val="FirstParagraph"/>
      </w:pPr>
      <w:r>
        <w:t xml:space="preserve">This whitepaper is a vendor publication. The author is an employee</w:t>
      </w:r>
      <w:r>
        <w:t xml:space="preserve"> </w:t>
      </w:r>
      <w:r>
        <w:t xml:space="preserve">and shareholder of Quantum General Intelligence, Inc., and has a</w:t>
      </w:r>
      <w:r>
        <w:t xml:space="preserve"> </w:t>
      </w:r>
      <w:r>
        <w:t xml:space="preserve">commercial interest in Q-Prime and the QAG engine. Numerical claims</w:t>
      </w:r>
      <w:r>
        <w:t xml:space="preserve"> </w:t>
      </w:r>
      <w:r>
        <w:t xml:space="preserve">in this paper are drawn from QGI’s internal regulatory-conflict</w:t>
      </w:r>
      <w:r>
        <w:t xml:space="preserve"> </w:t>
      </w:r>
      <w:r>
        <w:t xml:space="preserve">benchmark and are released under evaluation agreement; full</w:t>
      </w:r>
      <w:r>
        <w:t xml:space="preserve"> </w:t>
      </w:r>
      <w:r>
        <w:t xml:space="preserve">methodology is forthcoming in a companion evaluation paper.</w:t>
      </w:r>
    </w:p>
    <w:p>
      <w:r>
        <w:pict>
          <v:rect style="width:0;height:1.5pt" o:hralign="center" o:hrstd="t" o:hr="t"/>
        </w:pict>
      </w:r>
    </w:p>
    <w:p>
      <w:pPr>
        <w:pStyle w:val="FirstParagraph"/>
      </w:pPr>
      <w:r>
        <w:t xml:space="preserve">© 2025–2026 Quantum General Intelligence, Inc. All rights reserved.</w:t>
      </w:r>
      <w:r>
        <w:t xml:space="preserve"> </w:t>
      </w:r>
      <w:r>
        <w:t xml:space="preserve">Trademarks: Q-Prime, QAG, QHG, Quantum-Augmented Generation, QGI,</w:t>
      </w:r>
      <w:r>
        <w:t xml:space="preserve"> </w:t>
      </w:r>
      <w:r>
        <w:t xml:space="preserve">Neural Symbolic Agents, Qualtron.</w:t>
      </w:r>
    </w:p>
    <w:bookmarkEnd w:id="30"/>
    <w:sectPr w:rsidR="00FC693F" w:rsidRPr="0006063C" w:rsidSect="00034616">
      <w:pgSz w:h="16838" w:w="11906"/>
      <w:pgMar w:bottom="1247" w:footer="567" w:gutter="0" w:header="567" w:left="1247" w:right="124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83" w:lineRule="auto"/>
    </w:pPr>
    <w:rPr>
      <w:rFonts w:ascii="Calibri" w:cs="Calibri" w:eastAsia="Calibri" w:hAnsi="Calibri"/>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60"/>
      <w:outlineLvl w:val="0"/>
    </w:pPr>
    <w:rPr>
      <w:rFonts w:ascii="Calibri" w:asciiTheme="majorHAnsi" w:cs="Calibri" w:cstheme="majorBidi" w:eastAsia="Calibri" w:eastAsiaTheme="majorEastAsia" w:hAnsi="Calibri" w:hAnsiTheme="majorHAnsi"/>
      <w:b/>
      <w:bCs/>
      <w:i w:val="0"/>
      <w:color w:val="2E4A8F"/>
      <w:sz w:val="36"/>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w:asciiTheme="majorHAnsi" w:cs="Calibri" w:cstheme="majorBidi" w:eastAsia="Calibri" w:eastAsiaTheme="majorEastAsia" w:hAnsi="Calibri" w:hAnsiTheme="majorHAnsi"/>
      <w:b/>
      <w:bCs/>
      <w:i w:val="0"/>
      <w:color w:val="4A68B0"/>
      <w:sz w:val="28"/>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Calibri" w:cstheme="majorBidi" w:eastAsia="Calibri" w:eastAsiaTheme="majorEastAsia" w:hAnsi="Calibri" w:hAnsiTheme="majorHAnsi"/>
      <w:b/>
      <w:bCs/>
      <w:i w:val="0"/>
      <w:color w:val="4B5561"/>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40" w:lineRule="auto"/>
      <w:contextualSpacing/>
      <w:jc w:val="center"/>
    </w:pPr>
    <w:rPr>
      <w:rFonts w:ascii="Calibri" w:asciiTheme="majorHAnsi" w:cs="Calibri" w:cstheme="majorBidi" w:eastAsia="Calibri" w:eastAsiaTheme="majorEastAsia" w:hAnsi="Calibri" w:hAnsiTheme="majorHAnsi"/>
      <w:b/>
      <w:i w:val="0"/>
      <w:color w:val="2E4A8F"/>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00"/>
      <w:jc w:val="center"/>
    </w:pPr>
    <w:rPr>
      <w:rFonts w:ascii="Calibri" w:asciiTheme="majorHAnsi" w:cs="Calibri" w:cstheme="majorBidi" w:eastAsia="Calibri" w:eastAsiaTheme="majorEastAsia" w:hAnsi="Calibri" w:hAnsiTheme="majorHAnsi"/>
      <w:b w:val="0"/>
      <w:i/>
      <w:iCs/>
      <w:color w:val="6B7280"/>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pPr>
    <w:rPr>
      <w:rFonts w:ascii="Calibri" w:cs="Calibri" w:eastAsia="Calibri" w:hAnsi="Calibri"/>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200" w:before="60" w:line="240" w:lineRule="auto"/>
      <w:jc w:val="center"/>
    </w:pPr>
    <w:rPr>
      <w:rFonts w:ascii="Calibri" w:cs="Calibri" w:eastAsia="Calibri" w:hAnsi="Calibri"/>
      <w:b w:val="0"/>
      <w:bCs/>
      <w:i/>
      <w:color w:val="4B5561"/>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120" w:before="240"/>
      <w:outlineLvl w:val="9"/>
    </w:pPr>
    <w:rPr>
      <w:rFonts w:ascii="Calibri" w:cs="Calibri" w:eastAsia="Calibri" w:hAnsi="Calibri"/>
      <w:b/>
      <w:i w:val="0"/>
      <w:color w:val="2E4A8F"/>
      <w:sz w:val="28"/>
    </w:rPr>
  </w:style>
  <w:style w:styleId="TableGrid" w:type="table">
    <w:name w:val="Table Grid"/>
    <w:basedOn w:val="TableNormal"/>
    <w:uiPriority w:val="59"/>
    <w:rsid w:val="00FC693F"/>
    <w:pPr>
      <w:spacing w:after="0" w:line="240" w:lineRule="auto"/>
    </w:pPr>
    <w:rPr>
      <w:rFonts w:ascii="Calibri" w:hAnsi="Calibri"/>
      <w:sz w:val="21"/>
    </w:rPr>
    <w:tblPr>
      <w:tblInd w:type="dxa" w:w="0"/>
      <w:tblCellMar>
        <w:top w:type="dxa" w:w="0"/>
        <w:left w:type="dxa" w:w="108"/>
        <w:bottom w:type="dxa" w:w="0"/>
        <w:right w:type="dxa" w:w="108"/>
      </w:tblCellMar>
      <w:tblBorders>
        <w:top w:color="C7D2E4" w:space="0" w:sz="4" w:val="single"/>
        <w:left w:color="C7D2E4" w:space="0" w:sz="4" w:val="single"/>
        <w:bottom w:color="C7D2E4" w:space="0" w:sz="4" w:val="single"/>
        <w:right w:color="C7D2E4" w:space="0" w:sz="4" w:val="single"/>
        <w:insideH w:color="C7D2E4" w:space="0" w:sz="4" w:val="single"/>
        <w:insideV w:color="C7D2E4"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60" w:before="60"/>
    </w:pPr>
    <w:rPr>
      <w:rFonts w:ascii="Consolas" w:cs="Consolas" w:eastAsia="Consolas" w:hAnsi="Consolas"/>
      <w:b w:val="0"/>
      <w:i w:val="0"/>
      <w:color w:val="4B5561"/>
      <w:sz w:val="20"/>
    </w:rPr>
  </w:style>
  <w:style w:customStyle="1" w:styleId="FirstParagraph" w:type="paragraph">
    <w:name w:val="First Paragraph"/>
    <w:pPr>
      <w:spacing w:after="120" w:before="0"/>
    </w:pPr>
    <w:rPr>
      <w:rFonts w:ascii="Calibri" w:cs="Calibri" w:eastAsia="Calibri" w:hAnsi="Calibri"/>
      <w:b w:val="0"/>
      <w:i w:val="0"/>
      <w:sz w:val="22"/>
    </w:rPr>
  </w:style>
  <w:style w:customStyle="1" w:styleId="Compact" w:type="paragraph">
    <w:name w:val="Compact"/>
    <w:pPr>
      <w:spacing w:after="40" w:before="0"/>
    </w:pPr>
    <w:rPr>
      <w:rFonts w:ascii="Calibri" w:cs="Calibri" w:eastAsia="Calibri" w:hAnsi="Calibri"/>
      <w:b w:val="0"/>
      <w:i w:val="0"/>
      <w:sz w:val="22"/>
    </w:rPr>
  </w:style>
  <w:style w:customStyle="1" w:styleId="ImageCaption" w:type="paragraph">
    <w:name w:val="Image Caption"/>
    <w:pPr>
      <w:spacing w:after="200" w:before="60"/>
      <w:jc w:val="center"/>
    </w:pPr>
    <w:rPr>
      <w:rFonts w:ascii="Calibri" w:cs="Calibri" w:eastAsia="Calibri" w:hAnsi="Calibri"/>
      <w:b w:val="0"/>
      <w:i/>
      <w:color w:val="4B5561"/>
      <w:sz w:val="20"/>
    </w:rPr>
  </w:style>
  <w:style w:customStyle="1" w:styleId="CaptionedFigure" w:type="paragraph">
    <w:name w:val="Captioned Figure"/>
    <w:pPr>
      <w:spacing w:after="0" w:before="160"/>
      <w:jc w:val="center"/>
    </w:pPr>
    <w:rPr>
      <w:rFonts w:ascii="Calibri" w:cs="Calibri" w:eastAsia="Calibri" w:hAnsi="Calibri"/>
      <w:b w:val="0"/>
      <w:i w:val="0"/>
      <w:sz w:val="22"/>
    </w:rPr>
  </w:style>
  <w:style w:customStyle="1" w:styleId="Abstract" w:type="paragraph">
    <w:name w:val="Abstract"/>
    <w:pPr>
      <w:spacing w:after="120" w:before="0"/>
    </w:pPr>
    <w:rPr>
      <w:rFonts w:ascii="Calibri" w:cs="Calibri" w:eastAsia="Calibri" w:hAnsi="Calibri"/>
      <w:b w:val="0"/>
      <w:i/>
      <w:color w:val="4B5561"/>
      <w:sz w:val="22"/>
    </w:rPr>
  </w:style>
  <w:style w:customStyle="1" w:styleId="AbstractTitle" w:type="paragraph">
    <w:name w:val="Abstract Title"/>
    <w:pPr>
      <w:spacing w:after="80" w:before="360"/>
      <w:jc w:val="center"/>
    </w:pPr>
    <w:rPr>
      <w:rFonts w:ascii="Calibri" w:cs="Calibri" w:eastAsia="Calibri" w:hAnsi="Calibri"/>
      <w:b/>
      <w:i w:val="0"/>
      <w:color w:val="4A68B0"/>
      <w:sz w:val="24"/>
    </w:rPr>
  </w:style>
  <w:style w:customStyle="1" w:styleId="Hyperlink" w:type="character">
    <w:name w:val="Hyperlink"/>
    <w:rPr>
      <w:rFonts w:ascii="Calibri" w:hAnsi="Calibri"/>
      <w:color w:val="2E4A8F"/>
      <w:u w:val="single"/>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Quantum-Augmented Generation</dc:title>
  <dc:creator/>
  <cp:keywords>executive whitepaper, Quantum-Augmented Generation, QAG, Q-Prime, regulated AI, compliance, contract intelligence, policy management, due diligence, agent memory</cp:keywords>
  <dcterms:created xsi:type="dcterms:W3CDTF">2026-04-21T04:20:42Z</dcterms:created>
  <dcterms:modified xsi:type="dcterms:W3CDTF">2026-04-21T04:20:42Z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AI copilots and agents now run on content the enterprise cannot afford to get wrong — regulations, policies, contracts, case law, clinical guidelines. The dominant architecture, Retrieval-Augmented Generation (RAG), was built for the open web and fails these documents systematically: similar-but-contradictory clauses are retrieved as near-duplicates, the generator produces a confident-and-wrong answer, the audit trail is a liability. The gap is categorical, not incremental. On QGI’s regulatory-conflict benchmark, classical similarity across five widely used embedding models from four organisations scores an F1 of 0.000; the QGI engine, driven by a purpose-built embedding (Q-Prime), scores 1.000.This whitepaper is the CIO and procurement version of QGI’s technical paper series. It explains, without mathematics, what Quantum-Augmented Generation (QAG) is, what it costs today to run without it, how it sits alongside existing AI investments, and what evaluation criteria your team should use when selecting an AI vendor for rule-bearing content. A six-point evaluation checklist is provided for use in RFPs.</vt:lpwstr>
  </property>
  <property fmtid="{D5CDD505-2E9C-101B-9397-08002B2CF9AE}" pid="3" name="date">
    <vt:lpwstr>21 April 2026</vt:lpwstr>
  </property>
  <property fmtid="{D5CDD505-2E9C-101B-9397-08002B2CF9AE}" pid="4" name="documentclass">
    <vt:lpwstr>article</vt:lpwstr>
  </property>
  <property fmtid="{D5CDD505-2E9C-101B-9397-08002B2CF9AE}" pid="5" name="fontsize">
    <vt:lpwstr>11pt</vt:lpwstr>
  </property>
  <property fmtid="{D5CDD505-2E9C-101B-9397-08002B2CF9AE}" pid="6" name="geometry">
    <vt:lpwstr/>
  </property>
  <property fmtid="{D5CDD505-2E9C-101B-9397-08002B2CF9AE}" pid="7" name="header-includes">
    <vt:lpwstr/>
  </property>
  <property fmtid="{D5CDD505-2E9C-101B-9397-08002B2CF9AE}" pid="8" name="linestretch">
    <vt:lpwstr>1.18</vt:lpwstr>
  </property>
  <property fmtid="{D5CDD505-2E9C-101B-9397-08002B2CF9AE}" pid="9" name="lof">
    <vt:lpwstr>False</vt:lpwstr>
  </property>
  <property fmtid="{D5CDD505-2E9C-101B-9397-08002B2CF9AE}" pid="10" name="lot">
    <vt:lpwstr>False</vt:lpwstr>
  </property>
  <property fmtid="{D5CDD505-2E9C-101B-9397-08002B2CF9AE}" pid="11" name="numbersections">
    <vt:lpwstr>True</vt:lpwstr>
  </property>
  <property fmtid="{D5CDD505-2E9C-101B-9397-08002B2CF9AE}" pid="12" name="papersize">
    <vt:lpwstr>a4</vt:lpwstr>
  </property>
  <property fmtid="{D5CDD505-2E9C-101B-9397-08002B2CF9AE}" pid="13" name="subtitle">
    <vt:lpwstr>A Reasoning-First Alternative to RAG for the Regulated Enterprise — Executive Whitepaper</vt:lpwstr>
  </property>
  <property fmtid="{D5CDD505-2E9C-101B-9397-08002B2CF9AE}" pid="14" name="toc">
    <vt:lpwstr>True</vt:lpwstr>
  </property>
  <property fmtid="{D5CDD505-2E9C-101B-9397-08002B2CF9AE}" pid="15" name="toc-depth">
    <vt:lpwstr>2</vt:lpwstr>
  </property>
  <property fmtid="{D5CDD505-2E9C-101B-9397-08002B2CF9AE}" pid="16" name="version">
    <vt:lpwstr>Executive Whitepaper v1.0</vt:lpwstr>
  </property>
</Properties>
</file>