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b/>
          <w:bCs/>
          <w:color w:val="1F4E79"/>
          <w:sz w:val="56"/>
          <w:szCs w:val="56"/>
        </w:rPr>
        <w:t xml:space="preserve">QCrypt RNG</w:t>
      </w:r>
    </w:p>
    <w:p>
      <w:pPr>
        <w:spacing w:after="80" w:before="0"/>
        <w:jc w:val="center"/>
      </w:pPr>
      <w:r>
        <w:rPr>
          <w:color w:val="2E75B6"/>
          <w:sz w:val="32"/>
          <w:szCs w:val="32"/>
        </w:rPr>
        <w:t xml:space="preserve">Government Compliance, AI/Quantum Cybersecurity Defense</w:t>
      </w:r>
    </w:p>
    <w:p>
      <w:pPr>
        <w:spacing w:after="80" w:before="0"/>
        <w:jc w:val="center"/>
      </w:pPr>
      <w:r>
        <w:rPr>
          <w:color w:val="2E75B6"/>
          <w:sz w:val="32"/>
          <w:szCs w:val="32"/>
        </w:rPr>
        <w:t xml:space="preserve">&amp; Profitability Strategy</w:t>
      </w:r>
    </w:p>
    <w:p>
      <w:pPr>
        <w:spacing w:after="80" w:before="120"/>
        <w:jc w:val="center"/>
      </w:pPr>
      <w:r>
        <w:rPr>
          <w:color w:val="00B0F0"/>
          <w:sz w:val="28"/>
          <w:szCs w:val="28"/>
        </w:rPr>
        <w:t xml:space="preserve">—</w:t>
      </w:r>
    </w:p>
    <w:p>
      <w:pPr>
        <w:spacing w:after="1440" w:before="80"/>
        <w:jc w:val="center"/>
      </w:pPr>
      <w:r>
        <w:rPr>
          <w:i/>
          <w:iCs/>
          <w:color w:val="404040"/>
          <w:sz w:val="22"/>
          <w:szCs w:val="22"/>
        </w:rPr>
        <w:t xml:space="preserve">A practical roadmap for bridging government compliance and profitability in the AI + post-quantum cybersecurity market</w:t>
      </w:r>
    </w:p>
    <w:p>
      <w:pPr>
        <w:jc w:val="center"/>
      </w:pPr>
      <w:r>
        <w:rPr>
          <w:color w:val="888888"/>
          <w:sz w:val="20"/>
          <w:szCs w:val="20"/>
        </w:rPr>
        <w:t xml:space="preserve">March 2026  |  Prepared for Jon Beale</w:t>
      </w:r>
    </w:p>
    <w:p>
      <w:r>
        <w:br w:type="page"/>
      </w:r>
    </w:p>
    <w:p>
      <w:pPr>
        <w:pStyle w:val="Heading1"/>
        <w:pBdr>
          <w:bottom w:val="single" w:color="00B0F0" w:sz="3"/>
        </w:pBdr>
        <w:shd w:fill="1F4E79" w:val="clear"/>
        <w:spacing w:after="200" w:before="360"/>
        <w:ind w:left="200" w:right="200"/>
      </w:pPr>
      <w:r>
        <w:rPr>
          <w:b/>
          <w:bCs/>
          <w:color w:val="FFFFFF"/>
        </w:rPr>
        <w:t xml:space="preserve">Executive Summary</w:t>
      </w:r>
    </w:p>
    <w:p>
      <w:pPr>
        <w:spacing w:after="60" w:before="60"/>
      </w:pPr>
      <w:r>
        <w:t xml:space="preserve"/>
      </w:r>
    </w:p>
    <w:p>
      <w:pPr>
        <w:spacing w:after="80" w:before="80"/>
      </w:pPr>
      <w:r>
        <w:rPr>
          <w:color w:val="404040"/>
          <w:sz w:val="22"/>
          <w:szCs w:val="22"/>
        </w:rPr>
        <w:t xml:space="preserve">Your QCrypt RNG project is already ahead of the curve. It implements NIST-finalized post-quantum algorithms (Dilithium/ML-DSA, Kyber/ML-KEM, SPHINCS+/SLH-DSA), a hardware abstraction layer for real QRNG devices, blockchain oracle randomness, and AES-256-GCM data protection — exactly what government and enterprise buyers are now legally mandated to acquire.</w:t>
      </w:r>
    </w:p>
    <w:p>
      <w:pPr>
        <w:spacing w:after="60" w:before="60"/>
      </w:pPr>
      <w:r>
        <w:t xml:space="preserve"/>
      </w:r>
    </w:p>
    <w:p>
      <w:pPr>
        <w:spacing w:after="80" w:before="80"/>
      </w:pPr>
      <w:r>
        <w:rPr>
          <w:color w:val="404040"/>
          <w:sz w:val="22"/>
          <w:szCs w:val="22"/>
        </w:rPr>
        <w:t xml:space="preserve">This guide covers four things:</w:t>
      </w:r>
    </w:p>
    <w:p>
      <w:pPr>
        <w:pStyle w:val="ListParagraph"/>
        <w:numPr>
          <w:ilvl w:val="0"/>
          <w:numId w:val="2"/>
        </w:numPr>
        <w:spacing w:after="60" w:before="60"/>
      </w:pPr>
      <w:r>
        <w:rPr>
          <w:color w:val="404040"/>
          <w:sz w:val="22"/>
          <w:szCs w:val="22"/>
        </w:rPr>
        <w:t xml:space="preserve">What compliance frameworks apply to your product and how to position it so government and enterprise customers can buy it confidently.</w:t>
      </w:r>
    </w:p>
    <w:p>
      <w:pPr>
        <w:pStyle w:val="ListParagraph"/>
        <w:numPr>
          <w:ilvl w:val="0"/>
          <w:numId w:val="2"/>
        </w:numPr>
        <w:spacing w:after="60" w:before="60"/>
      </w:pPr>
      <w:r>
        <w:rPr>
          <w:color w:val="404040"/>
          <w:sz w:val="22"/>
          <w:szCs w:val="22"/>
        </w:rPr>
        <w:t xml:space="preserve">Where the money is: profitable market segments, pricing models, and contract vehicles.</w:t>
      </w:r>
    </w:p>
    <w:p>
      <w:pPr>
        <w:pStyle w:val="ListParagraph"/>
        <w:numPr>
          <w:ilvl w:val="0"/>
          <w:numId w:val="2"/>
        </w:numPr>
        <w:spacing w:after="60" w:before="60"/>
      </w:pPr>
      <w:r>
        <w:rPr>
          <w:color w:val="404040"/>
          <w:sz w:val="22"/>
          <w:szCs w:val="22"/>
        </w:rPr>
        <w:t xml:space="preserve">How to build or extend a full AI-powered cybersecurity defense application on top of your existing stack.</w:t>
      </w:r>
    </w:p>
    <w:p>
      <w:pPr>
        <w:pStyle w:val="ListParagraph"/>
        <w:numPr>
          <w:ilvl w:val="0"/>
          <w:numId w:val="2"/>
        </w:numPr>
        <w:spacing w:after="60" w:before="60"/>
      </w:pPr>
      <w:r>
        <w:rPr>
          <w:color w:val="404040"/>
          <w:sz w:val="22"/>
          <w:szCs w:val="22"/>
        </w:rPr>
        <w:t xml:space="preserve">Reputable learning resources — papers, repositories, notebooks, and courses — to deepen expertise in every relevant area.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DEEAF1" w:val="clear"/>
            <w:tcMar>
              <w:top w:type="dxa" w:w="120"/>
              <w:left w:type="dxa" w:w="240"/>
              <w:bottom w:type="dxa" w:w="120"/>
              <w:right w:type="dxa" w:w="120"/>
            </w:tcMar>
          </w:tcPr>
          <w:p>
            <w:pPr>
              <w:spacing w:after="40"/>
            </w:pPr>
            <w:r>
              <w:rPr>
                <w:b/>
                <w:bCs/>
                <w:color w:val="1F4E79"/>
                <w:sz w:val="22"/>
                <w:szCs w:val="22"/>
              </w:rPr>
              <w:t xml:space="preserve">Key Insight</w:t>
            </w:r>
          </w:p>
          <w:p>
            <w:pPr>
              <w:spacing w:before="0"/>
            </w:pPr>
            <w:r>
              <w:rPr>
                <w:color w:val="404040"/>
                <w:sz w:val="21"/>
                <w:szCs w:val="21"/>
              </w:rPr>
              <w:t xml:space="preserve">NIST finalized FIPS 203 (ML-KEM/Kyber), FIPS 204 (ML-DSA/Dilithium), and FIPS 205 (SLH-DSA/SPHINCS+) in August 2024. Federal agencies and defense contractors are now legally required to transition. Your product already implements all three. Your fastest path to revenue is getting compliant, FedRAMP-authorized, and CMMC-aligned — then selling into DoD, CISA, and the defense industrial base (DIB).</w:t>
            </w:r>
          </w:p>
        </w:tc>
      </w:tr>
    </w:tbl>
    <w:p>
      <w:r>
        <w:br w:type="page"/>
      </w:r>
    </w:p>
    <w:p>
      <w:pPr>
        <w:pStyle w:val="Heading1"/>
        <w:pBdr>
          <w:bottom w:val="single" w:color="00B0F0" w:sz="3"/>
        </w:pBdr>
        <w:shd w:fill="1F4E79" w:val="clear"/>
        <w:spacing w:after="200" w:before="360"/>
        <w:ind w:left="200" w:right="200"/>
      </w:pPr>
      <w:r>
        <w:rPr>
          <w:b/>
          <w:bCs/>
          <w:color w:val="FFFFFF"/>
        </w:rPr>
        <w:t xml:space="preserve">Part 1 — Government Compliance Landscape</w:t>
      </w:r>
    </w:p>
    <w:p>
      <w:pPr>
        <w:spacing w:after="60" w:before="60"/>
      </w:pPr>
      <w:r>
        <w:t xml:space="preserve"/>
      </w:r>
    </w:p>
    <w:p>
      <w:pPr>
        <w:spacing w:after="80" w:before="80"/>
      </w:pPr>
      <w:r>
        <w:rPr>
          <w:color w:val="404040"/>
          <w:sz w:val="22"/>
          <w:szCs w:val="22"/>
        </w:rPr>
        <w:t xml:space="preserve">Navigating government compliance is not just a legal requirement — it is the single most powerful competitive moat in the federal market. Buyers cannot procure uncertified cryptographic products for classified or controlled environments. Getting certified means your competitors cannot win those contracts without going through the same process.</w:t>
      </w:r>
    </w:p>
    <w:p>
      <w:pPr>
        <w:spacing w:after="60" w:before="60"/>
      </w:pPr>
      <w:r>
        <w:t xml:space="preserve"/>
      </w:r>
    </w:p>
    <w:p>
      <w:pPr>
        <w:pStyle w:val="Heading2"/>
        <w:pBdr>
          <w:bottom w:val="single" w:color="2E75B6" w:sz="2"/>
        </w:pBdr>
        <w:spacing w:after="120" w:before="280"/>
      </w:pPr>
      <w:r>
        <w:rPr>
          <w:b/>
          <w:bCs/>
          <w:color w:val="1F4E79"/>
        </w:rPr>
        <w:t xml:space="preserve">1.1  NIST Post-Quantum Cryptography Standards (FIPS 203/204/205)</w:t>
      </w:r>
    </w:p>
    <w:p>
      <w:pPr>
        <w:spacing w:after="80" w:before="80"/>
      </w:pPr>
      <w:r>
        <w:rPr>
          <w:color w:val="404040"/>
          <w:sz w:val="22"/>
          <w:szCs w:val="22"/>
        </w:rPr>
        <w:t xml:space="preserve">The three NIST PQC FIPS standards are now the law of the land for federal systems. Here is how QCrypt RNG already maps — and where gaps remain.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Standard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Algorithm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Your Status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Action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FIPS 203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ML-KEM (Kyber 512/768/1024)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 Implemented via liboqs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Submit to CMVP for FIPS 140-3 validation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FIPS 204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ML-DSA (Dilithium 2/3/5)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 Implemented via liboqs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Submit to CMVP for FIPS 140-3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FIPS 205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SLH-DSA (SPHINCS+)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 Implemented via liboqs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Submit to CMVP for FIPS 140-3 validation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FIPS 206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FN-DSA (Falcon) — in draft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 Falcon 512/1024 ready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Monitor NIST finalization (~2025/26)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NIST SP 800-90B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Entropy source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 Simulation mode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Certify real QRNG hardware (ID Quantique or QuintessenceLabs)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FFF2CC" w:val="clear"/>
            <w:tcMar>
              <w:top w:type="dxa" w:w="120"/>
              <w:left w:type="dxa" w:w="240"/>
              <w:bottom w:type="dxa" w:w="120"/>
              <w:right w:type="dxa" w:w="120"/>
            </w:tcMar>
          </w:tcPr>
          <w:p>
            <w:pPr>
              <w:spacing w:after="40"/>
            </w:pPr>
            <w:r>
              <w:rPr>
                <w:b/>
                <w:bCs/>
                <w:color w:val="1F4E79"/>
                <w:sz w:val="22"/>
                <w:szCs w:val="22"/>
              </w:rPr>
              <w:t xml:space="preserve">Critical Action — FIPS 140-3 / CMVP</w:t>
            </w:r>
          </w:p>
          <w:p>
            <w:pPr>
              <w:spacing w:before="0"/>
            </w:pPr>
            <w:r>
              <w:rPr>
                <w:color w:val="404040"/>
                <w:sz w:val="21"/>
                <w:szCs w:val="21"/>
              </w:rPr>
              <w:t xml:space="preserve">You cannot sell to federal agencies without FIPS 140-3 validation of your cryptographic module. The NIST Cryptographic Module Validation Program (CMVP) requires testing by an accredited lab (Acumen Security, Leidos, UL, etc.). This takes 6–18 months and costs $50K–$200K but is the single most impactful investment for government sales.</w:t>
            </w:r>
          </w:p>
        </w:tc>
      </w:tr>
    </w:tbl>
    <w:p>
      <w:pPr>
        <w:spacing w:after="60" w:before="60"/>
      </w:pPr>
      <w:r>
        <w:t xml:space="preserve"/>
      </w:r>
    </w:p>
    <w:p>
      <w:pPr>
        <w:pStyle w:val="Heading2"/>
        <w:pBdr>
          <w:bottom w:val="single" w:color="2E75B6" w:sz="2"/>
        </w:pBdr>
        <w:spacing w:after="120" w:before="280"/>
      </w:pPr>
      <w:r>
        <w:rPr>
          <w:b/>
          <w:bCs/>
          <w:color w:val="1F4E79"/>
        </w:rPr>
        <w:t xml:space="preserve">1.2  CMMC 2.0 — Cybersecurity Maturity Model Certification</w:t>
      </w:r>
    </w:p>
    <w:p>
      <w:pPr>
        <w:spacing w:after="80" w:before="80"/>
      </w:pPr>
      <w:r>
        <w:rPr>
          <w:color w:val="404040"/>
          <w:sz w:val="22"/>
          <w:szCs w:val="22"/>
        </w:rPr>
        <w:t xml:space="preserve">CMMC 2.0 is mandatory for all DoD contractors handling Controlled Unclassified Information (CUI) or Federal Contract Information (FCI). It became effective December 16, 2024 with full enforcement phased through November 2025. This creates a massive addressable market: 300,000+ defense contractors need CMMC compliance.</w:t>
      </w:r>
    </w:p>
    <w:p>
      <w:pPr>
        <w:spacing w:after="60" w:before="60"/>
      </w:pPr>
      <w:r>
        <w:t xml:space="preserve"/>
      </w:r>
    </w:p>
    <w:p>
      <w:pPr>
        <w:pStyle w:val="ListParagraph"/>
        <w:numPr>
          <w:ilvl w:val="0"/>
          <w:numId w:val="3"/>
        </w:numPr>
        <w:spacing w:after="60" w:before="60"/>
      </w:pPr>
      <w:r>
        <w:rPr>
          <w:b/>
          <w:bCs/>
          <w:color w:val="1F4E79"/>
          <w:sz w:val="22"/>
          <w:szCs w:val="22"/>
        </w:rPr>
        <w:t xml:space="preserve">CMMC Level 1 (57 practices): </w:t>
      </w:r>
      <w:r>
        <w:rPr>
          <w:color w:val="404040"/>
          <w:sz w:val="22"/>
          <w:szCs w:val="22"/>
        </w:rPr>
        <w:t xml:space="preserve">Basic cyber hygiene — most SMB contractors. Not your direct market but opens referral channels.</w:t>
      </w:r>
    </w:p>
    <w:p>
      <w:pPr>
        <w:pStyle w:val="ListParagraph"/>
        <w:numPr>
          <w:ilvl w:val="0"/>
          <w:numId w:val="3"/>
        </w:numPr>
        <w:spacing w:after="60" w:before="60"/>
      </w:pPr>
      <w:r>
        <w:rPr>
          <w:b/>
          <w:bCs/>
          <w:color w:val="1F4E79"/>
          <w:sz w:val="22"/>
          <w:szCs w:val="22"/>
        </w:rPr>
        <w:t xml:space="preserve">CMMC Level 2 (110 practices, NIST SP 800-171): </w:t>
      </w:r>
      <w:r>
        <w:rPr>
          <w:color w:val="404040"/>
          <w:sz w:val="22"/>
          <w:szCs w:val="22"/>
        </w:rPr>
        <w:t xml:space="preserve">Aligns with NIST 800-171. Your PQC key generation, QRNG-seeded encryption, and audit logging directly satisfy AC (Access Control), IA (Identification &amp; Authentication), and SC (System &amp; Communications Protection) domains.</w:t>
      </w:r>
    </w:p>
    <w:p>
      <w:pPr>
        <w:pStyle w:val="ListParagraph"/>
        <w:numPr>
          <w:ilvl w:val="0"/>
          <w:numId w:val="3"/>
        </w:numPr>
        <w:spacing w:after="60" w:before="60"/>
      </w:pPr>
      <w:r>
        <w:rPr>
          <w:b/>
          <w:bCs/>
          <w:color w:val="1F4E79"/>
          <w:sz w:val="22"/>
          <w:szCs w:val="22"/>
        </w:rPr>
        <w:t xml:space="preserve">CMMC Level 3 (110+ practices, NIST SP 800-172): </w:t>
      </w:r>
      <w:r>
        <w:rPr>
          <w:color w:val="404040"/>
          <w:sz w:val="22"/>
          <w:szCs w:val="22"/>
        </w:rPr>
        <w:t xml:space="preserve">Advanced/APT defense for the highest-value DIB contractors. Your quantum threat intelligence and simulation of Shor/Grover attacks are selling points here.</w:t>
      </w:r>
    </w:p>
    <w:p>
      <w:pPr>
        <w:spacing w:after="60" w:before="60"/>
      </w:pPr>
      <w:r>
        <w:t xml:space="preserve"/>
      </w:r>
    </w:p>
    <w:p>
      <w:pPr>
        <w:pStyle w:val="Heading2"/>
        <w:pBdr>
          <w:bottom w:val="single" w:color="2E75B6" w:sz="2"/>
        </w:pBdr>
        <w:spacing w:after="120" w:before="280"/>
      </w:pPr>
      <w:r>
        <w:rPr>
          <w:b/>
          <w:bCs/>
          <w:color w:val="1F4E79"/>
        </w:rPr>
        <w:t xml:space="preserve">1.3  FedRAMP — Federal Risk and Authorization Management Program</w:t>
      </w:r>
    </w:p>
    <w:p>
      <w:pPr>
        <w:spacing w:after="80" w:before="80"/>
      </w:pPr>
      <w:r>
        <w:rPr>
          <w:color w:val="404040"/>
          <w:sz w:val="22"/>
          <w:szCs w:val="22"/>
        </w:rPr>
        <w:t xml:space="preserve">FedRAMP authorization is required to sell cloud services to federal agencies. The new FedRAMP 20x initiative (2025) is faster and automation-driven, making it more accessible to startups. Your FastAPI + Docker/Kubernetes architecture is cloud-native and well-positioned.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FedRAMP Level</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Relevance to QCrypt RNG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Low / Moderate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Public-facing randomness API, developer tier — fastest path to federal revenue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Moderate (Priority)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Key management services, encrypted data at rest/transit for CUI — highest ROI for your stack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High (Long-term)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Intelligence community, classified NSS — requires DISA IL5+ and full QRNG hardware certification</w:t>
            </w:r>
          </w:p>
        </w:tc>
      </w:tr>
    </w:tbl>
    <w:p>
      <w:pPr>
        <w:spacing w:after="60" w:before="60"/>
      </w:pPr>
      <w:r>
        <w:t xml:space="preserve"/>
      </w:r>
    </w:p>
    <w:p>
      <w:pPr>
        <w:pStyle w:val="Heading2"/>
        <w:pBdr>
          <w:bottom w:val="single" w:color="2E75B6" w:sz="2"/>
        </w:pBdr>
        <w:spacing w:after="120" w:before="280"/>
      </w:pPr>
      <w:r>
        <w:rPr>
          <w:b/>
          <w:bCs/>
          <w:color w:val="1F4E79"/>
        </w:rPr>
        <w:t xml:space="preserve">1.4  Additional Compliance Frameworks to Know</w:t>
      </w:r>
    </w:p>
    <w:p>
      <w:pPr>
        <w:pStyle w:val="ListParagraph"/>
        <w:numPr>
          <w:ilvl w:val="0"/>
          <w:numId w:val="3"/>
        </w:numPr>
        <w:spacing w:after="60" w:before="60"/>
      </w:pPr>
      <w:r>
        <w:rPr>
          <w:b/>
          <w:bCs/>
          <w:color w:val="1F4E79"/>
          <w:sz w:val="22"/>
          <w:szCs w:val="22"/>
        </w:rPr>
        <w:t xml:space="preserve">CNSA 2.0 (NSA): </w:t>
      </w:r>
      <w:r>
        <w:rPr>
          <w:color w:val="404040"/>
          <w:sz w:val="22"/>
          <w:szCs w:val="22"/>
        </w:rPr>
        <w:t xml:space="preserve">National Security Algorithm Suite 2.0 mandates ML-KEM, ML-DSA, and SLH-DSA for National Security Systems by 2030. New NSS acquisitions must be CNSA 2.0 compliant starting January 2027.</w:t>
      </w:r>
    </w:p>
    <w:p>
      <w:pPr>
        <w:pStyle w:val="ListParagraph"/>
        <w:numPr>
          <w:ilvl w:val="0"/>
          <w:numId w:val="3"/>
        </w:numPr>
        <w:spacing w:after="60" w:before="60"/>
      </w:pPr>
      <w:r>
        <w:rPr>
          <w:b/>
          <w:bCs/>
          <w:color w:val="1F4E79"/>
          <w:sz w:val="22"/>
          <w:szCs w:val="22"/>
        </w:rPr>
        <w:t xml:space="preserve">HIPAA (Healthcare): </w:t>
      </w:r>
      <w:r>
        <w:rPr>
          <w:color w:val="404040"/>
          <w:sz w:val="22"/>
          <w:szCs w:val="22"/>
        </w:rPr>
        <w:t xml:space="preserve">Your AES-256-GCM encryption and QRNG-seeded key generation directly satisfy HIPAA's encryption safeguards for ePHI. Target healthcare IT vendors.</w:t>
      </w:r>
    </w:p>
    <w:p>
      <w:pPr>
        <w:pStyle w:val="ListParagraph"/>
        <w:numPr>
          <w:ilvl w:val="0"/>
          <w:numId w:val="3"/>
        </w:numPr>
        <w:spacing w:after="60" w:before="60"/>
      </w:pPr>
      <w:r>
        <w:rPr>
          <w:b/>
          <w:bCs/>
          <w:color w:val="1F4E79"/>
          <w:sz w:val="22"/>
          <w:szCs w:val="22"/>
        </w:rPr>
        <w:t xml:space="preserve">FISMA / NIST RMF: </w:t>
      </w:r>
      <w:r>
        <w:rPr>
          <w:color w:val="404040"/>
          <w:sz w:val="22"/>
          <w:szCs w:val="22"/>
        </w:rPr>
        <w:t xml:space="preserve">Federal Information Security Modernization Act — all federal systems must follow NIST Risk Management Framework. Your entropy quality metrics and audit logging support continuous monitoring requirements.</w:t>
      </w:r>
    </w:p>
    <w:p>
      <w:pPr>
        <w:pStyle w:val="ListParagraph"/>
        <w:numPr>
          <w:ilvl w:val="0"/>
          <w:numId w:val="3"/>
        </w:numPr>
        <w:spacing w:after="60" w:before="60"/>
      </w:pPr>
      <w:r>
        <w:rPr>
          <w:b/>
          <w:bCs/>
          <w:color w:val="1F4E79"/>
          <w:sz w:val="22"/>
          <w:szCs w:val="22"/>
        </w:rPr>
        <w:t xml:space="preserve">Executive Order on AI Safety (Oct 2023 / Jan 2025): </w:t>
      </w:r>
      <w:r>
        <w:rPr>
          <w:color w:val="404040"/>
          <w:sz w:val="22"/>
          <w:szCs w:val="22"/>
        </w:rPr>
        <w:t xml:space="preserve">Federal AI systems must implement cryptographic controls and supply chain security. Your quantum threat assessment feature directly addresses this.</w:t>
      </w:r>
    </w:p>
    <w:p>
      <w:pPr>
        <w:pStyle w:val="ListParagraph"/>
        <w:numPr>
          <w:ilvl w:val="0"/>
          <w:numId w:val="3"/>
        </w:numPr>
        <w:spacing w:after="60" w:before="60"/>
      </w:pPr>
      <w:r>
        <w:rPr>
          <w:b/>
          <w:bCs/>
          <w:color w:val="1F4E79"/>
          <w:sz w:val="22"/>
          <w:szCs w:val="22"/>
        </w:rPr>
        <w:t xml:space="preserve">SOC 2 Type II: </w:t>
      </w:r>
      <w:r>
        <w:rPr>
          <w:color w:val="404040"/>
          <w:sz w:val="22"/>
          <w:szCs w:val="22"/>
        </w:rPr>
        <w:t xml:space="preserve">Commercial enterprise buyers (fintech, SaaS, healthcare) require this. Faster to obtain than FedRAMP and opens the entire private sector market.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DEEAF1" w:val="clear"/>
            <w:tcMar>
              <w:top w:type="dxa" w:w="120"/>
              <w:left w:type="dxa" w:w="240"/>
              <w:bottom w:type="dxa" w:w="120"/>
              <w:right w:type="dxa" w:w="120"/>
            </w:tcMar>
          </w:tcPr>
          <w:p>
            <w:pPr>
              <w:spacing w:after="40"/>
            </w:pPr>
            <w:r>
              <w:rPr>
                <w:b/>
                <w:bCs/>
                <w:color w:val="1F4E79"/>
                <w:sz w:val="22"/>
                <w:szCs w:val="22"/>
              </w:rPr>
              <w:t xml:space="preserve">Compliance Roadmap Priority Order</w:t>
            </w:r>
          </w:p>
          <w:p>
            <w:pPr>
              <w:spacing w:before="0"/>
            </w:pPr>
            <w:r>
              <w:rPr>
                <w:color w:val="404040"/>
                <w:sz w:val="21"/>
                <w:szCs w:val="21"/>
              </w:rPr>
              <w:t xml:space="preserve">1) SOC 2 Type II (6 months, ~$30K) → opens enterprise market immediately
2) FIPS 140-3 CMVP (12-18 months, $50–200K) → required for any federal sale
3) FedRAMP Moderate (18-24 months, $500K–$1.5M with cloud partner) → unlocks all civilian agencies
4) CMMC Level 2 Consulting Revenue → sell compliance readiness services to DIB contractors TODAY while your own certifications are in progress</w:t>
            </w:r>
          </w:p>
        </w:tc>
      </w:tr>
    </w:tbl>
    <w:p>
      <w:r>
        <w:br w:type="page"/>
      </w:r>
    </w:p>
    <w:p>
      <w:pPr>
        <w:pStyle w:val="Heading1"/>
        <w:pBdr>
          <w:bottom w:val="single" w:color="00B0F0" w:sz="3"/>
        </w:pBdr>
        <w:shd w:fill="1F4E79" w:val="clear"/>
        <w:spacing w:after="200" w:before="360"/>
        <w:ind w:left="200" w:right="200"/>
      </w:pPr>
      <w:r>
        <w:rPr>
          <w:b/>
          <w:bCs/>
          <w:color w:val="FFFFFF"/>
        </w:rPr>
        <w:t xml:space="preserve">Part 2 — Profitability Strategy</w:t>
      </w:r>
    </w:p>
    <w:p>
      <w:pPr>
        <w:spacing w:after="60" w:before="60"/>
      </w:pPr>
      <w:r>
        <w:t xml:space="preserve"/>
      </w:r>
    </w:p>
    <w:p>
      <w:pPr>
        <w:spacing w:after="80" w:before="80"/>
      </w:pPr>
      <w:r>
        <w:rPr>
          <w:color w:val="404040"/>
          <w:sz w:val="22"/>
          <w:szCs w:val="22"/>
        </w:rPr>
        <w:t xml:space="preserve">The quantum + AI cybersecurity market is one of the fastest-growing segments in tech, but profitability requires understanding WHICH sub-markets pay and HOW to structure contracts. Here is how to think about it strategically given your existing QCrypt RNG codebase.</w:t>
      </w:r>
    </w:p>
    <w:p>
      <w:pPr>
        <w:spacing w:after="60" w:before="60"/>
      </w:pPr>
      <w:r>
        <w:t xml:space="preserve"/>
      </w:r>
    </w:p>
    <w:p>
      <w:pPr>
        <w:pStyle w:val="Heading2"/>
        <w:pBdr>
          <w:bottom w:val="single" w:color="2E75B6" w:sz="2"/>
        </w:pBdr>
        <w:spacing w:after="120" w:before="280"/>
      </w:pPr>
      <w:r>
        <w:rPr>
          <w:b/>
          <w:bCs/>
          <w:color w:val="1F4E79"/>
        </w:rPr>
        <w:t xml:space="preserve">2.1  Highest-Value Market Segments (Ranked by Revenue Potential)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Deal Size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Compliance Hook</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Your QCrypt Angle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DoD / Intelligence Primes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$1M–$50M contracts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CMMC L3, CNSA 2.0, NSS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PQC crypto module + QRNG for key generation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Financial Services (Banks/Fintech)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$200K–$5M/yr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SOC 2, PCI-DSS, FIPS 140-3</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Quantum-seeded session tokens, OTP, HSM-grade entropy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Healthcare / MedTech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$100K–$2M/yr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HIPAA, HITRUST, FedRAMP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QRNG encrypted ePHI at rest, quantum-safe telemetry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Cloud / SaaS Providers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$50K–$500K/yr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FedRAMP, SOC 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Randomness-as-a-Service API integration, white-label PQC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Blockchain / Web3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$10K–$200K/project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SEC, CFTC emerging rules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Quantum VRF oracle — unfakeable randomness for DeFi/NFT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DIB CMMC Consulting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$5K–$50K/engagement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CMMC 2.0 (mandatory)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Sell crypto migration advisory while awaiting FIPS cert</w:t>
            </w:r>
          </w:p>
        </w:tc>
      </w:tr>
    </w:tbl>
    <w:p>
      <w:pPr>
        <w:spacing w:after="60" w:before="60"/>
      </w:pPr>
      <w:r>
        <w:t xml:space="preserve"/>
      </w:r>
    </w:p>
    <w:p>
      <w:pPr>
        <w:pStyle w:val="Heading2"/>
        <w:pBdr>
          <w:bottom w:val="single" w:color="2E75B6" w:sz="2"/>
        </w:pBdr>
        <w:spacing w:after="120" w:before="280"/>
      </w:pPr>
      <w:r>
        <w:rPr>
          <w:b/>
          <w:bCs/>
          <w:color w:val="1F4E79"/>
        </w:rPr>
        <w:t xml:space="preserve">2.2  Revenue Model — The Compliance Premium</w:t>
      </w:r>
    </w:p>
    <w:p>
      <w:pPr>
        <w:spacing w:after="80" w:before="80"/>
      </w:pPr>
      <w:r>
        <w:rPr>
          <w:color w:val="404040"/>
          <w:sz w:val="22"/>
          <w:szCs w:val="22"/>
        </w:rPr>
        <w:t xml:space="preserve">Government and regulated industries pay a compliance premium — often 3–10x what commercial buyers pay for equivalent functionality — because they cannot use non-compliant alternatives regardless of price. This is the core profit driver.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Product Tier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Monthly Price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Target Buyer</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Key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Developer / Startup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$99–$499/mo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SaaS startups, Web3 devs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QRNG API, 50K requests, simulation backend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Enterprise SaaS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$2K–$10K/mo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Fintech, healthtech, cloud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SOC 2 reports, SLA, dedicated support, audit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Government / FedRAMP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$15K–$50K/mo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Federal agencies, DIB primes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FedRAMP Moderate, FIPS 140-3, dedicated tenancy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CMMC Consulting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$250–$500/hr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DoD contractors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Crypto inventory, PQC migration plan, remediation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Hardware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$50K–$500K (one-time)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Intelligence / NSS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ID Quantique or QuintessenceLabs certified deployment</w:t>
            </w:r>
          </w:p>
        </w:tc>
      </w:tr>
    </w:tbl>
    <w:p>
      <w:pPr>
        <w:spacing w:after="60" w:before="60"/>
      </w:pPr>
      <w:r>
        <w:t xml:space="preserve"/>
      </w:r>
    </w:p>
    <w:p>
      <w:pPr>
        <w:pStyle w:val="Heading2"/>
        <w:pBdr>
          <w:bottom w:val="single" w:color="2E75B6" w:sz="2"/>
        </w:pBdr>
        <w:spacing w:after="120" w:before="280"/>
      </w:pPr>
      <w:r>
        <w:rPr>
          <w:b/>
          <w:bCs/>
          <w:color w:val="1F4E79"/>
        </w:rPr>
        <w:t xml:space="preserve">2.3  Government Contract Vehicles — How to Get on the Schedule</w:t>
      </w:r>
    </w:p>
    <w:p>
      <w:pPr>
        <w:spacing w:after="80" w:before="80"/>
      </w:pPr>
      <w:r>
        <w:rPr>
          <w:color w:val="404040"/>
          <w:sz w:val="22"/>
          <w:szCs w:val="22"/>
        </w:rPr>
        <w:t xml:space="preserve">Even a perfect product cannot be bought by a federal agency unless it is on an approved contract vehicle. These are the key vehicles for your product category:</w:t>
      </w:r>
    </w:p>
    <w:p>
      <w:pPr>
        <w:spacing w:after="60" w:before="60"/>
      </w:pPr>
      <w:r>
        <w:t xml:space="preserve"/>
      </w:r>
    </w:p>
    <w:p>
      <w:pPr>
        <w:pStyle w:val="ListParagraph"/>
        <w:numPr>
          <w:ilvl w:val="0"/>
          <w:numId w:val="3"/>
        </w:numPr>
        <w:spacing w:after="60" w:before="60"/>
      </w:pPr>
      <w:r>
        <w:rPr>
          <w:b/>
          <w:bCs/>
          <w:color w:val="1F4E79"/>
          <w:sz w:val="22"/>
          <w:szCs w:val="22"/>
        </w:rPr>
        <w:t xml:space="preserve">GSA Schedule 70 (IT Products &amp; Services): </w:t>
      </w:r>
      <w:r>
        <w:rPr>
          <w:color w:val="404040"/>
          <w:sz w:val="22"/>
          <w:szCs w:val="22"/>
        </w:rPr>
        <w:t xml:space="preserve">The primary vehicle for commercial IT. Application takes 3–6 months. Once approved, 20,000+ agencies can buy from you without a new solicitation process.</w:t>
      </w:r>
    </w:p>
    <w:p>
      <w:pPr>
        <w:pStyle w:val="ListParagraph"/>
        <w:numPr>
          <w:ilvl w:val="0"/>
          <w:numId w:val="3"/>
        </w:numPr>
        <w:spacing w:after="60" w:before="60"/>
      </w:pPr>
      <w:r>
        <w:rPr>
          <w:b/>
          <w:bCs/>
          <w:color w:val="1F4E79"/>
          <w:sz w:val="22"/>
          <w:szCs w:val="22"/>
        </w:rPr>
        <w:t xml:space="preserve">SEWP (NASA Solutions for Enterprise-Wide Procurement): </w:t>
      </w:r>
      <w:r>
        <w:rPr>
          <w:color w:val="404040"/>
          <w:sz w:val="22"/>
          <w:szCs w:val="22"/>
        </w:rPr>
        <w:t xml:space="preserve">Faster than GSA for IT, managed by NASA. Strong DoD and federal civilian adoption. Apply through a Prime contract holder.</w:t>
      </w:r>
    </w:p>
    <w:p>
      <w:pPr>
        <w:pStyle w:val="ListParagraph"/>
        <w:numPr>
          <w:ilvl w:val="0"/>
          <w:numId w:val="3"/>
        </w:numPr>
        <w:spacing w:after="60" w:before="60"/>
      </w:pPr>
      <w:r>
        <w:rPr>
          <w:b/>
          <w:bCs/>
          <w:color w:val="1F4E79"/>
          <w:sz w:val="22"/>
          <w:szCs w:val="22"/>
        </w:rPr>
        <w:t xml:space="preserve">SBIR / STTR Programs: </w:t>
      </w:r>
      <w:r>
        <w:rPr>
          <w:color w:val="404040"/>
          <w:sz w:val="22"/>
          <w:szCs w:val="22"/>
        </w:rPr>
        <w:t xml:space="preserve">If you qualify as a small business, Phase I ($150K–$250K) and Phase II ($750K–$1.5M) grants from DoD, NSF, or DHS are non-dilutive funding to advance your quantum security R&amp;D.</w:t>
      </w:r>
    </w:p>
    <w:p>
      <w:pPr>
        <w:pStyle w:val="ListParagraph"/>
        <w:numPr>
          <w:ilvl w:val="0"/>
          <w:numId w:val="3"/>
        </w:numPr>
        <w:spacing w:after="60" w:before="60"/>
      </w:pPr>
      <w:r>
        <w:rPr>
          <w:b/>
          <w:bCs/>
          <w:color w:val="1F4E79"/>
          <w:sz w:val="22"/>
          <w:szCs w:val="22"/>
        </w:rPr>
        <w:t xml:space="preserve">CIO-SP4 (NIH): </w:t>
      </w:r>
      <w:r>
        <w:rPr>
          <w:color w:val="404040"/>
          <w:sz w:val="22"/>
          <w:szCs w:val="22"/>
        </w:rPr>
        <w:t xml:space="preserve">IT services vehicle used across HHS, NIH, and civilian agencies — strong healthcare alignment.</w:t>
      </w:r>
    </w:p>
    <w:p>
      <w:pPr>
        <w:pStyle w:val="ListParagraph"/>
        <w:numPr>
          <w:ilvl w:val="0"/>
          <w:numId w:val="3"/>
        </w:numPr>
        <w:spacing w:after="60" w:before="60"/>
      </w:pPr>
      <w:r>
        <w:rPr>
          <w:b/>
          <w:bCs/>
          <w:color w:val="1F4E79"/>
          <w:sz w:val="22"/>
          <w:szCs w:val="22"/>
        </w:rPr>
        <w:t xml:space="preserve">OTA (Other Transaction Authority): </w:t>
      </w:r>
      <w:r>
        <w:rPr>
          <w:color w:val="404040"/>
          <w:sz w:val="22"/>
          <w:szCs w:val="22"/>
        </w:rPr>
        <w:t xml:space="preserve">DoD uses OTAs for prototype agreements outside FAR. SOFWERX, AFWERX, NavalX, and Army XTECH all run OTA competitions — perfect for demonstrating your quantum oracle and PQC module.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E2EFDA" w:val="clear"/>
            <w:tcMar>
              <w:top w:type="dxa" w:w="120"/>
              <w:left w:type="dxa" w:w="240"/>
              <w:bottom w:type="dxa" w:w="120"/>
              <w:right w:type="dxa" w:w="120"/>
            </w:tcMar>
          </w:tcPr>
          <w:p>
            <w:pPr>
              <w:spacing w:after="40"/>
            </w:pPr>
            <w:r>
              <w:rPr>
                <w:b/>
                <w:bCs/>
                <w:color w:val="1F4E79"/>
                <w:sz w:val="22"/>
                <w:szCs w:val="22"/>
              </w:rPr>
              <w:t xml:space="preserve">Fastest Path to First Government Revenue</w:t>
            </w:r>
          </w:p>
          <w:p>
            <w:pPr>
              <w:spacing w:before="0"/>
            </w:pPr>
            <w:r>
              <w:rPr>
                <w:color w:val="404040"/>
                <w:sz w:val="21"/>
                <w:szCs w:val="21"/>
              </w:rPr>
              <w:t xml:space="preserve">Partner with an existing GSA Schedule holder or CMMC Registered Provider Organization (RPO) as a subcontractor. You provide the technical quantum/PQC capability; they bring the contract vehicle, past performance, and customer relationships. This gets you paid contracts in 60-90 days instead of 12-24 months of solo certification work.</w:t>
            </w:r>
          </w:p>
        </w:tc>
      </w:tr>
    </w:tbl>
    <w:p>
      <w:r>
        <w:br w:type="page"/>
      </w:r>
    </w:p>
    <w:p>
      <w:pPr>
        <w:pStyle w:val="Heading1"/>
        <w:pBdr>
          <w:bottom w:val="single" w:color="00B0F0" w:sz="3"/>
        </w:pBdr>
        <w:shd w:fill="1F4E79" w:val="clear"/>
        <w:spacing w:after="200" w:before="360"/>
        <w:ind w:left="200" w:right="200"/>
      </w:pPr>
      <w:r>
        <w:rPr>
          <w:b/>
          <w:bCs/>
          <w:color w:val="FFFFFF"/>
        </w:rPr>
        <w:t xml:space="preserve">Part 3 — Building the AI + Quantum Cybersecurity Defense Application</w:t>
      </w:r>
    </w:p>
    <w:p>
      <w:pPr>
        <w:spacing w:after="60" w:before="60"/>
      </w:pPr>
      <w:r>
        <w:t xml:space="preserve"/>
      </w:r>
    </w:p>
    <w:p>
      <w:pPr>
        <w:spacing w:after="80" w:before="80"/>
      </w:pPr>
      <w:r>
        <w:rPr>
          <w:color w:val="404040"/>
          <w:sz w:val="22"/>
          <w:szCs w:val="22"/>
        </w:rPr>
        <w:t xml:space="preserve">Your QCrypt RNG is the cryptographic foundation. The next layer is an AI-powered threat detection and response system built on top of it. Here is the architecture and step-by-step build process.</w:t>
      </w:r>
    </w:p>
    <w:p>
      <w:pPr>
        <w:spacing w:after="60" w:before="60"/>
      </w:pPr>
      <w:r>
        <w:t xml:space="preserve"/>
      </w:r>
    </w:p>
    <w:p>
      <w:pPr>
        <w:pStyle w:val="Heading2"/>
        <w:pBdr>
          <w:bottom w:val="single" w:color="2E75B6" w:sz="2"/>
        </w:pBdr>
        <w:spacing w:after="120" w:before="280"/>
      </w:pPr>
      <w:r>
        <w:rPr>
          <w:b/>
          <w:bCs/>
          <w:color w:val="1F4E79"/>
        </w:rPr>
        <w:t xml:space="preserve">3.1  Full System Architecture</w:t>
      </w:r>
    </w:p>
    <w:p>
      <w:pPr>
        <w:spacing w:after="60" w:before="60"/>
      </w:pPr>
      <w:r>
        <w:t xml:space="preserve"/>
      </w:r>
    </w:p>
    <w:p>
      <w:pPr>
        <w:spacing w:after="80" w:before="80"/>
      </w:pPr>
      <w:r>
        <w:rPr>
          <w:b/>
          <w:bCs/>
          <w:color w:val="404040"/>
          <w:sz w:val="22"/>
          <w:szCs w:val="22"/>
        </w:rPr>
        <w:t xml:space="preserve">The complete cybersecurity defense platform has five layers: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 in QCrypt RNG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Layer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QRNG + PQC Cryptographic Foundation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 Built — qrng.py, pqc.py, hardware_interface.py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Layer 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Secure API + Key Management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 Built — FastAPI /protect, /pqc, /generate endpoints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Layer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AI Threat Detection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 To Build — anomaly detection, behavioral analysis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Layer 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SIEM Integration + Incident Response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 To Build — MITRE ATT&amp;CK mapping, alert triage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Layer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Dashboard + Compliance Reporting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 Partial — monitoring.py exists, needs FIPS/CMMC reporting</w:t>
            </w:r>
          </w:p>
        </w:tc>
      </w:tr>
    </w:tbl>
    <w:p>
      <w:pPr>
        <w:spacing w:after="60" w:before="60"/>
      </w:pPr>
      <w:r>
        <w:t xml:space="preserve"/>
      </w:r>
    </w:p>
    <w:p>
      <w:pPr>
        <w:pStyle w:val="Heading2"/>
        <w:pBdr>
          <w:bottom w:val="single" w:color="2E75B6" w:sz="2"/>
        </w:pBdr>
        <w:spacing w:after="120" w:before="280"/>
      </w:pPr>
      <w:r>
        <w:rPr>
          <w:b/>
          <w:bCs/>
          <w:color w:val="1F4E79"/>
        </w:rPr>
        <w:t xml:space="preserve">3.2  Layer 3: AI Threat Detection Engine</w:t>
      </w:r>
    </w:p>
    <w:p>
      <w:pPr>
        <w:spacing w:after="80" w:before="80"/>
      </w:pPr>
      <w:r>
        <w:rPr>
          <w:color w:val="404040"/>
          <w:sz w:val="22"/>
          <w:szCs w:val="22"/>
        </w:rPr>
        <w:t xml:space="preserve">This is the highest-value differentiator. Most quantum security companies focus purely on cryptography; adding AI-driven threat detection creates a complete platform that commands enterprise and government pricing.</w:t>
      </w:r>
    </w:p>
    <w:p>
      <w:pPr>
        <w:spacing w:after="60" w:before="60"/>
      </w:pPr>
      <w:r>
        <w:t xml:space="preserve"/>
      </w:r>
    </w:p>
    <w:p>
      <w:pPr>
        <w:pStyle w:val="Heading3"/>
        <w:spacing w:after="80" w:before="200"/>
      </w:pPr>
      <w:r>
        <w:rPr>
          <w:b/>
          <w:bCs/>
          <w:color w:val="2E75B6"/>
        </w:rPr>
        <w:t xml:space="preserve">3.2.1  Anomaly Detection on Entropy Streams</w:t>
      </w:r>
    </w:p>
    <w:p>
      <w:pPr>
        <w:spacing w:after="80" w:before="80"/>
      </w:pPr>
      <w:r>
        <w:rPr>
          <w:color w:val="404040"/>
          <w:sz w:val="22"/>
          <w:szCs w:val="22"/>
        </w:rPr>
        <w:t xml:space="preserve">Your QRNG already tracks Shannon entropy, min-entropy, chi-square, and autocorrelation. Extend this with an ML layer that detects:</w:t>
      </w:r>
    </w:p>
    <w:p>
      <w:pPr>
        <w:pStyle w:val="ListParagraph"/>
        <w:numPr>
          <w:ilvl w:val="0"/>
          <w:numId w:val="3"/>
        </w:numPr>
        <w:spacing w:after="60" w:before="60"/>
      </w:pPr>
      <w:r>
        <w:rPr>
          <w:color w:val="404040"/>
          <w:sz w:val="22"/>
          <w:szCs w:val="22"/>
        </w:rPr>
        <w:t xml:space="preserve">Entropy degradation attacks — an adversary manipulating your hardware input</w:t>
      </w:r>
    </w:p>
    <w:p>
      <w:pPr>
        <w:pStyle w:val="ListParagraph"/>
        <w:numPr>
          <w:ilvl w:val="0"/>
          <w:numId w:val="3"/>
        </w:numPr>
        <w:spacing w:after="60" w:before="60"/>
      </w:pPr>
      <w:r>
        <w:rPr>
          <w:color w:val="404040"/>
          <w:sz w:val="22"/>
          <w:szCs w:val="22"/>
        </w:rPr>
        <w:t xml:space="preserve">Side-channel leakage patterns — timing correlations in key generation</w:t>
      </w:r>
    </w:p>
    <w:p>
      <w:pPr>
        <w:pStyle w:val="ListParagraph"/>
        <w:numPr>
          <w:ilvl w:val="0"/>
          <w:numId w:val="3"/>
        </w:numPr>
        <w:spacing w:after="60" w:before="60"/>
      </w:pPr>
      <w:r>
        <w:rPr>
          <w:color w:val="404040"/>
          <w:sz w:val="22"/>
          <w:szCs w:val="22"/>
        </w:rPr>
        <w:t xml:space="preserve">Statistical biases — indicators of hardware failure or physical tampering</w:t>
      </w:r>
    </w:p>
    <w:p>
      <w:pPr>
        <w:spacing w:after="60" w:before="60"/>
      </w:pPr>
      <w:r>
        <w:t xml:space="preserve"/>
      </w:r>
    </w:p>
    <w:p>
      <w:pPr>
        <w:spacing w:after="80" w:before="80"/>
      </w:pPr>
      <w:r>
        <w:rPr>
          <w:color w:val="404040"/>
          <w:sz w:val="22"/>
          <w:szCs w:val="22"/>
        </w:rPr>
        <w:t xml:space="preserve">Recommended approach: Train an Isolation Forest or LSTM autoencoder on your entropy quality metrics. Flag anomalies in real-time via your existing Prometheus monitoring pipeline.</w:t>
      </w:r>
    </w:p>
    <w:p>
      <w:pPr>
        <w:spacing w:after="60" w:before="60"/>
      </w:pPr>
      <w:r>
        <w:t xml:space="preserve"/>
      </w:r>
    </w:p>
    <w:p>
      <w:pPr>
        <w:pStyle w:val="Heading3"/>
        <w:spacing w:after="80" w:before="200"/>
      </w:pPr>
      <w:r>
        <w:rPr>
          <w:b/>
          <w:bCs/>
          <w:color w:val="2E75B6"/>
        </w:rPr>
        <w:t xml:space="preserve">3.2.2  Cryptographic Usage Anomaly Detection</w:t>
      </w:r>
    </w:p>
    <w:p>
      <w:pPr>
        <w:spacing w:after="80" w:before="80"/>
      </w:pPr>
      <w:r>
        <w:rPr>
          <w:color w:val="404040"/>
          <w:sz w:val="22"/>
          <w:szCs w:val="22"/>
        </w:rPr>
        <w:t xml:space="preserve">Monitor API usage patterns to detect:</w:t>
      </w:r>
    </w:p>
    <w:p>
      <w:pPr>
        <w:pStyle w:val="ListParagraph"/>
        <w:numPr>
          <w:ilvl w:val="0"/>
          <w:numId w:val="3"/>
        </w:numPr>
        <w:spacing w:after="60" w:before="60"/>
      </w:pPr>
      <w:r>
        <w:rPr>
          <w:color w:val="404040"/>
          <w:sz w:val="22"/>
          <w:szCs w:val="22"/>
        </w:rPr>
        <w:t xml:space="preserve">Key generation spikes — potential exfiltration preparation</w:t>
      </w:r>
    </w:p>
    <w:p>
      <w:pPr>
        <w:pStyle w:val="ListParagraph"/>
        <w:numPr>
          <w:ilvl w:val="0"/>
          <w:numId w:val="3"/>
        </w:numPr>
        <w:spacing w:after="60" w:before="60"/>
      </w:pPr>
      <w:r>
        <w:rPr>
          <w:color w:val="404040"/>
          <w:sz w:val="22"/>
          <w:szCs w:val="22"/>
        </w:rPr>
        <w:t xml:space="preserve">Unusual algorithm downgrade requests — active downgrade attacks</w:t>
      </w:r>
    </w:p>
    <w:p>
      <w:pPr>
        <w:pStyle w:val="ListParagraph"/>
        <w:numPr>
          <w:ilvl w:val="0"/>
          <w:numId w:val="3"/>
        </w:numPr>
        <w:spacing w:after="60" w:before="60"/>
      </w:pPr>
      <w:r>
        <w:rPr>
          <w:color w:val="404040"/>
          <w:sz w:val="22"/>
          <w:szCs w:val="22"/>
        </w:rPr>
        <w:t xml:space="preserve">Off-hours high-volume requests — compromised service accounts</w:t>
      </w:r>
    </w:p>
    <w:p>
      <w:pPr>
        <w:pStyle w:val="ListParagraph"/>
        <w:numPr>
          <w:ilvl w:val="0"/>
          <w:numId w:val="3"/>
        </w:numPr>
        <w:spacing w:after="60" w:before="60"/>
      </w:pPr>
      <w:r>
        <w:rPr>
          <w:color w:val="404040"/>
          <w:sz w:val="22"/>
          <w:szCs w:val="22"/>
        </w:rPr>
        <w:t xml:space="preserve">Geographic impossibility — same API key used from two distant locations simultaneously</w:t>
      </w:r>
    </w:p>
    <w:p>
      <w:pPr>
        <w:spacing w:after="60" w:before="60"/>
      </w:pPr>
      <w:r>
        <w:t xml:space="preserve"/>
      </w:r>
    </w:p>
    <w:p>
      <w:pPr>
        <w:pStyle w:val="Heading3"/>
        <w:spacing w:after="80" w:before="200"/>
      </w:pPr>
      <w:r>
        <w:rPr>
          <w:b/>
          <w:bCs/>
          <w:color w:val="2E75B6"/>
        </w:rPr>
        <w:t xml:space="preserve">3.2.3  MITRE ATT&amp;CK and ATLAS Mapping</w:t>
      </w:r>
    </w:p>
    <w:p>
      <w:pPr>
        <w:spacing w:after="80" w:before="80"/>
      </w:pPr>
      <w:r>
        <w:rPr>
          <w:color w:val="404040"/>
          <w:sz w:val="22"/>
          <w:szCs w:val="22"/>
        </w:rPr>
        <w:t xml:space="preserve">Map your detections to MITRE frameworks for enterprise buyers and government agencies: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Attack Technique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MITRE ID</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Your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Harvest Now, Decrypt Later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T1040 (network sniff)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Detect classical-only traffic, flag for PQC migration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Weak Random Seed Exploit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T1552.004 (private keys)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QRNG entropy quality monitor flags weak sessions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Cryptographic Downgrade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T1557 (adversary-in-middle)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Algorithm negotiation anomaly detector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AI Model Poisoning (ATLAS)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AML.T0020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Validate ML model integrity with quantum-signed hashes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Side-Channel Timing Attack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T1600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Constant-time operation monitoring on key ops</w:t>
            </w:r>
          </w:p>
        </w:tc>
      </w:tr>
    </w:tbl>
    <w:p>
      <w:pPr>
        <w:spacing w:after="60" w:before="60"/>
      </w:pPr>
      <w:r>
        <w:t xml:space="preserve"/>
      </w:r>
    </w:p>
    <w:p>
      <w:pPr>
        <w:pStyle w:val="Heading2"/>
        <w:pBdr>
          <w:bottom w:val="single" w:color="2E75B6" w:sz="2"/>
        </w:pBdr>
        <w:spacing w:after="120" w:before="280"/>
      </w:pPr>
      <w:r>
        <w:rPr>
          <w:b/>
          <w:bCs/>
          <w:color w:val="1F4E79"/>
        </w:rPr>
        <w:t xml:space="preserve">3.3  Layer 4: SIEM Integration + Incident Response</w:t>
      </w:r>
    </w:p>
    <w:p>
      <w:pPr>
        <w:spacing w:after="80" w:before="80"/>
      </w:pPr>
      <w:r>
        <w:rPr>
          <w:color w:val="404040"/>
          <w:sz w:val="22"/>
          <w:szCs w:val="22"/>
        </w:rPr>
        <w:t xml:space="preserve">Integrate with existing enterprise security stacks for maximum sales velocity:</w:t>
      </w:r>
    </w:p>
    <w:p>
      <w:pPr>
        <w:spacing w:after="60" w:before="60"/>
      </w:pPr>
      <w:r>
        <w:t xml:space="preserve"/>
      </w:r>
    </w:p>
    <w:p>
      <w:pPr>
        <w:pStyle w:val="ListParagraph"/>
        <w:numPr>
          <w:ilvl w:val="0"/>
          <w:numId w:val="3"/>
        </w:numPr>
        <w:spacing w:after="60" w:before="60"/>
      </w:pPr>
      <w:r>
        <w:rPr>
          <w:b/>
          <w:bCs/>
          <w:color w:val="1F4E79"/>
          <w:sz w:val="22"/>
          <w:szCs w:val="22"/>
        </w:rPr>
        <w:t xml:space="preserve">Splunk / Microsoft Sentinel integration: </w:t>
      </w:r>
      <w:r>
        <w:rPr>
          <w:color w:val="404040"/>
          <w:sz w:val="22"/>
          <w:szCs w:val="22"/>
        </w:rPr>
        <w:t xml:space="preserve">Export your monitoring metrics and anomaly alerts as CEF/LEEF formatted syslog events. This is table stakes for enterprise SOC buyers.</w:t>
      </w:r>
    </w:p>
    <w:p>
      <w:pPr>
        <w:pStyle w:val="ListParagraph"/>
        <w:numPr>
          <w:ilvl w:val="0"/>
          <w:numId w:val="3"/>
        </w:numPr>
        <w:spacing w:after="60" w:before="60"/>
      </w:pPr>
      <w:r>
        <w:rPr>
          <w:b/>
          <w:bCs/>
          <w:color w:val="1F4E79"/>
          <w:sz w:val="22"/>
          <w:szCs w:val="22"/>
        </w:rPr>
        <w:t xml:space="preserve">OpenSearch / Elasticsearch SIEM: </w:t>
      </w:r>
      <w:r>
        <w:rPr>
          <w:color w:val="404040"/>
          <w:sz w:val="22"/>
          <w:szCs w:val="22"/>
        </w:rPr>
        <w:t xml:space="preserve">Your Prometheus metrics can be exported via a beats exporter. Government SOC deployments heavily use this stack.</w:t>
      </w:r>
    </w:p>
    <w:p>
      <w:pPr>
        <w:pStyle w:val="ListParagraph"/>
        <w:numPr>
          <w:ilvl w:val="0"/>
          <w:numId w:val="3"/>
        </w:numPr>
        <w:spacing w:after="60" w:before="60"/>
      </w:pPr>
      <w:r>
        <w:rPr>
          <w:b/>
          <w:bCs/>
          <w:color w:val="1F4E79"/>
          <w:sz w:val="22"/>
          <w:szCs w:val="22"/>
        </w:rPr>
        <w:t xml:space="preserve">PagerDuty / Opsgenie alert routing: </w:t>
      </w:r>
      <w:r>
        <w:rPr>
          <w:color w:val="404040"/>
          <w:sz w:val="22"/>
          <w:szCs w:val="22"/>
        </w:rPr>
        <w:t xml:space="preserve">Wrap your existing monitoring.py alerts into webhook payloads for on-call escalation.</w:t>
      </w:r>
    </w:p>
    <w:p>
      <w:pPr>
        <w:pStyle w:val="ListParagraph"/>
        <w:numPr>
          <w:ilvl w:val="0"/>
          <w:numId w:val="3"/>
        </w:numPr>
        <w:spacing w:after="60" w:before="60"/>
      </w:pPr>
      <w:r>
        <w:rPr>
          <w:b/>
          <w:bCs/>
          <w:color w:val="1F4E79"/>
          <w:sz w:val="22"/>
          <w:szCs w:val="22"/>
        </w:rPr>
        <w:t xml:space="preserve">SOAR playbook connectors: </w:t>
      </w:r>
      <w:r>
        <w:rPr>
          <w:color w:val="404040"/>
          <w:sz w:val="22"/>
          <w:szCs w:val="22"/>
        </w:rPr>
        <w:t xml:space="preserve">IBM QRadar SOAR, Splunk SOAR, and Palo Alto XSOAR all accept custom connectors. A QCrypt RNG connector that auto-rotates compromised keys in response to an alert is a compelling enterprise demo.</w:t>
      </w:r>
    </w:p>
    <w:p>
      <w:pPr>
        <w:spacing w:after="60" w:before="60"/>
      </w:pPr>
      <w:r>
        <w:t xml:space="preserve"/>
      </w:r>
    </w:p>
    <w:p>
      <w:pPr>
        <w:pStyle w:val="Heading2"/>
        <w:pBdr>
          <w:bottom w:val="single" w:color="2E75B6" w:sz="2"/>
        </w:pBdr>
        <w:spacing w:after="120" w:before="280"/>
      </w:pPr>
      <w:r>
        <w:rPr>
          <w:b/>
          <w:bCs/>
          <w:color w:val="1F4E79"/>
        </w:rPr>
        <w:t xml:space="preserve">3.4  Layer 5: Compliance Reporting Dashboard</w:t>
      </w:r>
    </w:p>
    <w:p>
      <w:pPr>
        <w:spacing w:after="80" w:before="80"/>
      </w:pPr>
      <w:r>
        <w:rPr>
          <w:color w:val="404040"/>
          <w:sz w:val="22"/>
          <w:szCs w:val="22"/>
        </w:rPr>
        <w:t xml:space="preserve">Your existing dashboard.py and qcrypt-dashboard.html need one critical extension: automated compliance evidence generation. Government buyers need to show auditors that cryptographic controls are functioning. Build reports that output:</w:t>
      </w:r>
    </w:p>
    <w:p>
      <w:pPr>
        <w:spacing w:after="60" w:before="60"/>
      </w:pPr>
      <w:r>
        <w:t xml:space="preserve"/>
      </w:r>
    </w:p>
    <w:p>
      <w:pPr>
        <w:pStyle w:val="ListParagraph"/>
        <w:numPr>
          <w:ilvl w:val="0"/>
          <w:numId w:val="3"/>
        </w:numPr>
        <w:spacing w:after="60" w:before="60"/>
      </w:pPr>
      <w:r>
        <w:rPr>
          <w:color w:val="404040"/>
          <w:sz w:val="22"/>
          <w:szCs w:val="22"/>
        </w:rPr>
        <w:t xml:space="preserve">FIPS 203/204/205 algorithm usage logs with timestamps</w:t>
      </w:r>
    </w:p>
    <w:p>
      <w:pPr>
        <w:pStyle w:val="ListParagraph"/>
        <w:numPr>
          <w:ilvl w:val="0"/>
          <w:numId w:val="3"/>
        </w:numPr>
        <w:spacing w:after="60" w:before="60"/>
      </w:pPr>
      <w:r>
        <w:rPr>
          <w:color w:val="404040"/>
          <w:sz w:val="22"/>
          <w:szCs w:val="22"/>
        </w:rPr>
        <w:t xml:space="preserve">NIST SP 800-90B entropy quality scores per session</w:t>
      </w:r>
    </w:p>
    <w:p>
      <w:pPr>
        <w:pStyle w:val="ListParagraph"/>
        <w:numPr>
          <w:ilvl w:val="0"/>
          <w:numId w:val="3"/>
        </w:numPr>
        <w:spacing w:after="60" w:before="60"/>
      </w:pPr>
      <w:r>
        <w:rPr>
          <w:color w:val="404040"/>
          <w:sz w:val="22"/>
          <w:szCs w:val="22"/>
        </w:rPr>
        <w:t xml:space="preserve">Key generation audit trail with qubit count and algorithm version</w:t>
      </w:r>
    </w:p>
    <w:p>
      <w:pPr>
        <w:pStyle w:val="ListParagraph"/>
        <w:numPr>
          <w:ilvl w:val="0"/>
          <w:numId w:val="3"/>
        </w:numPr>
        <w:spacing w:after="60" w:before="60"/>
      </w:pPr>
      <w:r>
        <w:rPr>
          <w:color w:val="404040"/>
          <w:sz w:val="22"/>
          <w:szCs w:val="22"/>
        </w:rPr>
        <w:t xml:space="preserve">PQC migration readiness scorecard — what percentage of traffic uses quantum-safe algorithms</w:t>
      </w:r>
    </w:p>
    <w:p>
      <w:pPr>
        <w:pStyle w:val="ListParagraph"/>
        <w:numPr>
          <w:ilvl w:val="0"/>
          <w:numId w:val="3"/>
        </w:numPr>
        <w:spacing w:after="60" w:before="60"/>
      </w:pPr>
      <w:r>
        <w:rPr>
          <w:color w:val="404040"/>
          <w:sz w:val="22"/>
          <w:szCs w:val="22"/>
        </w:rPr>
        <w:t xml:space="preserve">Incident response timeline — detection to containment for any triggered anomalies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DEEAF1" w:val="clear"/>
            <w:tcMar>
              <w:top w:type="dxa" w:w="120"/>
              <w:left w:type="dxa" w:w="240"/>
              <w:bottom w:type="dxa" w:w="120"/>
              <w:right w:type="dxa" w:w="120"/>
            </w:tcMar>
          </w:tcPr>
          <w:p>
            <w:pPr>
              <w:spacing w:after="40"/>
            </w:pPr>
            <w:r>
              <w:rPr>
                <w:b/>
                <w:bCs/>
                <w:color w:val="1F4E79"/>
                <w:sz w:val="22"/>
                <w:szCs w:val="22"/>
              </w:rPr>
              <w:t xml:space="preserve">Competitive Differentiation</w:t>
            </w:r>
          </w:p>
          <w:p>
            <w:pPr>
              <w:spacing w:before="0"/>
            </w:pPr>
            <w:r>
              <w:rPr>
                <w:color w:val="404040"/>
                <w:sz w:val="21"/>
                <w:szCs w:val="21"/>
              </w:rPr>
              <w:t xml:space="preserve">No competitor currently offers: (1) QRNG-sourced entropy + (2) NIST-finalized PQC + (3) AI anomaly detection + (4) compliance reporting in a single API platform. This four-layer stack justifies enterprise pricing and government contract awards.</w:t>
            </w:r>
          </w:p>
        </w:tc>
      </w:tr>
    </w:tbl>
    <w:p>
      <w:r>
        <w:br w:type="page"/>
      </w:r>
    </w:p>
    <w:p>
      <w:pPr>
        <w:pStyle w:val="Heading1"/>
        <w:pBdr>
          <w:bottom w:val="single" w:color="00B0F0" w:sz="3"/>
        </w:pBdr>
        <w:shd w:fill="1F4E79" w:val="clear"/>
        <w:spacing w:after="200" w:before="360"/>
        <w:ind w:left="200" w:right="200"/>
      </w:pPr>
      <w:r>
        <w:rPr>
          <w:b/>
          <w:bCs/>
          <w:color w:val="FFFFFF"/>
        </w:rPr>
        <w:t xml:space="preserve">Part 4 — Reputable Learning Resources</w:t>
      </w:r>
    </w:p>
    <w:p>
      <w:pPr>
        <w:spacing w:after="60" w:before="60"/>
      </w:pPr>
      <w:r>
        <w:t xml:space="preserve"/>
      </w:r>
    </w:p>
    <w:p>
      <w:pPr>
        <w:spacing w:after="80" w:before="80"/>
      </w:pPr>
      <w:r>
        <w:rPr>
          <w:color w:val="404040"/>
          <w:sz w:val="22"/>
          <w:szCs w:val="22"/>
        </w:rPr>
        <w:t xml:space="preserve">The following resources are organized by topic, from foundational to advanced. All are from academic institutions, NIST, or well-established open-source communities.</w:t>
      </w:r>
    </w:p>
    <w:p>
      <w:pPr>
        <w:spacing w:after="60" w:before="60"/>
      </w:pPr>
      <w:r>
        <w:t xml:space="preserve"/>
      </w:r>
    </w:p>
    <w:p>
      <w:pPr>
        <w:pStyle w:val="Heading2"/>
        <w:pBdr>
          <w:bottom w:val="single" w:color="2E75B6" w:sz="2"/>
        </w:pBdr>
        <w:spacing w:after="120" w:before="280"/>
      </w:pPr>
      <w:r>
        <w:rPr>
          <w:b/>
          <w:bCs/>
          <w:color w:val="1F4E79"/>
        </w:rPr>
        <w:t xml:space="preserve">4.1  Post-Quantum Cryptography — Core Learning</w:t>
      </w:r>
    </w:p>
    <w:p>
      <w:pPr>
        <w:spacing w:after="60" w:before="60"/>
      </w:pPr>
      <w:r>
        <w:t xml:space="preserve"/>
      </w:r>
    </w:p>
    <w:p>
      <w:pPr>
        <w:pStyle w:val="Heading3"/>
        <w:spacing w:after="80" w:before="200"/>
      </w:pPr>
      <w:r>
        <w:rPr>
          <w:b/>
          <w:bCs/>
          <w:color w:val="2E75B6"/>
        </w:rPr>
        <w:t xml:space="preserve">Official Standards &amp; References</w:t>
      </w:r>
    </w:p>
    <w:p>
      <w:pPr>
        <w:pStyle w:val="ListParagraph"/>
        <w:numPr>
          <w:ilvl w:val="0"/>
          <w:numId w:val="3"/>
        </w:numPr>
        <w:spacing w:after="60" w:before="60"/>
      </w:pPr>
      <w:hyperlink w:history="1" r:id="rIdmd7prcfs0k9m35veoou3k">
        <w:r>
          <w:rPr>
            <w:b/>
            <w:bCs/>
            <w:color w:val="0563C1"/>
            <w:sz w:val="22"/>
            <w:szCs w:val="22"/>
            <w:u w:val="single"/>
          </w:rPr>
          <w:t xml:space="preserve">NIST FIPS 203/204/205 (Official Standards)</w:t>
        </w:r>
      </w:hyperlink>
      <w:r>
        <w:rPr>
          <w:color w:val="404040"/>
          <w:sz w:val="22"/>
          <w:szCs w:val="22"/>
        </w:rPr>
        <w:t xml:space="preserve"> — The authoritative source. Download the final standards PDFs directly from NIST. Essential reading before any compliance work.</w:t>
      </w:r>
    </w:p>
    <w:p>
      <w:pPr>
        <w:pStyle w:val="ListParagraph"/>
        <w:numPr>
          <w:ilvl w:val="0"/>
          <w:numId w:val="3"/>
        </w:numPr>
        <w:spacing w:after="60" w:before="60"/>
      </w:pPr>
      <w:hyperlink w:history="1" r:id="rIdvjh0rjv4glui3hq593zyh">
        <w:r>
          <w:rPr>
            <w:b/>
            <w:bCs/>
            <w:color w:val="0563C1"/>
            <w:sz w:val="22"/>
            <w:szCs w:val="22"/>
            <w:u w:val="single"/>
          </w:rPr>
          <w:t xml:space="preserve">NIST PQC Standardization Project</w:t>
        </w:r>
      </w:hyperlink>
      <w:r>
        <w:rPr>
          <w:color w:val="404040"/>
          <w:sz w:val="22"/>
          <w:szCs w:val="22"/>
        </w:rPr>
        <w:t xml:space="preserve"> — Full history of the competition, algorithm specifications, and ongoing standardization.</w:t>
      </w:r>
    </w:p>
    <w:p>
      <w:pPr>
        <w:pStyle w:val="ListParagraph"/>
        <w:numPr>
          <w:ilvl w:val="0"/>
          <w:numId w:val="3"/>
        </w:numPr>
        <w:spacing w:after="60" w:before="60"/>
      </w:pPr>
      <w:hyperlink w:history="1" r:id="rIdnycnnhmhtqs2fghdkljtb">
        <w:r>
          <w:rPr>
            <w:b/>
            <w:bCs/>
            <w:color w:val="0563C1"/>
            <w:sz w:val="22"/>
            <w:szCs w:val="22"/>
            <w:u w:val="single"/>
          </w:rPr>
          <w:t xml:space="preserve">NIST IR 8547 — PQC Transition Guidance</w:t>
        </w:r>
      </w:hyperlink>
      <w:r>
        <w:rPr>
          <w:color w:val="404040"/>
          <w:sz w:val="22"/>
          <w:szCs w:val="22"/>
        </w:rPr>
        <w:t xml:space="preserve"> — Government timeline and deprecation schedule for classical algorithms. Required reading for compliance positioning.</w:t>
      </w:r>
    </w:p>
    <w:p>
      <w:pPr>
        <w:spacing w:after="60" w:before="60"/>
      </w:pPr>
      <w:r>
        <w:t xml:space="preserve"/>
      </w:r>
    </w:p>
    <w:p>
      <w:pPr>
        <w:pStyle w:val="Heading3"/>
        <w:spacing w:after="80" w:before="200"/>
      </w:pPr>
      <w:r>
        <w:rPr>
          <w:b/>
          <w:bCs/>
          <w:color w:val="2E75B6"/>
        </w:rPr>
        <w:t xml:space="preserve">Courses &amp; Textbooks</w:t>
      </w:r>
    </w:p>
    <w:p>
      <w:pPr>
        <w:pStyle w:val="ListParagraph"/>
        <w:numPr>
          <w:ilvl w:val="0"/>
          <w:numId w:val="3"/>
        </w:numPr>
        <w:spacing w:after="60" w:before="60"/>
      </w:pPr>
      <w:hyperlink w:history="1" r:id="rId1ot1bdzqlvb7qoodpiw-n">
        <w:r>
          <w:rPr>
            <w:b/>
            <w:bCs/>
            <w:color w:val="0563C1"/>
            <w:sz w:val="22"/>
            <w:szCs w:val="22"/>
            <w:u w:val="single"/>
          </w:rPr>
          <w:t xml:space="preserve">MIT 6.S895 Quantum Cryptography (Spring 2024)</w:t>
        </w:r>
      </w:hyperlink>
      <w:r>
        <w:rPr>
          <w:color w:val="404040"/>
          <w:sz w:val="22"/>
          <w:szCs w:val="22"/>
        </w:rPr>
        <w:t xml:space="preserve"> — MIT OpenCourseWare-style course with lecture notes and problem sets. Graduate-level but accessible. Covers QKD, quantum randomness, and PQC foundations.</w:t>
      </w:r>
    </w:p>
    <w:p>
      <w:pPr>
        <w:pStyle w:val="ListParagraph"/>
        <w:numPr>
          <w:ilvl w:val="0"/>
          <w:numId w:val="3"/>
        </w:numPr>
        <w:spacing w:after="60" w:before="60"/>
      </w:pPr>
      <w:hyperlink w:history="1" r:id="rIdjk5s8p_zz418_ppmuomfc">
        <w:r>
          <w:rPr>
            <w:b/>
            <w:bCs/>
            <w:color w:val="0563C1"/>
            <w:sz w:val="22"/>
            <w:szCs w:val="22"/>
            <w:u w:val="single"/>
          </w:rPr>
          <w:t xml:space="preserve">IBM Developer: Post-Quantum Cryptography Course</w:t>
        </w:r>
      </w:hyperlink>
      <w:r>
        <w:rPr>
          <w:color w:val="404040"/>
          <w:sz w:val="22"/>
          <w:szCs w:val="22"/>
        </w:rPr>
        <w:t xml:space="preserve"> — Practical developer-focused course. Free. Covers Kyber and Dilithium with code examples.</w:t>
      </w:r>
    </w:p>
    <w:p>
      <w:pPr>
        <w:pStyle w:val="ListParagraph"/>
        <w:numPr>
          <w:ilvl w:val="0"/>
          <w:numId w:val="3"/>
        </w:numPr>
        <w:spacing w:after="60" w:before="60"/>
      </w:pPr>
      <w:hyperlink w:history="1" r:id="rIdtqrzvihajbhtsby4sxtxg">
        <w:r>
          <w:rPr>
            <w:b/>
            <w:bCs/>
            <w:color w:val="0563C1"/>
            <w:sz w:val="22"/>
            <w:szCs w:val="22"/>
            <w:u w:val="single"/>
          </w:rPr>
          <w:t xml:space="preserve">Palo Alto Networks PQC Standards Guide</w:t>
        </w:r>
      </w:hyperlink>
      <w:r>
        <w:rPr>
          <w:color w:val="404040"/>
          <w:sz w:val="22"/>
          <w:szCs w:val="22"/>
        </w:rPr>
        <w:t xml:space="preserve"> — Clear practitioner-level explanation of FIPS 203/204/205 with implementation guidance.</w:t>
      </w:r>
    </w:p>
    <w:p>
      <w:pPr>
        <w:spacing w:after="60" w:before="60"/>
      </w:pPr>
      <w:r>
        <w:t xml:space="preserve"/>
      </w:r>
    </w:p>
    <w:p>
      <w:pPr>
        <w:pStyle w:val="Heading3"/>
        <w:spacing w:after="80" w:before="200"/>
      </w:pPr>
      <w:r>
        <w:rPr>
          <w:b/>
          <w:bCs/>
          <w:color w:val="2E75B6"/>
        </w:rPr>
        <w:t xml:space="preserve">GitHub Repositories</w:t>
      </w:r>
    </w:p>
    <w:p>
      <w:pPr>
        <w:pStyle w:val="ListParagraph"/>
        <w:numPr>
          <w:ilvl w:val="0"/>
          <w:numId w:val="3"/>
        </w:numPr>
        <w:spacing w:after="60" w:before="60"/>
      </w:pPr>
      <w:hyperlink w:history="1" r:id="rIdajydwzrf8wvi1irxb-g0e">
        <w:r>
          <w:rPr>
            <w:b/>
            <w:bCs/>
            <w:color w:val="0563C1"/>
            <w:sz w:val="22"/>
            <w:szCs w:val="22"/>
            <w:u w:val="single"/>
          </w:rPr>
          <w:t xml:space="preserve">open-quantum-safe/liboqs</w:t>
        </w:r>
      </w:hyperlink>
      <w:r>
        <w:rPr>
          <w:color w:val="404040"/>
          <w:sz w:val="22"/>
          <w:szCs w:val="22"/>
        </w:rPr>
        <w:t xml:space="preserve"> — The exact library your pqc.py uses. C library of PQC algorithms. Read the source to understand the implementations you are shipping.</w:t>
      </w:r>
    </w:p>
    <w:p>
      <w:pPr>
        <w:pStyle w:val="ListParagraph"/>
        <w:numPr>
          <w:ilvl w:val="0"/>
          <w:numId w:val="3"/>
        </w:numPr>
        <w:spacing w:after="60" w:before="60"/>
      </w:pPr>
      <w:hyperlink w:history="1" r:id="rIdf1mq8rw5wb0jhea1ir_ky">
        <w:r>
          <w:rPr>
            <w:b/>
            <w:bCs/>
            <w:color w:val="0563C1"/>
            <w:sz w:val="22"/>
            <w:szCs w:val="22"/>
            <w:u w:val="single"/>
          </w:rPr>
          <w:t xml:space="preserve">open-quantum-safe/liboqs-python</w:t>
        </w:r>
      </w:hyperlink>
      <w:r>
        <w:rPr>
          <w:color w:val="404040"/>
          <w:sz w:val="22"/>
          <w:szCs w:val="22"/>
        </w:rPr>
        <w:t xml:space="preserve"> — Python bindings for liboqs — the oqs module your code imports. Study the test suite for correct usage patterns.</w:t>
      </w:r>
    </w:p>
    <w:p>
      <w:pPr>
        <w:pStyle w:val="ListParagraph"/>
        <w:numPr>
          <w:ilvl w:val="0"/>
          <w:numId w:val="3"/>
        </w:numPr>
        <w:spacing w:after="60" w:before="60"/>
      </w:pPr>
      <w:hyperlink w:history="1" r:id="rIdmtb513pvasupskqk_6zlu">
        <w:r>
          <w:rPr>
            <w:b/>
            <w:bCs/>
            <w:color w:val="0563C1"/>
            <w:sz w:val="22"/>
            <w:szCs w:val="22"/>
            <w:u w:val="single"/>
          </w:rPr>
          <w:t xml:space="preserve">veorq/awesome-post-quantum</w:t>
        </w:r>
      </w:hyperlink>
      <w:r>
        <w:rPr>
          <w:color w:val="404040"/>
          <w:sz w:val="22"/>
          <w:szCs w:val="22"/>
        </w:rPr>
        <w:t xml:space="preserve"> — Curated index of papers, implementations, and tools. Best single starting point for PQC research.</w:t>
      </w:r>
    </w:p>
    <w:p>
      <w:pPr>
        <w:pStyle w:val="ListParagraph"/>
        <w:numPr>
          <w:ilvl w:val="0"/>
          <w:numId w:val="3"/>
        </w:numPr>
        <w:spacing w:after="60" w:before="60"/>
      </w:pPr>
      <w:hyperlink w:history="1" r:id="rIdbcnneoxw7h8xz-6uxddxk">
        <w:r>
          <w:rPr>
            <w:b/>
            <w:bCs/>
            <w:color w:val="0563C1"/>
            <w:sz w:val="22"/>
            <w:szCs w:val="22"/>
            <w:u w:val="single"/>
          </w:rPr>
          <w:t xml:space="preserve">PQCA (Post-Quantum Cryptography Alliance)</w:t>
        </w:r>
      </w:hyperlink>
      <w:r>
        <w:rPr>
          <w:color w:val="404040"/>
          <w:sz w:val="22"/>
          <w:szCs w:val="22"/>
        </w:rPr>
        <w:t xml:space="preserve"> — Industry alliance including AWS, IBM, Cisco. Repositories include ML-KEM and ML-DSA reference implementations.</w:t>
      </w:r>
    </w:p>
    <w:p>
      <w:pPr>
        <w:pStyle w:val="ListParagraph"/>
        <w:numPr>
          <w:ilvl w:val="0"/>
          <w:numId w:val="3"/>
        </w:numPr>
        <w:spacing w:after="60" w:before="60"/>
      </w:pPr>
      <w:hyperlink w:history="1" r:id="rIdi1caasyiy7xqsyqxewbem">
        <w:r>
          <w:rPr>
            <w:b/>
            <w:bCs/>
            <w:color w:val="0563C1"/>
            <w:sz w:val="22"/>
            <w:szCs w:val="22"/>
            <w:u w:val="single"/>
          </w:rPr>
          <w:t xml:space="preserve">bro256/Awesome-Post-Quantum-Cryptography-Resources</w:t>
        </w:r>
      </w:hyperlink>
      <w:r>
        <w:rPr>
          <w:color w:val="404040"/>
          <w:sz w:val="22"/>
          <w:szCs w:val="22"/>
        </w:rPr>
        <w:t xml:space="preserve"> — Complementary curated list with focus on recent 2024-2025 resources.</w:t>
      </w:r>
    </w:p>
    <w:p>
      <w:pPr>
        <w:spacing w:after="60" w:before="60"/>
      </w:pPr>
      <w:r>
        <w:t xml:space="preserve"/>
      </w:r>
    </w:p>
    <w:p>
      <w:pPr>
        <w:pStyle w:val="Heading3"/>
        <w:spacing w:after="80" w:before="200"/>
      </w:pPr>
      <w:r>
        <w:rPr>
          <w:b/>
          <w:bCs/>
          <w:color w:val="2E75B6"/>
        </w:rPr>
        <w:t xml:space="preserve">Research Papers</w:t>
      </w:r>
    </w:p>
    <w:p>
      <w:pPr>
        <w:pStyle w:val="ListParagraph"/>
        <w:numPr>
          <w:ilvl w:val="0"/>
          <w:numId w:val="3"/>
        </w:numPr>
        <w:spacing w:after="60" w:before="60"/>
      </w:pPr>
      <w:hyperlink w:history="1" r:id="rIdkb8azui1zonxgielejorj">
        <w:r>
          <w:rPr>
            <w:b/>
            <w:bCs/>
            <w:color w:val="0563C1"/>
            <w:sz w:val="22"/>
            <w:szCs w:val="22"/>
            <w:u w:val="single"/>
          </w:rPr>
          <w:t xml:space="preserve">CRYSTALS-Dilithium Specification</w:t>
        </w:r>
      </w:hyperlink>
      <w:r>
        <w:rPr>
          <w:color w:val="404040"/>
          <w:sz w:val="22"/>
          <w:szCs w:val="22"/>
        </w:rPr>
        <w:t xml:space="preserve"> — Original algorithm paper and reference implementation from the team that designed ML-DSA.</w:t>
      </w:r>
    </w:p>
    <w:p>
      <w:pPr>
        <w:pStyle w:val="ListParagraph"/>
        <w:numPr>
          <w:ilvl w:val="0"/>
          <w:numId w:val="3"/>
        </w:numPr>
        <w:spacing w:after="60" w:before="60"/>
      </w:pPr>
      <w:hyperlink w:history="1" r:id="rIdhgmbanc7tyu-anayxezy3">
        <w:r>
          <w:rPr>
            <w:b/>
            <w:bCs/>
            <w:color w:val="0563C1"/>
            <w:sz w:val="22"/>
            <w:szCs w:val="22"/>
            <w:u w:val="single"/>
          </w:rPr>
          <w:t xml:space="preserve">CRYSTALS-Kyber Specification</w:t>
        </w:r>
      </w:hyperlink>
      <w:r>
        <w:rPr>
          <w:color w:val="404040"/>
          <w:sz w:val="22"/>
          <w:szCs w:val="22"/>
        </w:rPr>
        <w:t xml:space="preserve"> — Algorithm specification for ML-KEM. Critical for understanding your Kyber KEM implementation.</w:t>
      </w:r>
    </w:p>
    <w:p>
      <w:pPr>
        <w:pStyle w:val="ListParagraph"/>
        <w:numPr>
          <w:ilvl w:val="0"/>
          <w:numId w:val="3"/>
        </w:numPr>
        <w:spacing w:after="60" w:before="60"/>
      </w:pPr>
      <w:hyperlink w:history="1" r:id="rIdrac3qguh17vpcoijfrijy">
        <w:r>
          <w:rPr>
            <w:b/>
            <w:bCs/>
            <w:color w:val="0563C1"/>
            <w:sz w:val="22"/>
            <w:szCs w:val="22"/>
            <w:u w:val="single"/>
          </w:rPr>
          <w:t xml:space="preserve">PQC Migration Handbook (AIVD/CWI/TNO, 2024)</w:t>
        </w:r>
      </w:hyperlink>
      <w:r>
        <w:rPr>
          <w:color w:val="404040"/>
          <w:sz w:val="22"/>
          <w:szCs w:val="22"/>
        </w:rPr>
        <w:t xml:space="preserve"> — Practical migration guide from Dutch intelligence and research agencies. Best practitioner-level migration playbook available.</w:t>
      </w:r>
    </w:p>
    <w:p>
      <w:pPr>
        <w:pStyle w:val="ListParagraph"/>
        <w:numPr>
          <w:ilvl w:val="0"/>
          <w:numId w:val="3"/>
        </w:numPr>
        <w:spacing w:after="60" w:before="60"/>
      </w:pPr>
      <w:hyperlink w:history="1" r:id="rIdhkmk0fopvunpdkpe6ief-">
        <w:r>
          <w:rPr>
            <w:b/>
            <w:bCs/>
            <w:color w:val="0563C1"/>
            <w:sz w:val="22"/>
            <w:szCs w:val="22"/>
            <w:u w:val="single"/>
          </w:rPr>
          <w:t xml:space="preserve">A Practitioner's Guide to PQC — Cloud Security Alliance (2025)</w:t>
        </w:r>
      </w:hyperlink>
      <w:r>
        <w:rPr>
          <w:color w:val="404040"/>
          <w:sz w:val="22"/>
          <w:szCs w:val="22"/>
        </w:rPr>
        <w:t xml:space="preserve"> — Enterprise-focused implementation guide with compliance mapping.</w:t>
      </w:r>
    </w:p>
    <w:p>
      <w:pPr>
        <w:spacing w:after="60" w:before="60"/>
      </w:pPr>
      <w:r>
        <w:t xml:space="preserve"/>
      </w:r>
    </w:p>
    <w:p>
      <w:pPr>
        <w:pStyle w:val="Heading2"/>
        <w:pBdr>
          <w:bottom w:val="single" w:color="2E75B6" w:sz="2"/>
        </w:pBdr>
        <w:spacing w:after="120" w:before="280"/>
      </w:pPr>
      <w:r>
        <w:rPr>
          <w:b/>
          <w:bCs/>
          <w:color w:val="1F4E79"/>
        </w:rPr>
        <w:t xml:space="preserve">4.2  Quantum Random Number Generation</w:t>
      </w:r>
    </w:p>
    <w:p>
      <w:pPr>
        <w:spacing w:after="60" w:before="60"/>
      </w:pPr>
      <w:r>
        <w:t xml:space="preserve"/>
      </w:r>
    </w:p>
    <w:p>
      <w:pPr>
        <w:pStyle w:val="ListParagraph"/>
        <w:numPr>
          <w:ilvl w:val="0"/>
          <w:numId w:val="3"/>
        </w:numPr>
        <w:spacing w:after="60" w:before="60"/>
      </w:pPr>
      <w:hyperlink w:history="1" r:id="rIdwskchpjdbqqhwsch5b5qo">
        <w:r>
          <w:rPr>
            <w:b/>
            <w:bCs/>
            <w:color w:val="0563C1"/>
            <w:sz w:val="22"/>
            <w:szCs w:val="22"/>
            <w:u w:val="single"/>
          </w:rPr>
          <w:t xml:space="preserve">NIST SP 800-90B — Entropy Sources for RBGs</w:t>
        </w:r>
      </w:hyperlink>
      <w:r>
        <w:rPr>
          <w:color w:val="404040"/>
          <w:sz w:val="22"/>
          <w:szCs w:val="22"/>
        </w:rPr>
        <w:t xml:space="preserve"> — The standard your QRNG must conform to for FIPS validation. Understanding this is required for certification.</w:t>
      </w:r>
    </w:p>
    <w:p>
      <w:pPr>
        <w:pStyle w:val="ListParagraph"/>
        <w:numPr>
          <w:ilvl w:val="0"/>
          <w:numId w:val="3"/>
        </w:numPr>
        <w:spacing w:after="60" w:before="60"/>
      </w:pPr>
      <w:hyperlink w:history="1" r:id="rIdiu5tlgpbhdtudibzramyr">
        <w:r>
          <w:rPr>
            <w:b/>
            <w:bCs/>
            <w:color w:val="0563C1"/>
            <w:sz w:val="22"/>
            <w:szCs w:val="22"/>
            <w:u w:val="single"/>
          </w:rPr>
          <w:t xml:space="preserve">ID Quantique — QRNG Technical Papers</w:t>
        </w:r>
      </w:hyperlink>
      <w:r>
        <w:rPr>
          <w:color w:val="404040"/>
          <w:sz w:val="22"/>
          <w:szCs w:val="22"/>
        </w:rPr>
        <w:t xml:space="preserve"> — Whitepapers from the vendor your hardware_interface.py supports. Shows certification process for Quantis hardware.</w:t>
      </w:r>
    </w:p>
    <w:p>
      <w:pPr>
        <w:pStyle w:val="ListParagraph"/>
        <w:numPr>
          <w:ilvl w:val="0"/>
          <w:numId w:val="3"/>
        </w:numPr>
        <w:spacing w:after="60" w:before="60"/>
      </w:pPr>
      <w:hyperlink w:history="1" r:id="rIdn1rtm7cutlu6iynbga5yf">
        <w:r>
          <w:rPr>
            <w:b/>
            <w:bCs/>
            <w:color w:val="0563C1"/>
            <w:sz w:val="22"/>
            <w:szCs w:val="22"/>
            <w:u w:val="single"/>
          </w:rPr>
          <w:t xml:space="preserve">Qrisp Framework Documentation</w:t>
        </w:r>
      </w:hyperlink>
      <w:r>
        <w:rPr>
          <w:color w:val="404040"/>
          <w:sz w:val="22"/>
          <w:szCs w:val="22"/>
        </w:rPr>
        <w:t xml:space="preserve"> — The quantum simulation framework optionally used in your stack. Includes tutorials and examples for quantum circuits.</w:t>
      </w:r>
    </w:p>
    <w:p>
      <w:pPr>
        <w:pStyle w:val="ListParagraph"/>
        <w:numPr>
          <w:ilvl w:val="0"/>
          <w:numId w:val="3"/>
        </w:numPr>
        <w:spacing w:after="60" w:before="60"/>
      </w:pPr>
      <w:hyperlink w:history="1" r:id="rIdxadhkryrg6-fokbju8lm6">
        <w:r>
          <w:rPr>
            <w:b/>
            <w:bCs/>
            <w:color w:val="0563C1"/>
            <w:sz w:val="22"/>
            <w:szCs w:val="22"/>
            <w:u w:val="single"/>
          </w:rPr>
          <w:t xml:space="preserve">Qiskit Textbook — Quantum Randomness Chapter</w:t>
        </w:r>
      </w:hyperlink>
      <w:r>
        <w:rPr>
          <w:color w:val="404040"/>
          <w:sz w:val="22"/>
          <w:szCs w:val="22"/>
        </w:rPr>
        <w:t xml:space="preserve"> — IBM's free quantum computing learning platform. The randomness and measurement chapters directly apply to QRNG principles.</w:t>
      </w:r>
    </w:p>
    <w:p>
      <w:pPr>
        <w:spacing w:after="60" w:before="60"/>
      </w:pPr>
      <w:r>
        <w:t xml:space="preserve"/>
      </w:r>
    </w:p>
    <w:p>
      <w:pPr>
        <w:pStyle w:val="Heading2"/>
        <w:pBdr>
          <w:bottom w:val="single" w:color="2E75B6" w:sz="2"/>
        </w:pBdr>
        <w:spacing w:after="120" w:before="280"/>
      </w:pPr>
      <w:r>
        <w:rPr>
          <w:b/>
          <w:bCs/>
          <w:color w:val="1F4E79"/>
        </w:rPr>
        <w:t xml:space="preserve">4.3  AI/ML for Cybersecurity</w:t>
      </w:r>
    </w:p>
    <w:p>
      <w:pPr>
        <w:spacing w:after="60" w:before="60"/>
      </w:pPr>
      <w:r>
        <w:t xml:space="preserve"/>
      </w:r>
    </w:p>
    <w:p>
      <w:pPr>
        <w:pStyle w:val="ListParagraph"/>
        <w:numPr>
          <w:ilvl w:val="0"/>
          <w:numId w:val="3"/>
        </w:numPr>
        <w:spacing w:after="60" w:before="60"/>
      </w:pPr>
      <w:hyperlink w:history="1" r:id="rIdeyt2wpkrjgdve49ij1ac8">
        <w:r>
          <w:rPr>
            <w:b/>
            <w:bCs/>
            <w:color w:val="0563C1"/>
            <w:sz w:val="22"/>
            <w:szCs w:val="22"/>
            <w:u w:val="single"/>
          </w:rPr>
          <w:t xml:space="preserve">MITRE ATT&amp;CK Framework</w:t>
        </w:r>
      </w:hyperlink>
      <w:r>
        <w:rPr>
          <w:color w:val="404040"/>
          <w:sz w:val="22"/>
          <w:szCs w:val="22"/>
        </w:rPr>
        <w:t xml:space="preserve"> — The universal language of enterprise threat detection. Map every detection you build to an ATT&amp;CK technique to make your platform immediately recognizable to SOC buyers.</w:t>
      </w:r>
    </w:p>
    <w:p>
      <w:pPr>
        <w:pStyle w:val="ListParagraph"/>
        <w:numPr>
          <w:ilvl w:val="0"/>
          <w:numId w:val="3"/>
        </w:numPr>
        <w:spacing w:after="60" w:before="60"/>
      </w:pPr>
      <w:hyperlink w:history="1" r:id="rIdbgvumtihqlxlmsdcfp3ij">
        <w:r>
          <w:rPr>
            <w:b/>
            <w:bCs/>
            <w:color w:val="0563C1"/>
            <w:sz w:val="22"/>
            <w:szCs w:val="22"/>
            <w:u w:val="single"/>
          </w:rPr>
          <w:t xml:space="preserve">MITRE ATLAS — AI/ML Security Framework</w:t>
        </w:r>
      </w:hyperlink>
      <w:r>
        <w:rPr>
          <w:color w:val="404040"/>
          <w:sz w:val="22"/>
          <w:szCs w:val="22"/>
        </w:rPr>
        <w:t xml:space="preserve"> — The ATT&amp;CK equivalent for AI/ML systems. 15 tactics, 66 techniques. Essential for positioning your AI detection layer.</w:t>
      </w:r>
    </w:p>
    <w:p>
      <w:pPr>
        <w:pStyle w:val="ListParagraph"/>
        <w:numPr>
          <w:ilvl w:val="0"/>
          <w:numId w:val="3"/>
        </w:numPr>
        <w:spacing w:after="60" w:before="60"/>
      </w:pPr>
      <w:hyperlink w:history="1" r:id="rIdisai4c-wsltowramoryzv">
        <w:r>
          <w:rPr>
            <w:b/>
            <w:bCs/>
            <w:color w:val="0563C1"/>
            <w:sz w:val="22"/>
            <w:szCs w:val="22"/>
            <w:u w:val="single"/>
          </w:rPr>
          <w:t xml:space="preserve">Adversarial Robustness Toolbox (IBM / ART)</w:t>
        </w:r>
      </w:hyperlink>
      <w:r>
        <w:rPr>
          <w:color w:val="404040"/>
          <w:sz w:val="22"/>
          <w:szCs w:val="22"/>
        </w:rPr>
        <w:t xml:space="preserve"> — Open-source library for testing ML models against adversarial attacks. Use to validate that your anomaly detector cannot be evaded.</w:t>
      </w:r>
    </w:p>
    <w:p>
      <w:pPr>
        <w:pStyle w:val="ListParagraph"/>
        <w:numPr>
          <w:ilvl w:val="0"/>
          <w:numId w:val="3"/>
        </w:numPr>
        <w:spacing w:after="60" w:before="60"/>
      </w:pPr>
      <w:hyperlink w:history="1" r:id="rIdf1jicmntwq9pp6nvw56jn">
        <w:r>
          <w:rPr>
            <w:b/>
            <w:bCs/>
            <w:color w:val="0563C1"/>
            <w:sz w:val="22"/>
            <w:szCs w:val="22"/>
            <w:u w:val="single"/>
          </w:rPr>
          <w:t xml:space="preserve">Sklearn Anomaly Detection Documentation</w:t>
        </w:r>
      </w:hyperlink>
      <w:r>
        <w:rPr>
          <w:color w:val="404040"/>
          <w:sz w:val="22"/>
          <w:szCs w:val="22"/>
        </w:rPr>
        <w:t xml:space="preserve"> — Isolation Forest, Local Outlier Factor, and One-Class SVM — the primary algorithms for your entropy anomaly detection layer.</w:t>
      </w:r>
    </w:p>
    <w:p>
      <w:pPr>
        <w:pStyle w:val="ListParagraph"/>
        <w:numPr>
          <w:ilvl w:val="0"/>
          <w:numId w:val="3"/>
        </w:numPr>
        <w:spacing w:after="60" w:before="60"/>
      </w:pPr>
      <w:hyperlink w:history="1" r:id="rIdyni7wl13_t9jv4v9xs5ye">
        <w:r>
          <w:rPr>
            <w:b/>
            <w:bCs/>
            <w:color w:val="0563C1"/>
            <w:sz w:val="22"/>
            <w:szCs w:val="22"/>
            <w:u w:val="single"/>
          </w:rPr>
          <w:t xml:space="preserve">SentinelOne — AI in Cloud Security Guide</w:t>
        </w:r>
      </w:hyperlink>
      <w:r>
        <w:rPr>
          <w:color w:val="404040"/>
          <w:sz w:val="22"/>
          <w:szCs w:val="22"/>
        </w:rPr>
        <w:t xml:space="preserve"> — Practitioner-level overview of AI cybersecurity architecture. Useful for aligning your product positioning with how buyers think.</w:t>
      </w:r>
    </w:p>
    <w:p>
      <w:pPr>
        <w:spacing w:after="60" w:before="60"/>
      </w:pPr>
      <w:r>
        <w:t xml:space="preserve"/>
      </w:r>
    </w:p>
    <w:p>
      <w:pPr>
        <w:pStyle w:val="Heading2"/>
        <w:pBdr>
          <w:bottom w:val="single" w:color="2E75B6" w:sz="2"/>
        </w:pBdr>
        <w:spacing w:after="120" w:before="280"/>
      </w:pPr>
      <w:r>
        <w:rPr>
          <w:b/>
          <w:bCs/>
          <w:color w:val="1F4E79"/>
        </w:rPr>
        <w:t xml:space="preserve">4.4  Blockchain Security + Quantum Oracles</w:t>
      </w:r>
    </w:p>
    <w:p>
      <w:pPr>
        <w:spacing w:after="60" w:before="60"/>
      </w:pPr>
      <w:r>
        <w:t xml:space="preserve"/>
      </w:r>
    </w:p>
    <w:p>
      <w:pPr>
        <w:pStyle w:val="ListParagraph"/>
        <w:numPr>
          <w:ilvl w:val="0"/>
          <w:numId w:val="3"/>
        </w:numPr>
        <w:spacing w:after="60" w:before="60"/>
      </w:pPr>
      <w:hyperlink w:history="1" r:id="rIdtelxf6bnpz9nvmei7bewo">
        <w:r>
          <w:rPr>
            <w:b/>
            <w:bCs/>
            <w:color w:val="0563C1"/>
            <w:sz w:val="22"/>
            <w:szCs w:val="22"/>
            <w:u w:val="single"/>
          </w:rPr>
          <w:t xml:space="preserve">Chainlink VRF Documentation</w:t>
        </w:r>
      </w:hyperlink>
      <w:r>
        <w:rPr>
          <w:color w:val="404040"/>
          <w:sz w:val="22"/>
          <w:szCs w:val="22"/>
        </w:rPr>
        <w:t xml:space="preserve"> — Study how the current market leader implements verifiable randomness. Your quantum VRF is a direct competitor/upgrade.</w:t>
      </w:r>
    </w:p>
    <w:p>
      <w:pPr>
        <w:pStyle w:val="ListParagraph"/>
        <w:numPr>
          <w:ilvl w:val="0"/>
          <w:numId w:val="3"/>
        </w:numPr>
        <w:spacing w:after="60" w:before="60"/>
      </w:pPr>
      <w:hyperlink w:history="1" r:id="rIdjv_bd2_mvsufojjxu5qxd">
        <w:r>
          <w:rPr>
            <w:b/>
            <w:bCs/>
            <w:color w:val="0563C1"/>
            <w:sz w:val="22"/>
            <w:szCs w:val="22"/>
            <w:u w:val="single"/>
          </w:rPr>
          <w:t xml:space="preserve">Ethereum Smart Contract Security Best Practices</w:t>
        </w:r>
      </w:hyperlink>
      <w:r>
        <w:rPr>
          <w:color w:val="404040"/>
          <w:sz w:val="22"/>
          <w:szCs w:val="22"/>
        </w:rPr>
        <w:t xml:space="preserve"> — ConsenSys guide. Essential for auditing your oracle contract code before mainnet deployment.</w:t>
      </w:r>
    </w:p>
    <w:p>
      <w:pPr>
        <w:pStyle w:val="ListParagraph"/>
        <w:numPr>
          <w:ilvl w:val="0"/>
          <w:numId w:val="3"/>
        </w:numPr>
        <w:spacing w:after="60" w:before="60"/>
      </w:pPr>
      <w:hyperlink w:history="1" r:id="rIdtgndj9ld83vagrgjp1zeu">
        <w:r>
          <w:rPr>
            <w:b/>
            <w:bCs/>
            <w:color w:val="0563C1"/>
            <w:sz w:val="22"/>
            <w:szCs w:val="22"/>
            <w:u w:val="single"/>
          </w:rPr>
          <w:t xml:space="preserve">OpenZeppelin Contracts</w:t>
        </w:r>
      </w:hyperlink>
      <w:r>
        <w:rPr>
          <w:color w:val="404040"/>
          <w:sz w:val="22"/>
          <w:szCs w:val="22"/>
        </w:rPr>
        <w:t xml:space="preserve"> — Battle-tested smart contract library. Use their access control and oracle patterns in your QuantumRandomnessOracle.sol.</w:t>
      </w:r>
    </w:p>
    <w:p>
      <w:pPr>
        <w:spacing w:after="60" w:before="60"/>
      </w:pPr>
      <w:r>
        <w:t xml:space="preserve"/>
      </w:r>
    </w:p>
    <w:p>
      <w:pPr>
        <w:pStyle w:val="Heading2"/>
        <w:pBdr>
          <w:bottom w:val="single" w:color="2E75B6" w:sz="2"/>
        </w:pBdr>
        <w:spacing w:after="120" w:before="280"/>
      </w:pPr>
      <w:r>
        <w:rPr>
          <w:b/>
          <w:bCs/>
          <w:color w:val="1F4E79"/>
        </w:rPr>
        <w:t xml:space="preserve">4.5  Government Compliance Learning</w:t>
      </w:r>
    </w:p>
    <w:p>
      <w:pPr>
        <w:spacing w:after="60" w:before="60"/>
      </w:pPr>
      <w:r>
        <w:t xml:space="preserve"/>
      </w:r>
    </w:p>
    <w:p>
      <w:pPr>
        <w:pStyle w:val="ListParagraph"/>
        <w:numPr>
          <w:ilvl w:val="0"/>
          <w:numId w:val="3"/>
        </w:numPr>
        <w:spacing w:after="60" w:before="60"/>
      </w:pPr>
      <w:hyperlink w:history="1" r:id="rIdtexo_ep_bhgl7axo9_tpv">
        <w:r>
          <w:rPr>
            <w:b/>
            <w:bCs/>
            <w:color w:val="0563C1"/>
            <w:sz w:val="22"/>
            <w:szCs w:val="22"/>
            <w:u w:val="single"/>
          </w:rPr>
          <w:t xml:space="preserve">CISA Post-Quantum Resources</w:t>
        </w:r>
      </w:hyperlink>
      <w:r>
        <w:rPr>
          <w:color w:val="404040"/>
          <w:sz w:val="22"/>
          <w:szCs w:val="22"/>
        </w:rPr>
        <w:t xml:space="preserve"> — CISA's PQC resources for critical infrastructure owners. Shows you what your government customers are reading.</w:t>
      </w:r>
    </w:p>
    <w:p>
      <w:pPr>
        <w:pStyle w:val="ListParagraph"/>
        <w:numPr>
          <w:ilvl w:val="0"/>
          <w:numId w:val="3"/>
        </w:numPr>
        <w:spacing w:after="60" w:before="60"/>
      </w:pPr>
      <w:hyperlink w:history="1" r:id="rIdpruoasx6b39_ydzygkn31">
        <w:r>
          <w:rPr>
            <w:b/>
            <w:bCs/>
            <w:color w:val="0563C1"/>
            <w:sz w:val="22"/>
            <w:szCs w:val="22"/>
            <w:u w:val="single"/>
          </w:rPr>
          <w:t xml:space="preserve">GSA PQC Buyer's Guide (2025)</w:t>
        </w:r>
      </w:hyperlink>
      <w:r>
        <w:rPr>
          <w:color w:val="404040"/>
          <w:sz w:val="22"/>
          <w:szCs w:val="22"/>
        </w:rPr>
        <w:t xml:space="preserve"> — The GSA purchasing guidance for PQC products. This is what federal procurement officers use — align your product descriptions to this language.</w:t>
      </w:r>
    </w:p>
    <w:p>
      <w:pPr>
        <w:pStyle w:val="ListParagraph"/>
        <w:numPr>
          <w:ilvl w:val="0"/>
          <w:numId w:val="3"/>
        </w:numPr>
        <w:spacing w:after="60" w:before="60"/>
      </w:pPr>
      <w:hyperlink w:history="1" r:id="rId8ooetxly-g0_qsfxga_tr">
        <w:r>
          <w:rPr>
            <w:b/>
            <w:bCs/>
            <w:color w:val="0563C1"/>
            <w:sz w:val="22"/>
            <w:szCs w:val="22"/>
            <w:u w:val="single"/>
          </w:rPr>
          <w:t xml:space="preserve">SafeLogic PQC Compliance Standards Guide</w:t>
        </w:r>
      </w:hyperlink>
      <w:r>
        <w:rPr>
          <w:color w:val="404040"/>
          <w:sz w:val="22"/>
          <w:szCs w:val="22"/>
        </w:rPr>
        <w:t xml:space="preserve"> — Practical guide to FIPS 140-3, CMVP, and PQC compliance from a company that does validations.</w:t>
      </w:r>
    </w:p>
    <w:p>
      <w:pPr>
        <w:pStyle w:val="ListParagraph"/>
        <w:numPr>
          <w:ilvl w:val="0"/>
          <w:numId w:val="3"/>
        </w:numPr>
        <w:spacing w:after="60" w:before="60"/>
      </w:pPr>
      <w:hyperlink w:history="1" r:id="rIdggojc3zu2pezweydolizc">
        <w:r>
          <w:rPr>
            <w:b/>
            <w:bCs/>
            <w:color w:val="0563C1"/>
            <w:sz w:val="22"/>
            <w:szCs w:val="22"/>
            <w:u w:val="single"/>
          </w:rPr>
          <w:t xml:space="preserve">CMMC Official Website</w:t>
        </w:r>
      </w:hyperlink>
      <w:r>
        <w:rPr>
          <w:color w:val="404040"/>
          <w:sz w:val="22"/>
          <w:szCs w:val="22"/>
        </w:rPr>
        <w:t xml:space="preserve"> — Official DoD CMMC program resources, practice areas, and assessment guidance.</w:t>
      </w:r>
    </w:p>
    <w:p>
      <w:pPr>
        <w:pStyle w:val="ListParagraph"/>
        <w:numPr>
          <w:ilvl w:val="0"/>
          <w:numId w:val="3"/>
        </w:numPr>
        <w:spacing w:after="60" w:before="60"/>
      </w:pPr>
      <w:hyperlink w:history="1" r:id="rIdqeig3yz_durufl3vm1scz">
        <w:r>
          <w:rPr>
            <w:b/>
            <w:bCs/>
            <w:color w:val="0563C1"/>
            <w:sz w:val="22"/>
            <w:szCs w:val="22"/>
            <w:u w:val="single"/>
          </w:rPr>
          <w:t xml:space="preserve">FedRAMP 20x Program</w:t>
        </w:r>
      </w:hyperlink>
      <w:r>
        <w:rPr>
          <w:color w:val="404040"/>
          <w:sz w:val="22"/>
          <w:szCs w:val="22"/>
        </w:rPr>
        <w:t xml:space="preserve"> — The new fast-track FedRAMP authorization program. Read before starting your FedRAMP journey.</w:t>
      </w:r>
    </w:p>
    <w:p>
      <w:pPr>
        <w:spacing w:after="60" w:before="60"/>
      </w:pPr>
      <w:r>
        <w:t xml:space="preserve"/>
      </w:r>
    </w:p>
    <w:p>
      <w:pPr>
        <w:pStyle w:val="Heading2"/>
        <w:pBdr>
          <w:bottom w:val="single" w:color="2E75B6" w:sz="2"/>
        </w:pBdr>
        <w:spacing w:after="120" w:before="280"/>
      </w:pPr>
      <w:r>
        <w:rPr>
          <w:b/>
          <w:bCs/>
          <w:color w:val="1F4E79"/>
        </w:rPr>
        <w:t xml:space="preserve">4.6  Jupyter Notebooks &amp; Hands-On Practice</w:t>
      </w:r>
    </w:p>
    <w:p>
      <w:pPr>
        <w:spacing w:after="60" w:before="60"/>
      </w:pPr>
      <w:r>
        <w:t xml:space="preserve"/>
      </w:r>
    </w:p>
    <w:p>
      <w:pPr>
        <w:pStyle w:val="ListParagraph"/>
        <w:numPr>
          <w:ilvl w:val="0"/>
          <w:numId w:val="3"/>
        </w:numPr>
        <w:spacing w:after="60" w:before="60"/>
      </w:pPr>
      <w:hyperlink w:history="1" r:id="rId0usn7r0bfiemcdcb1mdvk">
        <w:r>
          <w:rPr>
            <w:b/>
            <w:bCs/>
            <w:color w:val="0563C1"/>
            <w:sz w:val="22"/>
            <w:szCs w:val="22"/>
            <w:u w:val="single"/>
          </w:rPr>
          <w:t xml:space="preserve">Qiskit Tutorials (IBM Quantum Learning)</w:t>
        </w:r>
      </w:hyperlink>
      <w:r>
        <w:rPr>
          <w:color w:val="404040"/>
          <w:sz w:val="22"/>
          <w:szCs w:val="22"/>
        </w:rPr>
        <w:t xml:space="preserve"> — Interactive notebooks covering quantum circuits, measurement, and randomness. Run directly in browser via IBM Quantum Lab.</w:t>
      </w:r>
    </w:p>
    <w:p>
      <w:pPr>
        <w:pStyle w:val="ListParagraph"/>
        <w:numPr>
          <w:ilvl w:val="0"/>
          <w:numId w:val="3"/>
        </w:numPr>
        <w:spacing w:after="60" w:before="60"/>
      </w:pPr>
      <w:hyperlink w:history="1" r:id="rIdpwyp-iybemx6mvlabm9qd">
        <w:r>
          <w:rPr>
            <w:b/>
            <w:bCs/>
            <w:color w:val="0563C1"/>
            <w:sz w:val="22"/>
            <w:szCs w:val="22"/>
            <w:u w:val="single"/>
          </w:rPr>
          <w:t xml:space="preserve">Open Quantum Safe — Python Examples</w:t>
        </w:r>
      </w:hyperlink>
      <w:r>
        <w:rPr>
          <w:color w:val="404040"/>
          <w:sz w:val="22"/>
          <w:szCs w:val="22"/>
        </w:rPr>
        <w:t xml:space="preserve"> — The test files in the liboqs-python repo double as working examples of every algorithm. Excellent for building familiarity with your own codebase.</w:t>
      </w:r>
    </w:p>
    <w:p>
      <w:pPr>
        <w:pStyle w:val="ListParagraph"/>
        <w:numPr>
          <w:ilvl w:val="0"/>
          <w:numId w:val="3"/>
        </w:numPr>
        <w:spacing w:after="60" w:before="60"/>
      </w:pPr>
      <w:hyperlink w:history="1" r:id="rIdug4cy56m8eu8loeogtien">
        <w:r>
          <w:rPr>
            <w:b/>
            <w:bCs/>
            <w:color w:val="0563C1"/>
            <w:sz w:val="22"/>
            <w:szCs w:val="22"/>
            <w:u w:val="single"/>
          </w:rPr>
          <w:t xml:space="preserve">GitHub: post-quantum-cryptography topic (541 repos)</w:t>
        </w:r>
      </w:hyperlink>
      <w:r>
        <w:rPr>
          <w:color w:val="404040"/>
          <w:sz w:val="22"/>
          <w:szCs w:val="22"/>
        </w:rPr>
        <w:t xml:space="preserve"> — Browse all PQC projects on GitHub. Filter by Jupyter Notebook (16 notebooks) for interactive examples.</w:t>
      </w:r>
    </w:p>
    <w:p>
      <w:pPr>
        <w:pStyle w:val="ListParagraph"/>
        <w:numPr>
          <w:ilvl w:val="0"/>
          <w:numId w:val="3"/>
        </w:numPr>
        <w:spacing w:after="60" w:before="60"/>
      </w:pPr>
      <w:hyperlink w:history="1" r:id="rIdfha7cc62znavkkzmt3xay">
        <w:r>
          <w:rPr>
            <w:b/>
            <w:bCs/>
            <w:color w:val="0563C1"/>
            <w:sz w:val="22"/>
            <w:szCs w:val="22"/>
            <w:u w:val="single"/>
          </w:rPr>
          <w:t xml:space="preserve">Google Colab — Cryptography Notebooks</w:t>
        </w:r>
      </w:hyperlink>
      <w:r>
        <w:rPr>
          <w:color w:val="404040"/>
          <w:sz w:val="22"/>
          <w:szCs w:val="22"/>
        </w:rPr>
        <w:t xml:space="preserve"> — Search 'post-quantum cryptography' in Colab to find community notebooks. No local setup required.</w:t>
      </w:r>
    </w:p>
    <w:p>
      <w:pPr>
        <w:spacing w:after="60" w:before="60"/>
      </w:pPr>
      <w:r>
        <w:t xml:space="preserve"/>
      </w:r>
    </w:p>
    <w:p>
      <w:r>
        <w:br w:type="page"/>
      </w:r>
    </w:p>
    <w:p>
      <w:pPr>
        <w:pStyle w:val="Heading1"/>
        <w:pBdr>
          <w:bottom w:val="single" w:color="00B0F0" w:sz="3"/>
        </w:pBdr>
        <w:shd w:fill="1F4E79" w:val="clear"/>
        <w:spacing w:after="200" w:before="360"/>
        <w:ind w:left="200" w:right="200"/>
      </w:pPr>
      <w:r>
        <w:rPr>
          <w:b/>
          <w:bCs/>
          <w:color w:val="FFFFFF"/>
        </w:rPr>
        <w:t xml:space="preserve">Part 5 — 90-Day Action Plan</w:t>
      </w:r>
    </w:p>
    <w:p>
      <w:pPr>
        <w:spacing w:after="60" w:before="60"/>
      </w:pPr>
      <w:r>
        <w:t xml:space="preserve"/>
      </w:r>
    </w:p>
    <w:p>
      <w:pPr>
        <w:spacing w:after="80" w:before="80"/>
      </w:pPr>
      <w:r>
        <w:rPr>
          <w:color w:val="404040"/>
          <w:sz w:val="22"/>
          <w:szCs w:val="22"/>
        </w:rPr>
        <w:t xml:space="preserve">Based on your existing codebase, here is the most direct path to compliance certification and first revenue.</w:t>
      </w:r>
    </w:p>
    <w:p>
      <w:pPr>
        <w:spacing w:after="60" w:before="60"/>
      </w:pPr>
      <w:r>
        <w:t xml:space="preserve"/>
      </w:r>
    </w:p>
    <w:p>
      <w:pPr>
        <w:pStyle w:val="Heading2"/>
        <w:pBdr>
          <w:bottom w:val="single" w:color="2E75B6" w:sz="2"/>
        </w:pBdr>
        <w:spacing w:after="120" w:before="280"/>
      </w:pPr>
      <w:r>
        <w:rPr>
          <w:b/>
          <w:bCs/>
          <w:color w:val="1F4E79"/>
        </w:rPr>
        <w:t xml:space="preserve">Days 1–30: Foundation</w:t>
      </w:r>
    </w:p>
    <w:p>
      <w:pPr>
        <w:pStyle w:val="ListParagraph"/>
        <w:numPr>
          <w:ilvl w:val="0"/>
          <w:numId w:val="2"/>
        </w:numPr>
        <w:spacing w:after="60" w:before="60"/>
      </w:pPr>
      <w:r>
        <w:rPr>
          <w:color w:val="404040"/>
          <w:sz w:val="22"/>
          <w:szCs w:val="22"/>
        </w:rPr>
        <w:t xml:space="preserve">Complete a cryptographic inventory of your liboqs implementation. Document exactly which FIPS 203/204/205 algorithms are active, with version numbers and test vector validation results. This becomes your CMVP submission foundation.</w:t>
      </w:r>
    </w:p>
    <w:p>
      <w:pPr>
        <w:pStyle w:val="ListParagraph"/>
        <w:numPr>
          <w:ilvl w:val="0"/>
          <w:numId w:val="2"/>
        </w:numPr>
        <w:spacing w:after="60" w:before="60"/>
      </w:pPr>
      <w:r>
        <w:rPr>
          <w:color w:val="404040"/>
          <w:sz w:val="22"/>
          <w:szCs w:val="22"/>
        </w:rPr>
        <w:t xml:space="preserve">Engage a FIPS 140-3 accredited lab (Acumen Security, Leidos, UL) for a pre-assessment review ($5K–$15K). They will identify gaps before full submission.</w:t>
      </w:r>
    </w:p>
    <w:p>
      <w:pPr>
        <w:pStyle w:val="ListParagraph"/>
        <w:numPr>
          <w:ilvl w:val="0"/>
          <w:numId w:val="2"/>
        </w:numPr>
        <w:spacing w:after="60" w:before="60"/>
      </w:pPr>
      <w:r>
        <w:rPr>
          <w:color w:val="404040"/>
          <w:sz w:val="22"/>
          <w:szCs w:val="22"/>
        </w:rPr>
        <w:t xml:space="preserve">Begin SOC 2 Type II audit preparation with a firm like Vanta or Drata (automated compliance tools, $10K–$25K/year). This is your fastest enterprise credential.</w:t>
      </w:r>
    </w:p>
    <w:p>
      <w:pPr>
        <w:pStyle w:val="ListParagraph"/>
        <w:numPr>
          <w:ilvl w:val="0"/>
          <w:numId w:val="2"/>
        </w:numPr>
        <w:spacing w:after="60" w:before="60"/>
      </w:pPr>
      <w:r>
        <w:rPr>
          <w:color w:val="404040"/>
          <w:sz w:val="22"/>
          <w:szCs w:val="22"/>
        </w:rPr>
        <w:t xml:space="preserve">Add NIST SP 800-90B statistical tests to your entropy validation pipeline — this is already partially done in your monitoring module. Document results formally.</w:t>
      </w:r>
    </w:p>
    <w:p>
      <w:pPr>
        <w:spacing w:after="60" w:before="60"/>
      </w:pPr>
      <w:r>
        <w:t xml:space="preserve"/>
      </w:r>
    </w:p>
    <w:p>
      <w:pPr>
        <w:pStyle w:val="Heading2"/>
        <w:pBdr>
          <w:bottom w:val="single" w:color="2E75B6" w:sz="2"/>
        </w:pBdr>
        <w:spacing w:after="120" w:before="280"/>
      </w:pPr>
      <w:r>
        <w:rPr>
          <w:b/>
          <w:bCs/>
          <w:color w:val="1F4E79"/>
        </w:rPr>
        <w:t xml:space="preserve">Days 31–60: Market Entry</w:t>
      </w:r>
    </w:p>
    <w:p>
      <w:pPr>
        <w:pStyle w:val="ListParagraph"/>
        <w:numPr>
          <w:ilvl w:val="0"/>
          <w:numId w:val="2"/>
        </w:numPr>
        <w:spacing w:after="60" w:before="60"/>
      </w:pPr>
      <w:r>
        <w:rPr>
          <w:color w:val="404040"/>
          <w:sz w:val="22"/>
          <w:szCs w:val="22"/>
        </w:rPr>
        <w:t xml:space="preserve">Deploy your CMMC compliance consulting service. Create a two-page scope of work: quantum readiness assessment for a DoD contractor. Price at $5K–$15K per engagement. Sell to small-to-mid DIB companies through LinkedIn and defense contractor networks.</w:t>
      </w:r>
    </w:p>
    <w:p>
      <w:pPr>
        <w:pStyle w:val="ListParagraph"/>
        <w:numPr>
          <w:ilvl w:val="0"/>
          <w:numId w:val="2"/>
        </w:numPr>
        <w:spacing w:after="60" w:before="60"/>
      </w:pPr>
      <w:r>
        <w:rPr>
          <w:color w:val="404040"/>
          <w:sz w:val="22"/>
          <w:szCs w:val="22"/>
        </w:rPr>
        <w:t xml:space="preserve">Build the AI anomaly detection layer on top of your existing monitoring.py. Use scikit-learn Isolation Forest on your entropy quality metrics. Instrument with Prometheus. Write a blog post on Medium or dev.to documenting the approach — this drives developer leads.</w:t>
      </w:r>
    </w:p>
    <w:p>
      <w:pPr>
        <w:pStyle w:val="ListParagraph"/>
        <w:numPr>
          <w:ilvl w:val="0"/>
          <w:numId w:val="2"/>
        </w:numPr>
        <w:spacing w:after="60" w:before="60"/>
      </w:pPr>
      <w:r>
        <w:rPr>
          <w:color w:val="404040"/>
          <w:sz w:val="22"/>
          <w:szCs w:val="22"/>
        </w:rPr>
        <w:t xml:space="preserve">Create a FedRAMP readiness package: identify a cloud hosting partner (AWS GovCloud or Azure Government), document your system security plan (SSP) outline, and engage an Authorized Third-Party Assessment Organization (3PAO) for a readiness review.</w:t>
      </w:r>
    </w:p>
    <w:p>
      <w:pPr>
        <w:spacing w:after="60" w:before="60"/>
      </w:pPr>
      <w:r>
        <w:t xml:space="preserve"/>
      </w:r>
    </w:p>
    <w:p>
      <w:pPr>
        <w:pStyle w:val="Heading2"/>
        <w:pBdr>
          <w:bottom w:val="single" w:color="2E75B6" w:sz="2"/>
        </w:pBdr>
        <w:spacing w:after="120" w:before="280"/>
      </w:pPr>
      <w:r>
        <w:rPr>
          <w:b/>
          <w:bCs/>
          <w:color w:val="1F4E79"/>
        </w:rPr>
        <w:t xml:space="preserve">Days 61–90: Scale</w:t>
      </w:r>
    </w:p>
    <w:p>
      <w:pPr>
        <w:pStyle w:val="ListParagraph"/>
        <w:numPr>
          <w:ilvl w:val="0"/>
          <w:numId w:val="2"/>
        </w:numPr>
        <w:spacing w:after="60" w:before="60"/>
      </w:pPr>
      <w:r>
        <w:rPr>
          <w:color w:val="404040"/>
          <w:sz w:val="22"/>
          <w:szCs w:val="22"/>
        </w:rPr>
        <w:t xml:space="preserve">Submit GSA Schedule 70 IT application or partner with an existing GSA holder. This opens the full federal civilian buyer pool.</w:t>
      </w:r>
    </w:p>
    <w:p>
      <w:pPr>
        <w:pStyle w:val="ListParagraph"/>
        <w:numPr>
          <w:ilvl w:val="0"/>
          <w:numId w:val="2"/>
        </w:numPr>
        <w:spacing w:after="60" w:before="60"/>
      </w:pPr>
      <w:r>
        <w:rPr>
          <w:color w:val="404040"/>
          <w:sz w:val="22"/>
          <w:szCs w:val="22"/>
        </w:rPr>
        <w:t xml:space="preserve">Apply for DoD SBIR Phase I through one of these offices: AFWERX (Air Force), DARPA I2O (Information Innovation), or NSA Cybersecurity Directorate. Target topics around PQC infrastructure, quantum randomness, or AI-driven cryptographic monitoring.</w:t>
      </w:r>
    </w:p>
    <w:p>
      <w:pPr>
        <w:pStyle w:val="ListParagraph"/>
        <w:numPr>
          <w:ilvl w:val="0"/>
          <w:numId w:val="2"/>
        </w:numPr>
        <w:spacing w:after="60" w:before="60"/>
      </w:pPr>
      <w:r>
        <w:rPr>
          <w:color w:val="404040"/>
          <w:sz w:val="22"/>
          <w:szCs w:val="22"/>
        </w:rPr>
        <w:t xml:space="preserve">Launch a developer API tier ($99/mo) on your existing infrastructure. Expose QRNG and PQC endpoints with rate limiting. Use this to build the developer community and usage data that enterprise buyers want to see before signing contracts.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E2EFDA" w:val="clear"/>
            <w:tcMar>
              <w:top w:type="dxa" w:w="120"/>
              <w:left w:type="dxa" w:w="240"/>
              <w:bottom w:type="dxa" w:w="120"/>
              <w:right w:type="dxa" w:w="120"/>
            </w:tcMar>
          </w:tcPr>
          <w:p>
            <w:pPr>
              <w:spacing w:after="40"/>
            </w:pPr>
            <w:r>
              <w:rPr>
                <w:b/>
                <w:bCs/>
                <w:color w:val="1F4E79"/>
                <w:sz w:val="22"/>
                <w:szCs w:val="22"/>
              </w:rPr>
              <w:t xml:space="preserve">Revenue Opportunity Within 30 Days</w:t>
            </w:r>
          </w:p>
          <w:p>
            <w:pPr>
              <w:spacing w:before="0"/>
            </w:pPr>
            <w:r>
              <w:rPr>
                <w:color w:val="404040"/>
                <w:sz w:val="21"/>
                <w:szCs w:val="21"/>
              </w:rPr>
              <w:t xml:space="preserve">You can start generating revenue immediately by offering CMMC quantum readiness assessments to defense contractors. They are legally required to comply and are actively looking for specialists. Your technical depth in PQC + quantum threat assessment makes you credible. No certifications required to consult — only to sell certified software.</w:t>
            </w:r>
          </w:p>
        </w:tc>
      </w:tr>
    </w:tbl>
    <w:p>
      <w:r>
        <w:br w:type="page"/>
      </w:r>
    </w:p>
    <w:p>
      <w:pPr>
        <w:pStyle w:val="Heading1"/>
        <w:pBdr>
          <w:bottom w:val="single" w:color="00B0F0" w:sz="3"/>
        </w:pBdr>
        <w:shd w:fill="1F4E79" w:val="clear"/>
        <w:spacing w:after="200" w:before="360"/>
        <w:ind w:left="200" w:right="200"/>
      </w:pPr>
      <w:r>
        <w:rPr>
          <w:b/>
          <w:bCs/>
          <w:color w:val="FFFFFF"/>
        </w:rPr>
        <w:t xml:space="preserve">Appendix — Key Organizations &amp; Contacts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Organization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NIST CSRC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PQC standards, CMVP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csrc.nist.gov</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CISA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Critical infrastructure guidance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cisa.gov/quantum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NSA Cybersecurity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CNSA 2.0, NSS guidance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nsa.gov/cybersecurity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CMMC Accreditation Body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CMMC certification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cyberabi.org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FedRAMP PMO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Cloud authorization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fedramp.gov</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GSA Federal Marketplace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Contract vehicles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buy.gsa.gov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Open Quantum Safe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liboqs, reference PQC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openquantumsafe.org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Acumen Security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FIPS 140-3 accredited lab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acumensecurity.net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ID Quantique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QRNG hardware partner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04040"/>
                <w:sz w:val="20"/>
                <w:szCs w:val="20"/>
              </w:rPr>
              <w:t xml:space="preserve">idquantique.com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AFWERX / SBIR portal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DoD SBIR grants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0"/>
                <w:szCs w:val="20"/>
              </w:rPr>
              <w:t xml:space="preserve">sbir.defensebusiness.org</w:t>
            </w:r>
          </w:p>
        </w:tc>
      </w:tr>
    </w:tbl>
    <w:p>
      <w:pPr>
        <w:spacing w:after="60" w:before="60"/>
      </w:pPr>
      <w:r>
        <w:t xml:space="preserve"/>
      </w:r>
    </w:p>
    <w:p>
      <w:pPr>
        <w:spacing w:after="60" w:before="60"/>
      </w:pPr>
      <w:r>
        <w:t xml:space="preserve"/>
      </w:r>
    </w:p>
    <w:p>
      <w:pPr>
        <w:spacing w:after="120" w:before="480"/>
        <w:jc w:val="center"/>
      </w:pPr>
      <w:r>
        <w:rPr>
          <w:color w:val="00B0F0"/>
          <w:sz w:val="20"/>
          <w:szCs w:val="20"/>
        </w:rPr>
        <w:t xml:space="preserve">─────────────────────────────────</w:t>
      </w:r>
    </w:p>
    <w:p>
      <w:pPr>
        <w:jc w:val="center"/>
      </w:pPr>
      <w:r>
        <w:rPr>
          <w:i/>
          <w:iCs/>
          <w:color w:val="888888"/>
          <w:sz w:val="18"/>
          <w:szCs w:val="18"/>
        </w:rPr>
        <w:t xml:space="preserve">QCrypt RNG Strategic Guide  |  Prepared March 2026  |  Jon Beale</w:t>
      </w:r>
    </w:p>
    <w:p>
      <w:pPr>
        <w:jc w:val="center"/>
      </w:pPr>
      <w:r>
        <w:rPr>
          <w:i/>
          <w:iCs/>
          <w:color w:val="BBBBBB"/>
          <w:sz w:val="16"/>
          <w:szCs w:val="16"/>
        </w:rPr>
        <w:t xml:space="preserve">This document is confidential and intended solely for the use of the named recipient.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Confidential — QCrypt RNG Strategic Guide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pPr>
    <w:r>
      <w:rPr>
        <w:color w:val="888888"/>
        <w:sz w:val="18"/>
        <w:szCs w:val="18"/>
      </w:rPr>
      <w:t xml:space="preserve">QCrypt RNG  |  Government Compliance &amp; Profitable Cybersecurity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d7prcfs0k9m35veoou3k" Type="http://schemas.openxmlformats.org/officeDocument/2006/relationships/hyperlink" Target="https://www.nist.gov/pqc" TargetMode="External"/><Relationship Id="rIdvjh0rjv4glui3hq593zyh" Type="http://schemas.openxmlformats.org/officeDocument/2006/relationships/hyperlink" Target="https://csrc.nist.gov/projects/post-quantum-cryptography" TargetMode="External"/><Relationship Id="rIdnycnnhmhtqs2fghdkljtb" Type="http://schemas.openxmlformats.org/officeDocument/2006/relationships/hyperlink" Target="https://csrc.nist.gov/pubs/ir/8547/ipd" TargetMode="External"/><Relationship Id="rId1ot1bdzqlvb7qoodpiw-n" Type="http://schemas.openxmlformats.org/officeDocument/2006/relationships/hyperlink" Target="https://mitqcrypto.github.io/" TargetMode="External"/><Relationship Id="rIdjk5s8p_zz418_ppmuomfc" Type="http://schemas.openxmlformats.org/officeDocument/2006/relationships/hyperlink" Target="https://developer.ibm.com/learningpaths/cybersecurity-learning-path/" TargetMode="External"/><Relationship Id="rIdtqrzvihajbhtsby4sxtxg" Type="http://schemas.openxmlformats.org/officeDocument/2006/relationships/hyperlink" Target="https://www.paloaltonetworks.com/cyberpedia/pqc-standards" TargetMode="External"/><Relationship Id="rIdajydwzrf8wvi1irxb-g0e" Type="http://schemas.openxmlformats.org/officeDocument/2006/relationships/hyperlink" Target="https://github.com/open-quantum-safe/liboqs" TargetMode="External"/><Relationship Id="rIdf1mq8rw5wb0jhea1ir_ky" Type="http://schemas.openxmlformats.org/officeDocument/2006/relationships/hyperlink" Target="https://github.com/open-quantum-safe/liboqs-python" TargetMode="External"/><Relationship Id="rIdmtb513pvasupskqk_6zlu" Type="http://schemas.openxmlformats.org/officeDocument/2006/relationships/hyperlink" Target="https://github.com/veorq/awesome-post-quantum" TargetMode="External"/><Relationship Id="rIdbcnneoxw7h8xz-6uxddxk" Type="http://schemas.openxmlformats.org/officeDocument/2006/relationships/hyperlink" Target="https://github.com/PQCA" TargetMode="External"/><Relationship Id="rIdi1caasyiy7xqsyqxewbem" Type="http://schemas.openxmlformats.org/officeDocument/2006/relationships/hyperlink" Target="https://github.com/bro256/Awesome-Post-Quantum-Cryptography-Resources" TargetMode="External"/><Relationship Id="rIdkb8azui1zonxgielejorj" Type="http://schemas.openxmlformats.org/officeDocument/2006/relationships/hyperlink" Target="https://pq-crystals.org/dilithium/" TargetMode="External"/><Relationship Id="rIdhgmbanc7tyu-anayxezy3" Type="http://schemas.openxmlformats.org/officeDocument/2006/relationships/hyperlink" Target="https://pq-crystals.org/kyber/" TargetMode="External"/><Relationship Id="rIdrac3qguh17vpcoijfrijy" Type="http://schemas.openxmlformats.org/officeDocument/2006/relationships/hyperlink" Target="https://english.aivd.nl/publications/publications/2023/04/04/the-pqc-migration-handbook" TargetMode="External"/><Relationship Id="rIdhkmk0fopvunpdkpe6ief-" Type="http://schemas.openxmlformats.org/officeDocument/2006/relationships/hyperlink" Target="https://cloudsecurityalliance.org/research/topics/cryptography/" TargetMode="External"/><Relationship Id="rIdwskchpjdbqqhwsch5b5qo" Type="http://schemas.openxmlformats.org/officeDocument/2006/relationships/hyperlink" Target="https://csrc.nist.gov/publications/detail/sp/800-90b/final" TargetMode="External"/><Relationship Id="rIdiu5tlgpbhdtudibzramyr" Type="http://schemas.openxmlformats.org/officeDocument/2006/relationships/hyperlink" Target="https://www.idquantique.com/random-number-generation/resources/" TargetMode="External"/><Relationship Id="rIdn1rtm7cutlu6iynbga5yf" Type="http://schemas.openxmlformats.org/officeDocument/2006/relationships/hyperlink" Target="https://qrisp.eu/" TargetMode="External"/><Relationship Id="rIdxadhkryrg6-fokbju8lm6" Type="http://schemas.openxmlformats.org/officeDocument/2006/relationships/hyperlink" Target="https://learning.quantum.ibm.com/" TargetMode="External"/><Relationship Id="rIdeyt2wpkrjgdve49ij1ac8" Type="http://schemas.openxmlformats.org/officeDocument/2006/relationships/hyperlink" Target="https://attack.mitre.org/" TargetMode="External"/><Relationship Id="rIdbgvumtihqlxlmsdcfp3ij" Type="http://schemas.openxmlformats.org/officeDocument/2006/relationships/hyperlink" Target="https://atlas.mitre.org/" TargetMode="External"/><Relationship Id="rIdisai4c-wsltowramoryzv" Type="http://schemas.openxmlformats.org/officeDocument/2006/relationships/hyperlink" Target="https://github.com/Trusted-AI/adversarial-robustness-toolbox" TargetMode="External"/><Relationship Id="rIdf1jicmntwq9pp6nvw56jn" Type="http://schemas.openxmlformats.org/officeDocument/2006/relationships/hyperlink" Target="https://scikit-learn.org/stable/modules/outlier_detection.html" TargetMode="External"/><Relationship Id="rIdyni7wl13_t9jv4v9xs5ye" Type="http://schemas.openxmlformats.org/officeDocument/2006/relationships/hyperlink" Target="https://www.sentinelone.com/cybersecurity-101/data-and-ai/ai-in-cloud-security/" TargetMode="External"/><Relationship Id="rIdtelxf6bnpz9nvmei7bewo" Type="http://schemas.openxmlformats.org/officeDocument/2006/relationships/hyperlink" Target="https://docs.chain.link/vrf" TargetMode="External"/><Relationship Id="rIdjv_bd2_mvsufojjxu5qxd" Type="http://schemas.openxmlformats.org/officeDocument/2006/relationships/hyperlink" Target="https://consensys.github.io/smart-contract-best-practices/" TargetMode="External"/><Relationship Id="rIdtgndj9ld83vagrgjp1zeu" Type="http://schemas.openxmlformats.org/officeDocument/2006/relationships/hyperlink" Target="https://github.com/OpenZeppelin/openzeppelin-contracts" TargetMode="External"/><Relationship Id="rIdtexo_ep_bhgl7axo9_tpv" Type="http://schemas.openxmlformats.org/officeDocument/2006/relationships/hyperlink" Target="https://www.cisa.gov/quantum" TargetMode="External"/><Relationship Id="rIdpruoasx6b39_ydzygkn31" Type="http://schemas.openxmlformats.org/officeDocument/2006/relationships/hyperlink" Target="https://buy.gsa.gov/api/system/files/documents/final-508c-pqc_buyer-s_guide_2025.pdf" TargetMode="External"/><Relationship Id="rId8ooetxly-g0_qsfxga_tr" Type="http://schemas.openxmlformats.org/officeDocument/2006/relationships/hyperlink" Target="https://www.safelogic.com/compliance/pqc-standards" TargetMode="External"/><Relationship Id="rIdggojc3zu2pezweydolizc" Type="http://schemas.openxmlformats.org/officeDocument/2006/relationships/hyperlink" Target="https://dodcmmc.com/" TargetMode="External"/><Relationship Id="rIdqeig3yz_durufl3vm1scz" Type="http://schemas.openxmlformats.org/officeDocument/2006/relationships/hyperlink" Target="https://www.fedramp.gov/20x/" TargetMode="External"/><Relationship Id="rId0usn7r0bfiemcdcb1mdvk" Type="http://schemas.openxmlformats.org/officeDocument/2006/relationships/hyperlink" Target="https://learning.quantum.ibm.com/catalog/tutorials" TargetMode="External"/><Relationship Id="rIdpwyp-iybemx6mvlabm9qd" Type="http://schemas.openxmlformats.org/officeDocument/2006/relationships/hyperlink" Target="https://github.com/open-quantum-safe/liboqs-python/tree/main/tests" TargetMode="External"/><Relationship Id="rIdug4cy56m8eu8loeogtien" Type="http://schemas.openxmlformats.org/officeDocument/2006/relationships/hyperlink" Target="https://github.com/topics/post-quantum-cryptography" TargetMode="External"/><Relationship Id="rIdfha7cc62znavkkzmt3xay" Type="http://schemas.openxmlformats.org/officeDocument/2006/relationships/hyperlink" Target="https://colab.research.google.com/" TargetMode="Externa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2026-03-13T00:54:52.804Z</dcterms:created>
  <dcterms:modified xsi:type="dcterms:W3CDTF">2026-03-13T00:54:52.804Z</dcterms:modified>
</cp:coreProperties>
</file>

<file path=docProps/custom.xml><?xml version="1.0" encoding="utf-8"?>
<Properties xmlns="http://schemas.openxmlformats.org/officeDocument/2006/custom-properties" xmlns:vt="http://schemas.openxmlformats.org/officeDocument/2006/docPropsVTypes"/>
</file>