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60"/>
      </w:pPr>
      <w:r>
        <w:rPr>
          <w:rFonts w:ascii="Calibri" w:hAnsi="Calibri"/>
          <w:b/>
          <w:color w:val="2E74B5"/>
          <w:sz w:val="20"/>
        </w:rPr>
        <w:t>TECHNICAL RECOMMENDATION</w:t>
      </w:r>
    </w:p>
    <w:p>
      <w:pPr>
        <w:spacing w:after="100"/>
      </w:pPr>
      <w:r>
        <w:rPr>
          <w:rFonts w:ascii="Calibri" w:hAnsi="Calibri"/>
          <w:b/>
          <w:color w:val="202A35"/>
          <w:sz w:val="48"/>
        </w:rPr>
        <w:t>Electron Transport and Segment-Radiation Physics</w:t>
      </w:r>
    </w:p>
    <w:p>
      <w:pPr>
        <w:spacing w:after="280"/>
      </w:pPr>
      <w:r>
        <w:rPr>
          <w:rFonts w:ascii="Calibri" w:hAnsi="Calibri"/>
          <w:color w:val="5F6B78"/>
          <w:sz w:val="26"/>
        </w:rPr>
        <w:t>Review of energy stepping, elastic scattering, stopping power, cutoff handling, and radiation coupling</w:t>
      </w:r>
    </w:p>
    <w:p>
      <w:pPr>
        <w:spacing w:after="40"/>
      </w:pPr>
      <w:r>
        <w:rPr>
          <w:rFonts w:ascii="Calibri" w:hAnsi="Calibri"/>
          <w:b/>
          <w:color w:val="1F4D78"/>
          <w:sz w:val="22"/>
        </w:rPr>
        <w:t xml:space="preserve">Scope: </w:t>
      </w:r>
      <w:r>
        <w:rPr>
          <w:rFonts w:ascii="Calibri" w:hAnsi="Calibri"/>
          <w:color w:val="202A35"/>
          <w:sz w:val="22"/>
        </w:rPr>
        <w:t>transport(4).py and its interface to spectrum.py</w:t>
      </w:r>
    </w:p>
    <w:p>
      <w:pPr>
        <w:spacing w:after="40"/>
      </w:pPr>
      <w:r>
        <w:rPr>
          <w:rFonts w:ascii="Calibri" w:hAnsi="Calibri"/>
          <w:b/>
          <w:color w:val="1F4D78"/>
          <w:sz w:val="22"/>
        </w:rPr>
        <w:t xml:space="preserve">Energy range: </w:t>
      </w:r>
      <w:r>
        <w:rPr>
          <w:rFonts w:ascii="Calibri" w:hAnsi="Calibri"/>
          <w:color w:val="202A35"/>
          <w:sz w:val="22"/>
        </w:rPr>
        <w:t>Current intended use: approximately 1-300 keV electrons</w:t>
      </w:r>
    </w:p>
    <w:p>
      <w:pPr>
        <w:spacing w:after="40"/>
      </w:pPr>
      <w:r>
        <w:rPr>
          <w:rFonts w:ascii="Calibri" w:hAnsi="Calibri"/>
          <w:b/>
          <w:color w:val="1F4D78"/>
          <w:sz w:val="22"/>
        </w:rPr>
        <w:t xml:space="preserve">Assessment type: </w:t>
      </w:r>
      <w:r>
        <w:rPr>
          <w:rFonts w:ascii="Calibri" w:hAnsi="Calibri"/>
          <w:color w:val="202A35"/>
          <w:sz w:val="22"/>
        </w:rPr>
        <w:t>Physics and numerical-method review; no code changes applied</w:t>
      </w:r>
    </w:p>
    <w:p>
      <w:pPr>
        <w:spacing w:after="40"/>
      </w:pPr>
      <w:r>
        <w:rPr>
          <w:rFonts w:ascii="Calibri" w:hAnsi="Calibri"/>
          <w:b/>
          <w:color w:val="1F4D78"/>
          <w:sz w:val="22"/>
        </w:rPr>
        <w:t xml:space="preserve">Date: </w:t>
      </w:r>
      <w:r>
        <w:rPr>
          <w:rFonts w:ascii="Calibri" w:hAnsi="Calibri"/>
          <w:color w:val="202A35"/>
          <w:sz w:val="22"/>
        </w:rPr>
        <w:t>August 6, 2026</w:t>
      </w:r>
    </w:p>
    <w:p>
      <w:pPr>
        <w:spacing w:before="160" w:after="240"/>
        <w:pBdr>
          <w:bottom w:val="single" w:sz="12" w:space="1" w:color="2E74B5"/>
        </w:pBdr>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before="40" w:after="40" w:line="264" w:lineRule="auto"/>
            </w:pPr>
            <w:r>
              <w:rPr>
                <w:rFonts w:ascii="Calibri" w:hAnsi="Calibri"/>
                <w:b/>
                <w:color w:val="1F4D78"/>
                <w:sz w:val="22"/>
              </w:rPr>
              <w:t xml:space="preserve">Executive verdict  </w:t>
            </w:r>
            <w:r>
              <w:rPr>
                <w:rFonts w:ascii="Calibri" w:hAnsi="Calibri"/>
                <w:color w:val="202A35"/>
                <w:sz w:val="22"/>
              </w:rPr>
              <w:t>The event-driven geometry and layer handling are sound foundations, but the transport should currently be described as an approximate SEM-style single-elastic-scattering plus CSDA model. It is not yet a numerically controlled or reference-quality 1-300 keV transport model. The most urgent work is to fix the coherent midpoint-time inconsistency, truncate cutoff-crossing flights, expose step-limit failures, and replace the 30 keV Browning total-cross-section fit above its validity range.</w:t>
            </w:r>
          </w:p>
        </w:tc>
      </w:tr>
    </w:tbl>
    <w:p>
      <w:pPr>
        <w:spacing w:after="40"/>
      </w:pPr>
    </w:p>
    <w:p>
      <w:pPr>
        <w:pStyle w:val="Heading1"/>
        <w:keepNext/>
      </w:pPr>
      <w:r>
        <w:t>1. Scope and confidence classification</w:t>
      </w:r>
    </w:p>
    <w:p>
      <w:pPr>
        <w:keepLines w:val="0"/>
        <w:spacing w:before="0" w:after="120" w:line="264" w:lineRule="auto"/>
      </w:pPr>
      <w:r>
        <w:rPr>
          <w:rFonts w:ascii="Calibri" w:hAnsi="Calibri"/>
          <w:i w:val="0"/>
          <w:color w:val="202A35"/>
          <w:sz w:val="22"/>
        </w:rPr>
        <w:t>This review separates defects that follow directly from the code from approximations whose importance is case-dependent. That distinction matters: several choices are reasonable simplifications for mean incoherent spectra, but they need explicit convergence evidence before being promoted as general-purpose physics.</w:t>
      </w:r>
    </w:p>
    <w:p>
      <w:pPr>
        <w:pStyle w:val="ListBullet"/>
        <w:spacing w:after="160" w:line="280" w:lineRule="auto"/>
        <w:ind w:left="720" w:hanging="360"/>
      </w:pPr>
      <w:r>
        <w:rPr>
          <w:rFonts w:ascii="Calibri" w:hAnsi="Calibri"/>
          <w:b/>
          <w:color w:val="202A35"/>
          <w:sz w:val="22"/>
        </w:rPr>
        <w:t>Definite correctness issues:</w:t>
      </w:r>
      <w:r>
        <w:rPr>
          <w:rFonts w:ascii="Calibri" w:hAnsi="Calibri"/>
          <w:color w:val="202A35"/>
          <w:sz w:val="22"/>
        </w:rPr>
        <w:t xml:space="preserve"> midpoint position paired with start time in coherent phases; cutoff-crossing flights recorded at full length; and max_steps exhaustion counted as physical stopping.</w:t>
      </w:r>
    </w:p>
    <w:p>
      <w:pPr>
        <w:pStyle w:val="ListBullet"/>
        <w:spacing w:after="160" w:line="280" w:lineRule="auto"/>
        <w:ind w:left="720" w:hanging="360"/>
      </w:pPr>
      <w:r>
        <w:rPr>
          <w:rFonts w:ascii="Calibri" w:hAnsi="Calibri"/>
          <w:b/>
          <w:color w:val="202A35"/>
          <w:sz w:val="22"/>
        </w:rPr>
        <w:t>Validity-range violation:</w:t>
      </w:r>
      <w:r>
        <w:rPr>
          <w:rFonts w:ascii="Calibri" w:hAnsi="Calibri"/>
          <w:color w:val="202A35"/>
          <w:sz w:val="22"/>
        </w:rPr>
        <w:t xml:space="preserve"> the Browning total elastic cross-section fit is used above its stated 30 keV upper limit.</w:t>
      </w:r>
    </w:p>
    <w:p>
      <w:pPr>
        <w:pStyle w:val="ListBullet"/>
        <w:spacing w:after="160" w:line="280" w:lineRule="auto"/>
        <w:ind w:left="720" w:hanging="360"/>
      </w:pPr>
      <w:r>
        <w:rPr>
          <w:rFonts w:ascii="Calibri" w:hAnsi="Calibri"/>
          <w:b/>
          <w:color w:val="202A35"/>
          <w:sz w:val="22"/>
        </w:rPr>
        <w:t>Uncontrolled approximations:</w:t>
      </w:r>
      <w:r>
        <w:rPr>
          <w:rFonts w:ascii="Calibri" w:hAnsi="Calibri"/>
          <w:color w:val="202A35"/>
          <w:sz w:val="22"/>
        </w:rPr>
        <w:t xml:space="preserve"> start-energy stopping, start-energy collision rate, start-speed clock, and one-energy radiation evaluation across the full flight.</w:t>
      </w:r>
    </w:p>
    <w:p>
      <w:pPr>
        <w:pStyle w:val="ListBullet"/>
        <w:spacing w:after="160" w:line="280" w:lineRule="auto"/>
        <w:ind w:left="720" w:hanging="360"/>
      </w:pPr>
      <w:r>
        <w:rPr>
          <w:rFonts w:ascii="Calibri" w:hAnsi="Calibri"/>
          <w:b/>
          <w:color w:val="202A35"/>
          <w:sz w:val="22"/>
        </w:rPr>
        <w:t>Model-scope limitations:</w:t>
      </w:r>
      <w:r>
        <w:rPr>
          <w:rFonts w:ascii="Calibri" w:hAnsi="Calibri"/>
          <w:color w:val="202A35"/>
          <w:sz w:val="22"/>
        </w:rPr>
        <w:t xml:space="preserve"> deterministic CSDA loss, no hard inelastic events or straggling, no crystalline channeling, and isotropic bremsstrahlung.</w:t>
      </w:r>
    </w:p>
    <w:p>
      <w:pPr>
        <w:pStyle w:val="Heading1"/>
        <w:keepNext/>
      </w:pPr>
      <w:r>
        <w:t>2. What the present transport step represents</w:t>
      </w:r>
    </w:p>
    <w:p>
      <w:pPr>
        <w:keepLines w:val="0"/>
        <w:spacing w:before="0" w:after="120" w:line="264" w:lineRule="auto"/>
      </w:pPr>
      <w:r>
        <w:rPr>
          <w:rFonts w:ascii="Calibri" w:hAnsi="Calibri"/>
          <w:i w:val="0"/>
          <w:color w:val="202A35"/>
          <w:sz w:val="22"/>
        </w:rPr>
        <w:t>The physical segment emitted by transport(4).py is a straight material flight that ends at an elastic collision, a material boundary, a prism or groove surface, or termination after falling below the energy cutoff. The stored state is not evaluated at one common point in the flight.</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2088"/>
            <w:shd w:fill="E8EEF5"/>
            <w:tcMar>
              <w:top w:w="80" w:type="dxa"/>
              <w:start w:w="120" w:type="dxa"/>
              <w:bottom w:w="80" w:type="dxa"/>
              <w:end w:w="120" w:type="dxa"/>
            </w:tcMar>
            <w:vAlign w:val="center"/>
          </w:tcPr>
          <w:p>
            <w:pPr>
              <w:spacing w:before="0" w:after="0"/>
              <w:jc w:val="left"/>
            </w:pPr>
            <w:r>
              <w:rPr>
                <w:rFonts w:ascii="Calibri" w:hAnsi="Calibri"/>
                <w:b/>
                <w:color w:val="1F4D78"/>
                <w:sz w:val="19"/>
              </w:rPr>
              <w:t>Quantity</w:t>
            </w:r>
          </w:p>
        </w:tc>
        <w:tc>
          <w:tcPr>
            <w:tcW w:type="dxa" w:w="2304"/>
            <w:shd w:fill="E8EEF5"/>
            <w:tcMar>
              <w:top w:w="80" w:type="dxa"/>
              <w:start w:w="120" w:type="dxa"/>
              <w:bottom w:w="80" w:type="dxa"/>
              <w:end w:w="120" w:type="dxa"/>
            </w:tcMar>
            <w:vAlign w:val="center"/>
          </w:tcPr>
          <w:p>
            <w:pPr>
              <w:spacing w:before="0" w:after="0"/>
              <w:jc w:val="left"/>
            </w:pPr>
            <w:r>
              <w:rPr>
                <w:rFonts w:ascii="Calibri" w:hAnsi="Calibri"/>
                <w:b/>
                <w:color w:val="1F4D78"/>
                <w:sz w:val="19"/>
              </w:rPr>
              <w:t>Representative state</w:t>
            </w:r>
          </w:p>
        </w:tc>
        <w:tc>
          <w:tcPr>
            <w:tcW w:type="dxa" w:w="4968"/>
            <w:shd w:fill="E8EEF5"/>
            <w:tcMar>
              <w:top w:w="80" w:type="dxa"/>
              <w:start w:w="120" w:type="dxa"/>
              <w:bottom w:w="80" w:type="dxa"/>
              <w:end w:w="120" w:type="dxa"/>
            </w:tcMar>
            <w:vAlign w:val="center"/>
          </w:tcPr>
          <w:p>
            <w:pPr>
              <w:spacing w:before="0" w:after="0"/>
              <w:jc w:val="left"/>
            </w:pPr>
            <w:r>
              <w:rPr>
                <w:rFonts w:ascii="Calibri" w:hAnsi="Calibri"/>
                <w:b/>
                <w:color w:val="1F4D78"/>
                <w:sz w:val="19"/>
              </w:rPr>
              <w:t>Current use</w:t>
            </w:r>
          </w:p>
        </w:tc>
      </w:tr>
      <w:tr>
        <w:tc>
          <w:tcPr>
            <w:tcW w:type="dxa" w:w="2088"/>
            <w:tcMar>
              <w:top w:w="80" w:type="dxa"/>
              <w:start w:w="120" w:type="dxa"/>
              <w:bottom w:w="80" w:type="dxa"/>
              <w:end w:w="120" w:type="dxa"/>
            </w:tcMar>
            <w:vAlign w:val="center"/>
          </w:tcPr>
          <w:p>
            <w:pPr>
              <w:spacing w:before="0" w:after="0" w:line="252" w:lineRule="auto"/>
            </w:pPr>
            <w:r>
              <w:rPr>
                <w:rFonts w:ascii="Calibri" w:hAnsi="Calibri"/>
                <w:color w:val="202A35"/>
                <w:sz w:val="18"/>
              </w:rPr>
              <w:t>Elastic rate</w:t>
            </w:r>
          </w:p>
        </w:tc>
        <w:tc>
          <w:tcPr>
            <w:tcW w:type="dxa" w:w="2304"/>
            <w:tcMar>
              <w:top w:w="80" w:type="dxa"/>
              <w:start w:w="120" w:type="dxa"/>
              <w:bottom w:w="80" w:type="dxa"/>
              <w:end w:w="120" w:type="dxa"/>
            </w:tcMar>
            <w:vAlign w:val="center"/>
          </w:tcPr>
          <w:p>
            <w:pPr>
              <w:spacing w:before="0" w:after="0" w:line="252" w:lineRule="auto"/>
            </w:pPr>
            <w:r>
              <w:rPr>
                <w:rFonts w:ascii="Calibri" w:hAnsi="Calibri"/>
                <w:color w:val="202A35"/>
                <w:sz w:val="18"/>
              </w:rPr>
              <w:t>Start energy E0</w:t>
            </w:r>
          </w:p>
        </w:tc>
        <w:tc>
          <w:tcPr>
            <w:tcW w:type="dxa" w:w="4968"/>
            <w:tcMar>
              <w:top w:w="80" w:type="dxa"/>
              <w:start w:w="120" w:type="dxa"/>
              <w:bottom w:w="80" w:type="dxa"/>
              <w:end w:w="120" w:type="dxa"/>
            </w:tcMar>
            <w:vAlign w:val="center"/>
          </w:tcPr>
          <w:p>
            <w:pPr>
              <w:spacing w:before="0" w:after="0" w:line="252" w:lineRule="auto"/>
            </w:pPr>
            <w:r>
              <w:rPr>
                <w:rFonts w:ascii="Calibri" w:hAnsi="Calibri"/>
                <w:color w:val="202A35"/>
                <w:sz w:val="18"/>
              </w:rPr>
              <w:t>Sum n_i sigma_i(E0); used to sample the candidate flight</w:t>
            </w:r>
          </w:p>
        </w:tc>
      </w:tr>
      <w:tr>
        <w:tc>
          <w:tcPr>
            <w:tcW w:type="dxa" w:w="2088"/>
            <w:shd w:fill="FAFBFC"/>
            <w:tcMar>
              <w:top w:w="80" w:type="dxa"/>
              <w:start w:w="120" w:type="dxa"/>
              <w:bottom w:w="80" w:type="dxa"/>
              <w:end w:w="120" w:type="dxa"/>
            </w:tcMar>
            <w:vAlign w:val="center"/>
          </w:tcPr>
          <w:p>
            <w:pPr>
              <w:spacing w:before="0" w:after="0" w:line="252" w:lineRule="auto"/>
            </w:pPr>
            <w:r>
              <w:rPr>
                <w:rFonts w:ascii="Calibri" w:hAnsi="Calibri"/>
                <w:color w:val="202A35"/>
                <w:sz w:val="18"/>
              </w:rPr>
              <w:t>Stored energy</w:t>
            </w:r>
          </w:p>
        </w:tc>
        <w:tc>
          <w:tcPr>
            <w:tcW w:type="dxa" w:w="2304"/>
            <w:shd w:fill="FAFBFC"/>
            <w:tcMar>
              <w:top w:w="80" w:type="dxa"/>
              <w:start w:w="120" w:type="dxa"/>
              <w:bottom w:w="80" w:type="dxa"/>
              <w:end w:w="120" w:type="dxa"/>
            </w:tcMar>
            <w:vAlign w:val="center"/>
          </w:tcPr>
          <w:p>
            <w:pPr>
              <w:spacing w:before="0" w:after="0" w:line="252" w:lineRule="auto"/>
            </w:pPr>
            <w:r>
              <w:rPr>
                <w:rFonts w:ascii="Calibri" w:hAnsi="Calibri"/>
                <w:color w:val="202A35"/>
                <w:sz w:val="18"/>
              </w:rPr>
              <w:t>Start energy E0</w:t>
            </w:r>
          </w:p>
        </w:tc>
        <w:tc>
          <w:tcPr>
            <w:tcW w:type="dxa" w:w="4968"/>
            <w:shd w:fill="FAFBFC"/>
            <w:tcMar>
              <w:top w:w="80" w:type="dxa"/>
              <w:start w:w="120" w:type="dxa"/>
              <w:bottom w:w="80" w:type="dxa"/>
              <w:end w:w="120" w:type="dxa"/>
            </w:tcMar>
            <w:vAlign w:val="center"/>
          </w:tcPr>
          <w:p>
            <w:pPr>
              <w:spacing w:before="0" w:after="0" w:line="252" w:lineRule="auto"/>
            </w:pPr>
            <w:r>
              <w:rPr>
                <w:rFonts w:ascii="Calibri" w:hAnsi="Calibri"/>
                <w:color w:val="202A35"/>
                <w:sz w:val="18"/>
              </w:rPr>
              <w:t>Passed to both CXR and bremsstrahlung</w:t>
            </w:r>
          </w:p>
        </w:tc>
      </w:tr>
      <w:tr>
        <w:tc>
          <w:tcPr>
            <w:tcW w:type="dxa" w:w="2088"/>
            <w:tcMar>
              <w:top w:w="80" w:type="dxa"/>
              <w:start w:w="120" w:type="dxa"/>
              <w:bottom w:w="80" w:type="dxa"/>
              <w:end w:w="120" w:type="dxa"/>
            </w:tcMar>
            <w:vAlign w:val="center"/>
          </w:tcPr>
          <w:p>
            <w:pPr>
              <w:spacing w:before="0" w:after="0" w:line="252" w:lineRule="auto"/>
            </w:pPr>
            <w:r>
              <w:rPr>
                <w:rFonts w:ascii="Calibri" w:hAnsi="Calibri"/>
                <w:color w:val="202A35"/>
                <w:sz w:val="18"/>
              </w:rPr>
              <w:t>Stored position</w:t>
            </w:r>
          </w:p>
        </w:tc>
        <w:tc>
          <w:tcPr>
            <w:tcW w:type="dxa" w:w="2304"/>
            <w:tcMar>
              <w:top w:w="80" w:type="dxa"/>
              <w:start w:w="120" w:type="dxa"/>
              <w:bottom w:w="80" w:type="dxa"/>
              <w:end w:w="120" w:type="dxa"/>
            </w:tcMar>
            <w:vAlign w:val="center"/>
          </w:tcPr>
          <w:p>
            <w:pPr>
              <w:spacing w:before="0" w:after="0" w:line="252" w:lineRule="auto"/>
            </w:pPr>
            <w:r>
              <w:rPr>
                <w:rFonts w:ascii="Calibri" w:hAnsi="Calibri"/>
                <w:color w:val="202A35"/>
                <w:sz w:val="18"/>
              </w:rPr>
              <w:t>Geometric midpoint</w:t>
            </w:r>
          </w:p>
        </w:tc>
        <w:tc>
          <w:tcPr>
            <w:tcW w:type="dxa" w:w="4968"/>
            <w:tcMar>
              <w:top w:w="80" w:type="dxa"/>
              <w:start w:w="120" w:type="dxa"/>
              <w:bottom w:w="80" w:type="dxa"/>
              <w:end w:w="120" w:type="dxa"/>
            </w:tcMar>
            <w:vAlign w:val="center"/>
          </w:tcPr>
          <w:p>
            <w:pPr>
              <w:spacing w:before="0" w:after="0" w:line="252" w:lineRule="auto"/>
            </w:pPr>
            <w:r>
              <w:rPr>
                <w:rFonts w:ascii="Calibri" w:hAnsi="Calibri"/>
                <w:color w:val="202A35"/>
                <w:sz w:val="18"/>
              </w:rPr>
              <w:t>Used for photon escape distance and coherent spatial phase</w:t>
            </w:r>
          </w:p>
        </w:tc>
      </w:tr>
      <w:tr>
        <w:tc>
          <w:tcPr>
            <w:tcW w:type="dxa" w:w="2088"/>
            <w:shd w:fill="FAFBFC"/>
            <w:tcMar>
              <w:top w:w="80" w:type="dxa"/>
              <w:start w:w="120" w:type="dxa"/>
              <w:bottom w:w="80" w:type="dxa"/>
              <w:end w:w="120" w:type="dxa"/>
            </w:tcMar>
            <w:vAlign w:val="center"/>
          </w:tcPr>
          <w:p>
            <w:pPr>
              <w:spacing w:before="0" w:after="0" w:line="252" w:lineRule="auto"/>
            </w:pPr>
            <w:r>
              <w:rPr>
                <w:rFonts w:ascii="Calibri" w:hAnsi="Calibri"/>
                <w:color w:val="202A35"/>
                <w:sz w:val="18"/>
              </w:rPr>
              <w:t>Stored direction</w:t>
            </w:r>
          </w:p>
        </w:tc>
        <w:tc>
          <w:tcPr>
            <w:tcW w:type="dxa" w:w="2304"/>
            <w:shd w:fill="FAFBFC"/>
            <w:tcMar>
              <w:top w:w="80" w:type="dxa"/>
              <w:start w:w="120" w:type="dxa"/>
              <w:bottom w:w="80" w:type="dxa"/>
              <w:end w:w="120" w:type="dxa"/>
            </w:tcMar>
            <w:vAlign w:val="center"/>
          </w:tcPr>
          <w:p>
            <w:pPr>
              <w:spacing w:before="0" w:after="0" w:line="252" w:lineRule="auto"/>
            </w:pPr>
            <w:r>
              <w:rPr>
                <w:rFonts w:ascii="Calibri" w:hAnsi="Calibri"/>
                <w:color w:val="202A35"/>
                <w:sz w:val="18"/>
              </w:rPr>
              <w:t>Pre-collision direction</w:t>
            </w:r>
          </w:p>
        </w:tc>
        <w:tc>
          <w:tcPr>
            <w:tcW w:type="dxa" w:w="4968"/>
            <w:shd w:fill="FAFBFC"/>
            <w:tcMar>
              <w:top w:w="80" w:type="dxa"/>
              <w:start w:w="120" w:type="dxa"/>
              <w:bottom w:w="80" w:type="dxa"/>
              <w:end w:w="120" w:type="dxa"/>
            </w:tcMar>
            <w:vAlign w:val="center"/>
          </w:tcPr>
          <w:p>
            <w:pPr>
              <w:spacing w:before="0" w:after="0" w:line="252" w:lineRule="auto"/>
            </w:pPr>
            <w:r>
              <w:rPr>
                <w:rFonts w:ascii="Calibri" w:hAnsi="Calibri"/>
                <w:color w:val="202A35"/>
                <w:sz w:val="18"/>
              </w:rPr>
              <w:t>Held constant across the entire flight</w:t>
            </w:r>
          </w:p>
        </w:tc>
      </w:tr>
      <w:tr>
        <w:tc>
          <w:tcPr>
            <w:tcW w:type="dxa" w:w="2088"/>
            <w:tcMar>
              <w:top w:w="80" w:type="dxa"/>
              <w:start w:w="120" w:type="dxa"/>
              <w:bottom w:w="80" w:type="dxa"/>
              <w:end w:w="120" w:type="dxa"/>
            </w:tcMar>
            <w:vAlign w:val="center"/>
          </w:tcPr>
          <w:p>
            <w:pPr>
              <w:spacing w:before="0" w:after="0" w:line="252" w:lineRule="auto"/>
            </w:pPr>
            <w:r>
              <w:rPr>
                <w:rFonts w:ascii="Calibri" w:hAnsi="Calibri"/>
                <w:color w:val="202A35"/>
                <w:sz w:val="18"/>
              </w:rPr>
              <w:t>Stopping power</w:t>
            </w:r>
          </w:p>
        </w:tc>
        <w:tc>
          <w:tcPr>
            <w:tcW w:type="dxa" w:w="2304"/>
            <w:tcMar>
              <w:top w:w="80" w:type="dxa"/>
              <w:start w:w="120" w:type="dxa"/>
              <w:bottom w:w="80" w:type="dxa"/>
              <w:end w:w="120" w:type="dxa"/>
            </w:tcMar>
            <w:vAlign w:val="center"/>
          </w:tcPr>
          <w:p>
            <w:pPr>
              <w:spacing w:before="0" w:after="0" w:line="252" w:lineRule="auto"/>
            </w:pPr>
            <w:r>
              <w:rPr>
                <w:rFonts w:ascii="Calibri" w:hAnsi="Calibri"/>
                <w:color w:val="202A35"/>
                <w:sz w:val="18"/>
              </w:rPr>
              <w:t>S(E0)</w:t>
            </w:r>
          </w:p>
        </w:tc>
        <w:tc>
          <w:tcPr>
            <w:tcW w:type="dxa" w:w="4968"/>
            <w:tcMar>
              <w:top w:w="80" w:type="dxa"/>
              <w:start w:w="120" w:type="dxa"/>
              <w:bottom w:w="80" w:type="dxa"/>
              <w:end w:w="120" w:type="dxa"/>
            </w:tcMar>
            <w:vAlign w:val="center"/>
          </w:tcPr>
          <w:p>
            <w:pPr>
              <w:spacing w:before="0" w:after="0" w:line="252" w:lineRule="auto"/>
            </w:pPr>
            <w:r>
              <w:rPr>
                <w:rFonts w:ascii="Calibri" w:hAnsi="Calibri"/>
                <w:color w:val="202A35"/>
                <w:sz w:val="18"/>
              </w:rPr>
              <w:t>Applied as E1 = E0 + S(E0)L</w:t>
            </w:r>
          </w:p>
        </w:tc>
      </w:tr>
      <w:tr>
        <w:tc>
          <w:tcPr>
            <w:tcW w:type="dxa" w:w="2088"/>
            <w:shd w:fill="FAFBFC"/>
            <w:tcMar>
              <w:top w:w="80" w:type="dxa"/>
              <w:start w:w="120" w:type="dxa"/>
              <w:bottom w:w="80" w:type="dxa"/>
              <w:end w:w="120" w:type="dxa"/>
            </w:tcMar>
            <w:vAlign w:val="center"/>
          </w:tcPr>
          <w:p>
            <w:pPr>
              <w:spacing w:before="0" w:after="0" w:line="252" w:lineRule="auto"/>
            </w:pPr>
            <w:r>
              <w:rPr>
                <w:rFonts w:ascii="Calibri" w:hAnsi="Calibri"/>
                <w:color w:val="202A35"/>
                <w:sz w:val="18"/>
              </w:rPr>
              <w:t>Transport clock</w:t>
            </w:r>
          </w:p>
        </w:tc>
        <w:tc>
          <w:tcPr>
            <w:tcW w:type="dxa" w:w="2304"/>
            <w:shd w:fill="FAFBFC"/>
            <w:tcMar>
              <w:top w:w="80" w:type="dxa"/>
              <w:start w:w="120" w:type="dxa"/>
              <w:bottom w:w="80" w:type="dxa"/>
              <w:end w:w="120" w:type="dxa"/>
            </w:tcMar>
            <w:vAlign w:val="center"/>
          </w:tcPr>
          <w:p>
            <w:pPr>
              <w:spacing w:before="0" w:after="0" w:line="252" w:lineRule="auto"/>
            </w:pPr>
            <w:r>
              <w:rPr>
                <w:rFonts w:ascii="Calibri" w:hAnsi="Calibri"/>
                <w:color w:val="202A35"/>
                <w:sz w:val="18"/>
              </w:rPr>
              <w:t>beta(E0)</w:t>
            </w:r>
          </w:p>
        </w:tc>
        <w:tc>
          <w:tcPr>
            <w:tcW w:type="dxa" w:w="4968"/>
            <w:shd w:fill="FAFBFC"/>
            <w:tcMar>
              <w:top w:w="80" w:type="dxa"/>
              <w:start w:w="120" w:type="dxa"/>
              <w:bottom w:w="80" w:type="dxa"/>
              <w:end w:w="120" w:type="dxa"/>
            </w:tcMar>
            <w:vAlign w:val="center"/>
          </w:tcPr>
          <w:p>
            <w:pPr>
              <w:spacing w:before="0" w:after="0" w:line="252" w:lineRule="auto"/>
            </w:pPr>
            <w:r>
              <w:rPr>
                <w:rFonts w:ascii="Calibri" w:hAnsi="Calibri"/>
                <w:color w:val="202A35"/>
                <w:sz w:val="18"/>
              </w:rPr>
              <w:t>Advanced by L/beta(E0)</w:t>
            </w:r>
          </w:p>
        </w:tc>
      </w:tr>
      <w:tr>
        <w:tc>
          <w:tcPr>
            <w:tcW w:type="dxa" w:w="2088"/>
            <w:tcMar>
              <w:top w:w="80" w:type="dxa"/>
              <w:start w:w="120" w:type="dxa"/>
              <w:bottom w:w="80" w:type="dxa"/>
              <w:end w:w="120" w:type="dxa"/>
            </w:tcMar>
            <w:vAlign w:val="center"/>
          </w:tcPr>
          <w:p>
            <w:pPr>
              <w:spacing w:before="0" w:after="0" w:line="252" w:lineRule="auto"/>
            </w:pPr>
            <w:r>
              <w:rPr>
                <w:rFonts w:ascii="Calibri" w:hAnsi="Calibri"/>
                <w:color w:val="202A35"/>
                <w:sz w:val="18"/>
              </w:rPr>
              <w:t>Collision species</w:t>
            </w:r>
          </w:p>
        </w:tc>
        <w:tc>
          <w:tcPr>
            <w:tcW w:type="dxa" w:w="2304"/>
            <w:tcMar>
              <w:top w:w="80" w:type="dxa"/>
              <w:start w:w="120" w:type="dxa"/>
              <w:bottom w:w="80" w:type="dxa"/>
              <w:end w:w="120" w:type="dxa"/>
            </w:tcMar>
            <w:vAlign w:val="center"/>
          </w:tcPr>
          <w:p>
            <w:pPr>
              <w:spacing w:before="0" w:after="0" w:line="252" w:lineRule="auto"/>
            </w:pPr>
            <w:r>
              <w:rPr>
                <w:rFonts w:ascii="Calibri" w:hAnsi="Calibri"/>
                <w:color w:val="202A35"/>
                <w:sz w:val="18"/>
              </w:rPr>
              <w:t>Rates at E0</w:t>
            </w:r>
          </w:p>
        </w:tc>
        <w:tc>
          <w:tcPr>
            <w:tcW w:type="dxa" w:w="4968"/>
            <w:tcMar>
              <w:top w:w="80" w:type="dxa"/>
              <w:start w:w="120" w:type="dxa"/>
              <w:bottom w:w="80" w:type="dxa"/>
              <w:end w:w="120" w:type="dxa"/>
            </w:tcMar>
            <w:vAlign w:val="center"/>
          </w:tcPr>
          <w:p>
            <w:pPr>
              <w:spacing w:before="0" w:after="0" w:line="252" w:lineRule="auto"/>
            </w:pPr>
            <w:r>
              <w:rPr>
                <w:rFonts w:ascii="Calibri" w:hAnsi="Calibri"/>
                <w:color w:val="202A35"/>
                <w:sz w:val="18"/>
              </w:rPr>
              <w:t>Selected after the flight using start-energy rate weights</w:t>
            </w:r>
          </w:p>
        </w:tc>
      </w:tr>
      <w:tr>
        <w:tc>
          <w:tcPr>
            <w:tcW w:type="dxa" w:w="2088"/>
            <w:shd w:fill="FAFBFC"/>
            <w:tcMar>
              <w:top w:w="80" w:type="dxa"/>
              <w:start w:w="120" w:type="dxa"/>
              <w:bottom w:w="80" w:type="dxa"/>
              <w:end w:w="120" w:type="dxa"/>
            </w:tcMar>
            <w:vAlign w:val="center"/>
          </w:tcPr>
          <w:p>
            <w:pPr>
              <w:spacing w:before="0" w:after="0" w:line="252" w:lineRule="auto"/>
            </w:pPr>
            <w:r>
              <w:rPr>
                <w:rFonts w:ascii="Calibri" w:hAnsi="Calibri"/>
                <w:color w:val="202A35"/>
                <w:sz w:val="18"/>
              </w:rPr>
              <w:t>Scattering angle</w:t>
            </w:r>
          </w:p>
        </w:tc>
        <w:tc>
          <w:tcPr>
            <w:tcW w:type="dxa" w:w="2304"/>
            <w:shd w:fill="FAFBFC"/>
            <w:tcMar>
              <w:top w:w="80" w:type="dxa"/>
              <w:start w:w="120" w:type="dxa"/>
              <w:bottom w:w="80" w:type="dxa"/>
              <w:end w:w="120" w:type="dxa"/>
            </w:tcMar>
            <w:vAlign w:val="center"/>
          </w:tcPr>
          <w:p>
            <w:pPr>
              <w:spacing w:before="0" w:after="0" w:line="252" w:lineRule="auto"/>
            </w:pPr>
            <w:r>
              <w:rPr>
                <w:rFonts w:ascii="Calibri" w:hAnsi="Calibri"/>
                <w:color w:val="202A35"/>
                <w:sz w:val="18"/>
              </w:rPr>
              <w:t>Endpoint energy E1</w:t>
            </w:r>
          </w:p>
        </w:tc>
        <w:tc>
          <w:tcPr>
            <w:tcW w:type="dxa" w:w="4968"/>
            <w:shd w:fill="FAFBFC"/>
            <w:tcMar>
              <w:top w:w="80" w:type="dxa"/>
              <w:start w:w="120" w:type="dxa"/>
              <w:bottom w:w="80" w:type="dxa"/>
              <w:end w:w="120" w:type="dxa"/>
            </w:tcMar>
            <w:vAlign w:val="center"/>
          </w:tcPr>
          <w:p>
            <w:pPr>
              <w:spacing w:before="0" w:after="0" w:line="252" w:lineRule="auto"/>
            </w:pPr>
            <w:r>
              <w:rPr>
                <w:rFonts w:ascii="Calibri" w:hAnsi="Calibri"/>
                <w:color w:val="202A35"/>
                <w:sz w:val="18"/>
              </w:rPr>
              <w:t>Angular parameter is evaluated after continuous loss</w:t>
            </w:r>
          </w:p>
        </w:tc>
      </w:tr>
    </w:tbl>
    <w:p>
      <w:pPr>
        <w:keepLines w:val="0"/>
        <w:spacing w:before="0" w:after="160" w:line="264" w:lineRule="auto"/>
      </w:pPr>
      <w:r>
        <w:rPr>
          <w:rFonts w:ascii="Calibri" w:hAnsi="Calibri"/>
          <w:i/>
          <w:color w:val="202A35"/>
          <w:sz w:val="22"/>
        </w:rPr>
        <w:t>Code anchors: transport(4).py records seg_E = E_j and seg_t0 = clock[e] before updating energy and time; spectrum.py later converts that same E_keV to beta and treats it as constant over L_ang. The bremsstrahlung docstring explicitly calls it the segment start kinetic energy.</w:t>
      </w:r>
    </w:p>
    <w:p>
      <w:pPr>
        <w:spacing w:before="80" w:after="160"/>
        <w:jc w:val="center"/>
      </w:pPr>
      <w:r>
        <w:rPr>
          <w:rFonts w:ascii="Cambria Math" w:hAnsi="Cambria Math"/>
          <w:i/>
          <w:color w:val="202A35"/>
          <w:sz w:val="22"/>
        </w:rPr>
        <w:t>L = -ln(xi) / Sigma_el(E0)</w:t>
      </w:r>
    </w:p>
    <w:p>
      <w:pPr>
        <w:spacing w:before="80" w:after="160"/>
        <w:jc w:val="center"/>
      </w:pPr>
      <w:r>
        <w:rPr>
          <w:rFonts w:ascii="Cambria Math" w:hAnsi="Cambria Math"/>
          <w:i/>
          <w:color w:val="202A35"/>
          <w:sz w:val="22"/>
        </w:rPr>
        <w:t>E1 = E0 + S(E0)L</w:t>
      </w:r>
    </w:p>
    <w:p>
      <w:pPr>
        <w:spacing w:before="80" w:after="160"/>
        <w:jc w:val="center"/>
      </w:pPr>
      <w:r>
        <w:rPr>
          <w:rFonts w:ascii="Cambria Math" w:hAnsi="Cambria Math"/>
          <w:i/>
          <w:color w:val="202A35"/>
          <w:sz w:val="22"/>
        </w:rPr>
        <w:t>Delta t = L / beta(E0)</w:t>
      </w:r>
    </w:p>
    <w:p>
      <w:pPr>
        <w:pStyle w:val="Heading1"/>
        <w:keepNext/>
      </w:pPr>
      <w:r>
        <w:t>3. Priority findings</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rPr>
          <w:tblHeader w:val="true"/>
        </w:trPr>
        <w:tc>
          <w:tcPr>
            <w:tcW w:type="dxa" w:w="936"/>
            <w:shd w:fill="E8EEF5"/>
            <w:tcMar>
              <w:top w:w="80" w:type="dxa"/>
              <w:start w:w="120" w:type="dxa"/>
              <w:bottom w:w="80" w:type="dxa"/>
              <w:end w:w="120" w:type="dxa"/>
            </w:tcMar>
            <w:vAlign w:val="center"/>
          </w:tcPr>
          <w:p>
            <w:pPr>
              <w:spacing w:before="0" w:after="0"/>
              <w:jc w:val="left"/>
            </w:pPr>
            <w:r>
              <w:rPr>
                <w:rFonts w:ascii="Calibri" w:hAnsi="Calibri"/>
                <w:b/>
                <w:color w:val="1F4D78"/>
                <w:sz w:val="19"/>
              </w:rPr>
              <w:t>Priority</w:t>
            </w:r>
          </w:p>
        </w:tc>
        <w:tc>
          <w:tcPr>
            <w:tcW w:type="dxa" w:w="3672"/>
            <w:shd w:fill="E8EEF5"/>
            <w:tcMar>
              <w:top w:w="80" w:type="dxa"/>
              <w:start w:w="120" w:type="dxa"/>
              <w:bottom w:w="80" w:type="dxa"/>
              <w:end w:w="120" w:type="dxa"/>
            </w:tcMar>
            <w:vAlign w:val="center"/>
          </w:tcPr>
          <w:p>
            <w:pPr>
              <w:spacing w:before="0" w:after="0"/>
              <w:jc w:val="left"/>
            </w:pPr>
            <w:r>
              <w:rPr>
                <w:rFonts w:ascii="Calibri" w:hAnsi="Calibri"/>
                <w:b/>
                <w:color w:val="1F4D78"/>
                <w:sz w:val="19"/>
              </w:rPr>
              <w:t>Finding</w:t>
            </w:r>
          </w:p>
        </w:tc>
        <w:tc>
          <w:tcPr>
            <w:tcW w:type="dxa" w:w="1656"/>
            <w:shd w:fill="E8EEF5"/>
            <w:tcMar>
              <w:top w:w="80" w:type="dxa"/>
              <w:start w:w="120" w:type="dxa"/>
              <w:bottom w:w="80" w:type="dxa"/>
              <w:end w:w="120" w:type="dxa"/>
            </w:tcMar>
            <w:vAlign w:val="center"/>
          </w:tcPr>
          <w:p>
            <w:pPr>
              <w:spacing w:before="0" w:after="0"/>
              <w:jc w:val="left"/>
            </w:pPr>
            <w:r>
              <w:rPr>
                <w:rFonts w:ascii="Calibri" w:hAnsi="Calibri"/>
                <w:b/>
                <w:color w:val="1F4D78"/>
                <w:sz w:val="19"/>
              </w:rPr>
              <w:t>Class</w:t>
            </w:r>
          </w:p>
        </w:tc>
        <w:tc>
          <w:tcPr>
            <w:tcW w:type="dxa" w:w="3096"/>
            <w:shd w:fill="E8EEF5"/>
            <w:tcMar>
              <w:top w:w="80" w:type="dxa"/>
              <w:start w:w="120" w:type="dxa"/>
              <w:bottom w:w="80" w:type="dxa"/>
              <w:end w:w="120" w:type="dxa"/>
            </w:tcMar>
            <w:vAlign w:val="center"/>
          </w:tcPr>
          <w:p>
            <w:pPr>
              <w:spacing w:before="0" w:after="0"/>
              <w:jc w:val="left"/>
            </w:pPr>
            <w:r>
              <w:rPr>
                <w:rFonts w:ascii="Calibri" w:hAnsi="Calibri"/>
                <w:b/>
                <w:color w:val="1F4D78"/>
                <w:sz w:val="19"/>
              </w:rPr>
              <w:t>Recommended response</w:t>
            </w:r>
          </w:p>
        </w:tc>
      </w:tr>
      <w:tr>
        <w:tc>
          <w:tcPr>
            <w:tcW w:type="dxa" w:w="936"/>
            <w:tcMar>
              <w:top w:w="80" w:type="dxa"/>
              <w:start w:w="120" w:type="dxa"/>
              <w:bottom w:w="80" w:type="dxa"/>
              <w:end w:w="120" w:type="dxa"/>
            </w:tcMar>
            <w:vAlign w:val="center"/>
          </w:tcPr>
          <w:p>
            <w:pPr>
              <w:spacing w:before="0" w:after="0" w:line="252" w:lineRule="auto"/>
            </w:pPr>
            <w:r>
              <w:rPr>
                <w:rFonts w:ascii="Calibri" w:hAnsi="Calibri"/>
                <w:color w:val="202A35"/>
                <w:sz w:val="18"/>
              </w:rPr>
              <w:t>P0</w:t>
            </w:r>
          </w:p>
        </w:tc>
        <w:tc>
          <w:tcPr>
            <w:tcW w:type="dxa" w:w="3672"/>
            <w:tcMar>
              <w:top w:w="80" w:type="dxa"/>
              <w:start w:w="120" w:type="dxa"/>
              <w:bottom w:w="80" w:type="dxa"/>
              <w:end w:w="120" w:type="dxa"/>
            </w:tcMar>
            <w:vAlign w:val="center"/>
          </w:tcPr>
          <w:p>
            <w:pPr>
              <w:spacing w:before="0" w:after="0" w:line="252" w:lineRule="auto"/>
            </w:pPr>
            <w:r>
              <w:rPr>
                <w:rFonts w:ascii="Calibri" w:hAnsi="Calibri"/>
                <w:color w:val="202A35"/>
                <w:sz w:val="18"/>
              </w:rPr>
              <w:t>Coherent phase uses midpoint position with start time</w:t>
            </w:r>
          </w:p>
        </w:tc>
        <w:tc>
          <w:tcPr>
            <w:tcW w:type="dxa" w:w="1656"/>
            <w:tcMar>
              <w:top w:w="80" w:type="dxa"/>
              <w:start w:w="120" w:type="dxa"/>
              <w:bottom w:w="80" w:type="dxa"/>
              <w:end w:w="120" w:type="dxa"/>
            </w:tcMar>
            <w:vAlign w:val="center"/>
          </w:tcPr>
          <w:p>
            <w:pPr>
              <w:spacing w:before="0" w:after="0" w:line="252" w:lineRule="auto"/>
            </w:pPr>
            <w:r>
              <w:rPr>
                <w:rFonts w:ascii="Calibri" w:hAnsi="Calibri"/>
                <w:color w:val="202A35"/>
                <w:sz w:val="18"/>
              </w:rPr>
              <w:t>Definite bug</w:t>
            </w:r>
          </w:p>
        </w:tc>
        <w:tc>
          <w:tcPr>
            <w:tcW w:type="dxa" w:w="3096"/>
            <w:tcMar>
              <w:top w:w="80" w:type="dxa"/>
              <w:start w:w="120" w:type="dxa"/>
              <w:bottom w:w="80" w:type="dxa"/>
              <w:end w:w="120" w:type="dxa"/>
            </w:tcMar>
            <w:vAlign w:val="center"/>
          </w:tcPr>
          <w:p>
            <w:pPr>
              <w:spacing w:before="0" w:after="0" w:line="252" w:lineRule="auto"/>
            </w:pPr>
            <w:r>
              <w:rPr>
                <w:rFonts w:ascii="Calibri" w:hAnsi="Calibri"/>
                <w:color w:val="202A35"/>
                <w:sz w:val="18"/>
              </w:rPr>
              <w:t>Correct before trusting coherent=True</w:t>
            </w:r>
          </w:p>
        </w:tc>
      </w:tr>
      <w:tr>
        <w:tc>
          <w:tcPr>
            <w:tcW w:type="dxa" w:w="936"/>
            <w:shd w:fill="FAFBFC"/>
            <w:tcMar>
              <w:top w:w="80" w:type="dxa"/>
              <w:start w:w="120" w:type="dxa"/>
              <w:bottom w:w="80" w:type="dxa"/>
              <w:end w:w="120" w:type="dxa"/>
            </w:tcMar>
            <w:vAlign w:val="center"/>
          </w:tcPr>
          <w:p>
            <w:pPr>
              <w:spacing w:before="0" w:after="0" w:line="252" w:lineRule="auto"/>
            </w:pPr>
            <w:r>
              <w:rPr>
                <w:rFonts w:ascii="Calibri" w:hAnsi="Calibri"/>
                <w:color w:val="202A35"/>
                <w:sz w:val="18"/>
              </w:rPr>
              <w:t>P0</w:t>
            </w:r>
          </w:p>
        </w:tc>
        <w:tc>
          <w:tcPr>
            <w:tcW w:type="dxa" w:w="3672"/>
            <w:shd w:fill="FAFBFC"/>
            <w:tcMar>
              <w:top w:w="80" w:type="dxa"/>
              <w:start w:w="120" w:type="dxa"/>
              <w:bottom w:w="80" w:type="dxa"/>
              <w:end w:w="120" w:type="dxa"/>
            </w:tcMar>
            <w:vAlign w:val="center"/>
          </w:tcPr>
          <w:p>
            <w:pPr>
              <w:spacing w:before="0" w:after="0" w:line="252" w:lineRule="auto"/>
            </w:pPr>
            <w:r>
              <w:rPr>
                <w:rFonts w:ascii="Calibri" w:hAnsi="Calibri"/>
                <w:color w:val="202A35"/>
                <w:sz w:val="18"/>
              </w:rPr>
              <w:t>Cutoff-crossing flight is retained at full length</w:t>
            </w:r>
          </w:p>
        </w:tc>
        <w:tc>
          <w:tcPr>
            <w:tcW w:type="dxa" w:w="1656"/>
            <w:shd w:fill="FAFBFC"/>
            <w:tcMar>
              <w:top w:w="80" w:type="dxa"/>
              <w:start w:w="120" w:type="dxa"/>
              <w:bottom w:w="80" w:type="dxa"/>
              <w:end w:w="120" w:type="dxa"/>
            </w:tcMar>
            <w:vAlign w:val="center"/>
          </w:tcPr>
          <w:p>
            <w:pPr>
              <w:spacing w:before="0" w:after="0" w:line="252" w:lineRule="auto"/>
            </w:pPr>
            <w:r>
              <w:rPr>
                <w:rFonts w:ascii="Calibri" w:hAnsi="Calibri"/>
                <w:color w:val="202A35"/>
                <w:sz w:val="18"/>
              </w:rPr>
              <w:t>Definite bug</w:t>
            </w:r>
          </w:p>
        </w:tc>
        <w:tc>
          <w:tcPr>
            <w:tcW w:type="dxa" w:w="3096"/>
            <w:shd w:fill="FAFBFC"/>
            <w:tcMar>
              <w:top w:w="80" w:type="dxa"/>
              <w:start w:w="120" w:type="dxa"/>
              <w:bottom w:w="80" w:type="dxa"/>
              <w:end w:w="120" w:type="dxa"/>
            </w:tcMar>
            <w:vAlign w:val="center"/>
          </w:tcPr>
          <w:p>
            <w:pPr>
              <w:spacing w:before="0" w:after="0" w:line="252" w:lineRule="auto"/>
            </w:pPr>
            <w:r>
              <w:rPr>
                <w:rFonts w:ascii="Calibri" w:hAnsi="Calibri"/>
                <w:color w:val="202A35"/>
                <w:sz w:val="18"/>
              </w:rPr>
              <w:t>Truncate at E = E_cut</w:t>
            </w:r>
          </w:p>
        </w:tc>
      </w:tr>
      <w:tr>
        <w:tc>
          <w:tcPr>
            <w:tcW w:type="dxa" w:w="936"/>
            <w:tcMar>
              <w:top w:w="80" w:type="dxa"/>
              <w:start w:w="120" w:type="dxa"/>
              <w:bottom w:w="80" w:type="dxa"/>
              <w:end w:w="120" w:type="dxa"/>
            </w:tcMar>
            <w:vAlign w:val="center"/>
          </w:tcPr>
          <w:p>
            <w:pPr>
              <w:spacing w:before="0" w:after="0" w:line="252" w:lineRule="auto"/>
            </w:pPr>
            <w:r>
              <w:rPr>
                <w:rFonts w:ascii="Calibri" w:hAnsi="Calibri"/>
                <w:color w:val="202A35"/>
                <w:sz w:val="18"/>
              </w:rPr>
              <w:t>P0</w:t>
            </w:r>
          </w:p>
        </w:tc>
        <w:tc>
          <w:tcPr>
            <w:tcW w:type="dxa" w:w="3672"/>
            <w:tcMar>
              <w:top w:w="80" w:type="dxa"/>
              <w:start w:w="120" w:type="dxa"/>
              <w:bottom w:w="80" w:type="dxa"/>
              <w:end w:w="120" w:type="dxa"/>
            </w:tcMar>
            <w:vAlign w:val="center"/>
          </w:tcPr>
          <w:p>
            <w:pPr>
              <w:spacing w:before="0" w:after="0" w:line="252" w:lineRule="auto"/>
            </w:pPr>
            <w:r>
              <w:rPr>
                <w:rFonts w:ascii="Calibri" w:hAnsi="Calibri"/>
                <w:color w:val="202A35"/>
                <w:sz w:val="18"/>
              </w:rPr>
              <w:t>max_steps exhaustion appears as n_stopped</w:t>
            </w:r>
          </w:p>
        </w:tc>
        <w:tc>
          <w:tcPr>
            <w:tcW w:type="dxa" w:w="1656"/>
            <w:tcMar>
              <w:top w:w="80" w:type="dxa"/>
              <w:start w:w="120" w:type="dxa"/>
              <w:bottom w:w="80" w:type="dxa"/>
              <w:end w:w="120" w:type="dxa"/>
            </w:tcMar>
            <w:vAlign w:val="center"/>
          </w:tcPr>
          <w:p>
            <w:pPr>
              <w:spacing w:before="0" w:after="0" w:line="252" w:lineRule="auto"/>
            </w:pPr>
            <w:r>
              <w:rPr>
                <w:rFonts w:ascii="Calibri" w:hAnsi="Calibri"/>
                <w:color w:val="202A35"/>
                <w:sz w:val="18"/>
              </w:rPr>
              <w:t>Definite bug</w:t>
            </w:r>
          </w:p>
        </w:tc>
        <w:tc>
          <w:tcPr>
            <w:tcW w:type="dxa" w:w="3096"/>
            <w:tcMar>
              <w:top w:w="80" w:type="dxa"/>
              <w:start w:w="120" w:type="dxa"/>
              <w:bottom w:w="80" w:type="dxa"/>
              <w:end w:w="120" w:type="dxa"/>
            </w:tcMar>
            <w:vAlign w:val="center"/>
          </w:tcPr>
          <w:p>
            <w:pPr>
              <w:spacing w:before="0" w:after="0" w:line="252" w:lineRule="auto"/>
            </w:pPr>
            <w:r>
              <w:rPr>
                <w:rFonts w:ascii="Calibri" w:hAnsi="Calibri"/>
                <w:color w:val="202A35"/>
                <w:sz w:val="18"/>
              </w:rPr>
              <w:t>Raise or report n_step_limited</w:t>
            </w:r>
          </w:p>
        </w:tc>
      </w:tr>
      <w:tr>
        <w:tc>
          <w:tcPr>
            <w:tcW w:type="dxa" w:w="936"/>
            <w:shd w:fill="FAFBFC"/>
            <w:tcMar>
              <w:top w:w="80" w:type="dxa"/>
              <w:start w:w="120" w:type="dxa"/>
              <w:bottom w:w="80" w:type="dxa"/>
              <w:end w:w="120" w:type="dxa"/>
            </w:tcMar>
            <w:vAlign w:val="center"/>
          </w:tcPr>
          <w:p>
            <w:pPr>
              <w:spacing w:before="0" w:after="0" w:line="252" w:lineRule="auto"/>
            </w:pPr>
            <w:r>
              <w:rPr>
                <w:rFonts w:ascii="Calibri" w:hAnsi="Calibri"/>
                <w:color w:val="202A35"/>
                <w:sz w:val="18"/>
              </w:rPr>
              <w:t>P1</w:t>
            </w:r>
          </w:p>
        </w:tc>
        <w:tc>
          <w:tcPr>
            <w:tcW w:type="dxa" w:w="3672"/>
            <w:shd w:fill="FAFBFC"/>
            <w:tcMar>
              <w:top w:w="80" w:type="dxa"/>
              <w:start w:w="120" w:type="dxa"/>
              <w:bottom w:w="80" w:type="dxa"/>
              <w:end w:w="120" w:type="dxa"/>
            </w:tcMar>
            <w:vAlign w:val="center"/>
          </w:tcPr>
          <w:p>
            <w:pPr>
              <w:spacing w:before="0" w:after="0" w:line="252" w:lineRule="auto"/>
            </w:pPr>
            <w:r>
              <w:rPr>
                <w:rFonts w:ascii="Calibri" w:hAnsi="Calibri"/>
                <w:color w:val="202A35"/>
                <w:sz w:val="18"/>
              </w:rPr>
              <w:t>Browning total used from 30 to 300 keV</w:t>
            </w:r>
          </w:p>
        </w:tc>
        <w:tc>
          <w:tcPr>
            <w:tcW w:type="dxa" w:w="1656"/>
            <w:shd w:fill="FAFBFC"/>
            <w:tcMar>
              <w:top w:w="80" w:type="dxa"/>
              <w:start w:w="120" w:type="dxa"/>
              <w:bottom w:w="80" w:type="dxa"/>
              <w:end w:w="120" w:type="dxa"/>
            </w:tcMar>
            <w:vAlign w:val="center"/>
          </w:tcPr>
          <w:p>
            <w:pPr>
              <w:spacing w:before="0" w:after="0" w:line="252" w:lineRule="auto"/>
            </w:pPr>
            <w:r>
              <w:rPr>
                <w:rFonts w:ascii="Calibri" w:hAnsi="Calibri"/>
                <w:color w:val="202A35"/>
                <w:sz w:val="18"/>
              </w:rPr>
              <w:t>Out of range</w:t>
            </w:r>
          </w:p>
        </w:tc>
        <w:tc>
          <w:tcPr>
            <w:tcW w:type="dxa" w:w="3096"/>
            <w:shd w:fill="FAFBFC"/>
            <w:tcMar>
              <w:top w:w="80" w:type="dxa"/>
              <w:start w:w="120" w:type="dxa"/>
              <w:bottom w:w="80" w:type="dxa"/>
              <w:end w:w="120" w:type="dxa"/>
            </w:tcMar>
            <w:vAlign w:val="center"/>
          </w:tcPr>
          <w:p>
            <w:pPr>
              <w:spacing w:before="0" w:after="0" w:line="252" w:lineRule="auto"/>
            </w:pPr>
            <w:r>
              <w:rPr>
                <w:rFonts w:ascii="Calibri" w:hAnsi="Calibri"/>
                <w:color w:val="202A35"/>
                <w:sz w:val="18"/>
              </w:rPr>
              <w:t>Use NIST total elastic tables</w:t>
            </w:r>
          </w:p>
        </w:tc>
      </w:tr>
      <w:tr>
        <w:tc>
          <w:tcPr>
            <w:tcW w:type="dxa" w:w="936"/>
            <w:tcMar>
              <w:top w:w="80" w:type="dxa"/>
              <w:start w:w="120" w:type="dxa"/>
              <w:bottom w:w="80" w:type="dxa"/>
              <w:end w:w="120" w:type="dxa"/>
            </w:tcMar>
            <w:vAlign w:val="center"/>
          </w:tcPr>
          <w:p>
            <w:pPr>
              <w:spacing w:before="0" w:after="0" w:line="252" w:lineRule="auto"/>
            </w:pPr>
            <w:r>
              <w:rPr>
                <w:rFonts w:ascii="Calibri" w:hAnsi="Calibri"/>
                <w:color w:val="202A35"/>
                <w:sz w:val="18"/>
              </w:rPr>
              <w:t>P1</w:t>
            </w:r>
          </w:p>
        </w:tc>
        <w:tc>
          <w:tcPr>
            <w:tcW w:type="dxa" w:w="3672"/>
            <w:tcMar>
              <w:top w:w="80" w:type="dxa"/>
              <w:start w:w="120" w:type="dxa"/>
              <w:bottom w:w="80" w:type="dxa"/>
              <w:end w:w="120" w:type="dxa"/>
            </w:tcMar>
            <w:vAlign w:val="center"/>
          </w:tcPr>
          <w:p>
            <w:pPr>
              <w:spacing w:before="0" w:after="0" w:line="252" w:lineRule="auto"/>
            </w:pPr>
            <w:r>
              <w:rPr>
                <w:rFonts w:ascii="Calibri" w:hAnsi="Calibri"/>
                <w:color w:val="202A35"/>
                <w:sz w:val="18"/>
              </w:rPr>
              <w:t>No energy-loss or resonance-drift control</w:t>
            </w:r>
          </w:p>
        </w:tc>
        <w:tc>
          <w:tcPr>
            <w:tcW w:type="dxa" w:w="1656"/>
            <w:tcMar>
              <w:top w:w="80" w:type="dxa"/>
              <w:start w:w="120" w:type="dxa"/>
              <w:bottom w:w="80" w:type="dxa"/>
              <w:end w:w="120" w:type="dxa"/>
            </w:tcMar>
            <w:vAlign w:val="center"/>
          </w:tcPr>
          <w:p>
            <w:pPr>
              <w:spacing w:before="0" w:after="0" w:line="252" w:lineRule="auto"/>
            </w:pPr>
            <w:r>
              <w:rPr>
                <w:rFonts w:ascii="Calibri" w:hAnsi="Calibri"/>
                <w:color w:val="202A35"/>
                <w:sz w:val="18"/>
              </w:rPr>
              <w:t>Uncontrolled</w:t>
            </w:r>
          </w:p>
        </w:tc>
        <w:tc>
          <w:tcPr>
            <w:tcW w:type="dxa" w:w="3096"/>
            <w:tcMar>
              <w:top w:w="80" w:type="dxa"/>
              <w:start w:w="120" w:type="dxa"/>
              <w:bottom w:w="80" w:type="dxa"/>
              <w:end w:w="120" w:type="dxa"/>
            </w:tcMar>
            <w:vAlign w:val="center"/>
          </w:tcPr>
          <w:p>
            <w:pPr>
              <w:spacing w:before="0" w:after="0" w:line="252" w:lineRule="auto"/>
            </w:pPr>
            <w:r>
              <w:rPr>
                <w:rFonts w:ascii="Calibri" w:hAnsi="Calibri"/>
                <w:color w:val="202A35"/>
                <w:sz w:val="18"/>
              </w:rPr>
              <w:t>Add midpoint integration and diagnostics</w:t>
            </w:r>
          </w:p>
        </w:tc>
      </w:tr>
      <w:tr>
        <w:tc>
          <w:tcPr>
            <w:tcW w:type="dxa" w:w="936"/>
            <w:shd w:fill="FAFBFC"/>
            <w:tcMar>
              <w:top w:w="80" w:type="dxa"/>
              <w:start w:w="120" w:type="dxa"/>
              <w:bottom w:w="80" w:type="dxa"/>
              <w:end w:w="120" w:type="dxa"/>
            </w:tcMar>
            <w:vAlign w:val="center"/>
          </w:tcPr>
          <w:p>
            <w:pPr>
              <w:spacing w:before="0" w:after="0" w:line="252" w:lineRule="auto"/>
            </w:pPr>
            <w:r>
              <w:rPr>
                <w:rFonts w:ascii="Calibri" w:hAnsi="Calibri"/>
                <w:color w:val="202A35"/>
                <w:sz w:val="18"/>
              </w:rPr>
              <w:t>P2</w:t>
            </w:r>
          </w:p>
        </w:tc>
        <w:tc>
          <w:tcPr>
            <w:tcW w:type="dxa" w:w="3672"/>
            <w:shd w:fill="FAFBFC"/>
            <w:tcMar>
              <w:top w:w="80" w:type="dxa"/>
              <w:start w:w="120" w:type="dxa"/>
              <w:bottom w:w="80" w:type="dxa"/>
              <w:end w:w="120" w:type="dxa"/>
            </w:tcMar>
            <w:vAlign w:val="center"/>
          </w:tcPr>
          <w:p>
            <w:pPr>
              <w:spacing w:before="0" w:after="0" w:line="252" w:lineRule="auto"/>
            </w:pPr>
            <w:r>
              <w:rPr>
                <w:rFonts w:ascii="Calibri" w:hAnsi="Calibri"/>
                <w:color w:val="202A35"/>
                <w:sz w:val="18"/>
              </w:rPr>
              <w:t>One-parameter angular surrogate matches only sigma_tr</w:t>
            </w:r>
          </w:p>
        </w:tc>
        <w:tc>
          <w:tcPr>
            <w:tcW w:type="dxa" w:w="1656"/>
            <w:shd w:fill="FAFBFC"/>
            <w:tcMar>
              <w:top w:w="80" w:type="dxa"/>
              <w:start w:w="120" w:type="dxa"/>
              <w:bottom w:w="80" w:type="dxa"/>
              <w:end w:w="120" w:type="dxa"/>
            </w:tcMar>
            <w:vAlign w:val="center"/>
          </w:tcPr>
          <w:p>
            <w:pPr>
              <w:spacing w:before="0" w:after="0" w:line="252" w:lineRule="auto"/>
            </w:pPr>
            <w:r>
              <w:rPr>
                <w:rFonts w:ascii="Calibri" w:hAnsi="Calibri"/>
                <w:color w:val="202A35"/>
                <w:sz w:val="18"/>
              </w:rPr>
              <w:t>Model limitation</w:t>
            </w:r>
          </w:p>
        </w:tc>
        <w:tc>
          <w:tcPr>
            <w:tcW w:type="dxa" w:w="3096"/>
            <w:shd w:fill="FAFBFC"/>
            <w:tcMar>
              <w:top w:w="80" w:type="dxa"/>
              <w:start w:w="120" w:type="dxa"/>
              <w:bottom w:w="80" w:type="dxa"/>
              <w:end w:w="120" w:type="dxa"/>
            </w:tcMar>
            <w:vAlign w:val="center"/>
          </w:tcPr>
          <w:p>
            <w:pPr>
              <w:spacing w:before="0" w:after="0" w:line="252" w:lineRule="auto"/>
            </w:pPr>
            <w:r>
              <w:rPr>
                <w:rFonts w:ascii="Calibri" w:hAnsi="Calibri"/>
                <w:color w:val="202A35"/>
                <w:sz w:val="18"/>
              </w:rPr>
              <w:t>Use DCS CDFs or a two-moment surrogate</w:t>
            </w:r>
          </w:p>
        </w:tc>
      </w:tr>
      <w:tr>
        <w:tc>
          <w:tcPr>
            <w:tcW w:type="dxa" w:w="936"/>
            <w:tcMar>
              <w:top w:w="80" w:type="dxa"/>
              <w:start w:w="120" w:type="dxa"/>
              <w:bottom w:w="80" w:type="dxa"/>
              <w:end w:w="120" w:type="dxa"/>
            </w:tcMar>
            <w:vAlign w:val="center"/>
          </w:tcPr>
          <w:p>
            <w:pPr>
              <w:spacing w:before="0" w:after="0" w:line="252" w:lineRule="auto"/>
            </w:pPr>
            <w:r>
              <w:rPr>
                <w:rFonts w:ascii="Calibri" w:hAnsi="Calibri"/>
                <w:color w:val="202A35"/>
                <w:sz w:val="18"/>
              </w:rPr>
              <w:t>P2</w:t>
            </w:r>
          </w:p>
        </w:tc>
        <w:tc>
          <w:tcPr>
            <w:tcW w:type="dxa" w:w="3672"/>
            <w:tcMar>
              <w:top w:w="80" w:type="dxa"/>
              <w:start w:w="120" w:type="dxa"/>
              <w:bottom w:w="80" w:type="dxa"/>
              <w:end w:w="120" w:type="dxa"/>
            </w:tcMar>
            <w:vAlign w:val="center"/>
          </w:tcPr>
          <w:p>
            <w:pPr>
              <w:spacing w:before="0" w:after="0" w:line="252" w:lineRule="auto"/>
            </w:pPr>
            <w:r>
              <w:rPr>
                <w:rFonts w:ascii="Calibri" w:hAnsi="Calibri"/>
                <w:color w:val="202A35"/>
                <w:sz w:val="18"/>
              </w:rPr>
              <w:t>Joy-Luo is the sole stopping model</w:t>
            </w:r>
          </w:p>
        </w:tc>
        <w:tc>
          <w:tcPr>
            <w:tcW w:type="dxa" w:w="1656"/>
            <w:tcMar>
              <w:top w:w="80" w:type="dxa"/>
              <w:start w:w="120" w:type="dxa"/>
              <w:bottom w:w="80" w:type="dxa"/>
              <w:end w:w="120" w:type="dxa"/>
            </w:tcMar>
            <w:vAlign w:val="center"/>
          </w:tcPr>
          <w:p>
            <w:pPr>
              <w:spacing w:before="0" w:after="0" w:line="252" w:lineRule="auto"/>
            </w:pPr>
            <w:r>
              <w:rPr>
                <w:rFonts w:ascii="Calibri" w:hAnsi="Calibri"/>
                <w:color w:val="202A35"/>
                <w:sz w:val="18"/>
              </w:rPr>
              <w:t>Accuracy limitation</w:t>
            </w:r>
          </w:p>
        </w:tc>
        <w:tc>
          <w:tcPr>
            <w:tcW w:type="dxa" w:w="3096"/>
            <w:tcMar>
              <w:top w:w="80" w:type="dxa"/>
              <w:start w:w="120" w:type="dxa"/>
              <w:bottom w:w="80" w:type="dxa"/>
              <w:end w:w="120" w:type="dxa"/>
            </w:tcMar>
            <w:vAlign w:val="center"/>
          </w:tcPr>
          <w:p>
            <w:pPr>
              <w:spacing w:before="0" w:after="0" w:line="252" w:lineRule="auto"/>
            </w:pPr>
            <w:r>
              <w:rPr>
                <w:rFonts w:ascii="Calibri" w:hAnsi="Calibri"/>
                <w:color w:val="202A35"/>
                <w:sz w:val="18"/>
              </w:rPr>
              <w:t>Add tabulated collisional/radiative stopping</w:t>
            </w:r>
          </w:p>
        </w:tc>
      </w:tr>
      <w:tr>
        <w:tc>
          <w:tcPr>
            <w:tcW w:type="dxa" w:w="936"/>
            <w:shd w:fill="FAFBFC"/>
            <w:tcMar>
              <w:top w:w="80" w:type="dxa"/>
              <w:start w:w="120" w:type="dxa"/>
              <w:bottom w:w="80" w:type="dxa"/>
              <w:end w:w="120" w:type="dxa"/>
            </w:tcMar>
            <w:vAlign w:val="center"/>
          </w:tcPr>
          <w:p>
            <w:pPr>
              <w:spacing w:before="0" w:after="0" w:line="252" w:lineRule="auto"/>
            </w:pPr>
            <w:r>
              <w:rPr>
                <w:rFonts w:ascii="Calibri" w:hAnsi="Calibri"/>
                <w:color w:val="202A35"/>
                <w:sz w:val="18"/>
              </w:rPr>
              <w:t>P3</w:t>
            </w:r>
          </w:p>
        </w:tc>
        <w:tc>
          <w:tcPr>
            <w:tcW w:type="dxa" w:w="3672"/>
            <w:shd w:fill="FAFBFC"/>
            <w:tcMar>
              <w:top w:w="80" w:type="dxa"/>
              <w:start w:w="120" w:type="dxa"/>
              <w:bottom w:w="80" w:type="dxa"/>
              <w:end w:w="120" w:type="dxa"/>
            </w:tcMar>
            <w:vAlign w:val="center"/>
          </w:tcPr>
          <w:p>
            <w:pPr>
              <w:spacing w:before="0" w:after="0" w:line="252" w:lineRule="auto"/>
            </w:pPr>
            <w:r>
              <w:rPr>
                <w:rFonts w:ascii="Calibri" w:hAnsi="Calibri"/>
                <w:color w:val="202A35"/>
                <w:sz w:val="18"/>
              </w:rPr>
              <w:t>No straggling, hard inelastic events, channeling, or brem anisotropy</w:t>
            </w:r>
          </w:p>
        </w:tc>
        <w:tc>
          <w:tcPr>
            <w:tcW w:type="dxa" w:w="1656"/>
            <w:shd w:fill="FAFBFC"/>
            <w:tcMar>
              <w:top w:w="80" w:type="dxa"/>
              <w:start w:w="120" w:type="dxa"/>
              <w:bottom w:w="80" w:type="dxa"/>
              <w:end w:w="120" w:type="dxa"/>
            </w:tcMar>
            <w:vAlign w:val="center"/>
          </w:tcPr>
          <w:p>
            <w:pPr>
              <w:spacing w:before="0" w:after="0" w:line="252" w:lineRule="auto"/>
            </w:pPr>
            <w:r>
              <w:rPr>
                <w:rFonts w:ascii="Calibri" w:hAnsi="Calibri"/>
                <w:color w:val="202A35"/>
                <w:sz w:val="18"/>
              </w:rPr>
              <w:t>Scope limitation</w:t>
            </w:r>
          </w:p>
        </w:tc>
        <w:tc>
          <w:tcPr>
            <w:tcW w:type="dxa" w:w="3096"/>
            <w:shd w:fill="FAFBFC"/>
            <w:tcMar>
              <w:top w:w="80" w:type="dxa"/>
              <w:start w:w="120" w:type="dxa"/>
              <w:bottom w:w="80" w:type="dxa"/>
              <w:end w:w="120" w:type="dxa"/>
            </w:tcMar>
            <w:vAlign w:val="center"/>
          </w:tcPr>
          <w:p>
            <w:pPr>
              <w:spacing w:before="0" w:after="0" w:line="252" w:lineRule="auto"/>
            </w:pPr>
            <w:r>
              <w:rPr>
                <w:rFonts w:ascii="Calibri" w:hAnsi="Calibri"/>
                <w:color w:val="202A35"/>
                <w:sz w:val="18"/>
              </w:rPr>
              <w:t>Add selectively according to research needs</w:t>
            </w:r>
          </w:p>
        </w:tc>
      </w:tr>
    </w:tbl>
    <w:p>
      <w:pPr>
        <w:pStyle w:val="Heading2"/>
        <w:keepNext/>
      </w:pPr>
      <w:r>
        <w:t>3.1 Coherent segment timing is internally inconsistent</w:t>
      </w:r>
    </w:p>
    <w:p>
      <w:pPr>
        <w:keepLines w:val="0"/>
        <w:spacing w:before="0" w:after="120" w:line="264" w:lineRule="auto"/>
      </w:pPr>
      <w:r>
        <w:rPr>
          <w:rFonts w:ascii="Calibri" w:hAnsi="Calibri"/>
          <w:i w:val="0"/>
          <w:color w:val="202A35"/>
          <w:sz w:val="22"/>
        </w:rPr>
        <w:t>The coherent radiation path factors a centered finite-time integral at r_mid, but t_ang is explicitly the segment-start age. A centered field factor must use the time at the same midpoint as the spatial coordinate. Under the present constant-speed approximation:</w:t>
      </w:r>
    </w:p>
    <w:p>
      <w:pPr>
        <w:spacing w:before="80" w:after="160"/>
        <w:jc w:val="center"/>
      </w:pPr>
      <w:r>
        <w:rPr>
          <w:rFonts w:ascii="Cambria Math" w:hAnsi="Cambria Math"/>
          <w:i/>
          <w:color w:val="202A35"/>
          <w:sz w:val="22"/>
        </w:rPr>
        <w:t>t_mid = t_start + L / (2 beta)</w:t>
      </w:r>
    </w:p>
    <w:p>
      <w:pPr>
        <w:keepLines w:val="0"/>
        <w:spacing w:before="0" w:after="120" w:line="264" w:lineRule="auto"/>
      </w:pPr>
      <w:r>
        <w:rPr>
          <w:rFonts w:ascii="Calibri" w:hAnsi="Calibri"/>
          <w:i w:val="0"/>
          <w:color w:val="202A35"/>
          <w:sz w:val="22"/>
        </w:rPr>
        <w:t>Using t_start with r_mid introduces a segment-dependent field phase. This does not affect the default incoherent spectrum because the phase is discarded there, but it can substantially alter interference when coherent=True. The minimum correction is to form the coherent phase with t_ang + 0.5 L_ang/beta. Once variable energy is introduced, the midpoint time should instead be obtained from the integrated flight time.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CE8E6"/>
          </w:tcPr>
          <w:p>
            <w:pPr>
              <w:spacing w:before="40" w:after="40" w:line="264" w:lineRule="auto"/>
            </w:pPr>
            <w:r>
              <w:rPr>
                <w:rFonts w:ascii="Calibri" w:hAnsi="Calibri"/>
                <w:b/>
                <w:color w:val="9B1C1C"/>
                <w:sz w:val="22"/>
              </w:rPr>
              <w:t xml:space="preserve">Required regression  </w:t>
            </w:r>
            <w:r>
              <w:rPr>
                <w:rFonts w:ascii="Calibri" w:hAnsi="Calibri"/>
                <w:color w:val="202A35"/>
                <w:sz w:val="22"/>
              </w:rPr>
              <w:t>A constant-velocity physical flight must produce the same coherent field whether represented as one segment or as two numerical subsegments. This invariance test should fail before the timing fix and pass afterward.</w:t>
            </w:r>
          </w:p>
        </w:tc>
      </w:tr>
    </w:tbl>
    <w:p>
      <w:pPr>
        <w:spacing w:after="40"/>
      </w:pPr>
    </w:p>
    <w:p>
      <w:pPr>
        <w:pStyle w:val="Heading2"/>
        <w:keepNext/>
      </w:pPr>
      <w:r>
        <w:t>3.2 Cutoff-crossing flights are over-retained</w:t>
      </w:r>
    </w:p>
    <w:p>
      <w:pPr>
        <w:keepLines w:val="0"/>
        <w:spacing w:before="0" w:after="120" w:line="264" w:lineRule="auto"/>
      </w:pPr>
      <w:r>
        <w:rPr>
          <w:rFonts w:ascii="Calibri" w:hAnsi="Calibri"/>
          <w:i w:val="0"/>
          <w:color w:val="202A35"/>
          <w:sz w:val="22"/>
        </w:rPr>
        <w:t>Transport records the segment before checking whether its endpoint fell below E_cut. Because the stored E_keV is the start energy, a segment beginning above the cutoff passes the spectrum-side E_keV &gt;= E_cut filter even if much of its length lies below the cutoff. The statement in spectrum.py that the straddling segment is dropped whole does not match the implementation; it is kept whole.</w:t>
      </w:r>
    </w:p>
    <w:p>
      <w:pPr>
        <w:keepLines w:val="0"/>
        <w:spacing w:before="0" w:after="120" w:line="264" w:lineRule="auto"/>
      </w:pPr>
      <w:r>
        <w:rPr>
          <w:rFonts w:ascii="Calibri" w:hAnsi="Calibri"/>
          <w:i w:val="0"/>
          <w:color w:val="202A35"/>
          <w:sz w:val="22"/>
        </w:rPr>
        <w:t>The final material path should be truncated at the distance s_cut satisfying E(s_cut) = E_cut. A first estimate is:</w:t>
      </w:r>
    </w:p>
    <w:p>
      <w:pPr>
        <w:spacing w:before="80" w:after="160"/>
        <w:jc w:val="center"/>
      </w:pPr>
      <w:r>
        <w:rPr>
          <w:rFonts w:ascii="Cambria Math" w:hAnsi="Cambria Math"/>
          <w:i/>
          <w:color w:val="202A35"/>
          <w:sz w:val="22"/>
        </w:rPr>
        <w:t>s_cut = (E0 - E_cut) / |S(E0)|</w:t>
      </w:r>
    </w:p>
    <w:p>
      <w:pPr>
        <w:keepLines w:val="0"/>
        <w:spacing w:before="0" w:after="120" w:line="264" w:lineRule="auto"/>
      </w:pPr>
      <w:r>
        <w:rPr>
          <w:rFonts w:ascii="Calibri" w:hAnsi="Calibri"/>
          <w:i w:val="0"/>
          <w:color w:val="202A35"/>
          <w:sz w:val="22"/>
        </w:rPr>
        <w:t>A midpoint or short iterative solve should replace that expression once the stopping integrator is improved. Inputs should also enforce 0 &lt; E_cut &lt; E0; otherwise an electron initialized below its cutoff can still emit one segment.</w:t>
      </w:r>
    </w:p>
    <w:p>
      <w:pPr>
        <w:pStyle w:val="Heading2"/>
        <w:keepNext/>
      </w:pPr>
      <w:r>
        <w:t>3.3 The energy approximation needs an explicit error budget</w:t>
      </w:r>
    </w:p>
    <w:p>
      <w:pPr>
        <w:keepLines w:val="0"/>
        <w:spacing w:before="0" w:after="120" w:line="264" w:lineRule="auto"/>
      </w:pPr>
      <w:r>
        <w:rPr>
          <w:rFonts w:ascii="Calibri" w:hAnsi="Calibri"/>
          <w:i w:val="0"/>
          <w:color w:val="202A35"/>
          <w:sz w:val="22"/>
        </w:rPr>
        <w:t>Freezing E, beta, stopping power, and the elastic rate at the start of a flight is a left-endpoint integration rule. It is plausibly small for many ordinary flights above a few keV, especially in materials with short elastic mean free paths, but the exponential flight distribution always contains a long-distance tail. There is presently no cap, warning, or post-run estimate showing that those tail flights are harmless.</w:t>
      </w:r>
    </w:p>
    <w:p>
      <w:pPr>
        <w:pStyle w:val="ListBullet"/>
        <w:spacing w:after="160" w:line="280" w:lineRule="auto"/>
        <w:ind w:left="720" w:hanging="360"/>
      </w:pPr>
      <w:r>
        <w:rPr>
          <w:rFonts w:ascii="Calibri" w:hAnsi="Calibri"/>
          <w:color w:val="202A35"/>
          <w:sz w:val="22"/>
        </w:rPr>
        <w:t>Stopping generally strengthens as the electron slows in this range, so evaluating S only at E0 tends to understate the loss over a long flight until an abrupt overshoot occurs near the cutoff.</w:t>
      </w:r>
    </w:p>
    <w:p>
      <w:pPr>
        <w:pStyle w:val="ListBullet"/>
        <w:spacing w:after="160" w:line="280" w:lineRule="auto"/>
        <w:ind w:left="720" w:hanging="360"/>
      </w:pPr>
      <w:r>
        <w:rPr>
          <w:rFonts w:ascii="Calibri" w:hAnsi="Calibri"/>
          <w:color w:val="202A35"/>
          <w:sz w:val="22"/>
        </w:rPr>
        <w:t>The collision hazard Sigma_el(E) also changes while the electron slows, but the sampled distance assumes it remains Sigma_el(E0).</w:t>
      </w:r>
    </w:p>
    <w:p>
      <w:pPr>
        <w:pStyle w:val="ListBullet"/>
        <w:spacing w:after="160" w:line="280" w:lineRule="auto"/>
        <w:ind w:left="720" w:hanging="360"/>
      </w:pPr>
      <w:r>
        <w:rPr>
          <w:rFonts w:ascii="Calibri" w:hAnsi="Calibri"/>
          <w:color w:val="202A35"/>
          <w:sz w:val="22"/>
        </w:rPr>
        <w:t>The collision atom is selected using start-energy rates while its angular law is evaluated at endpoint energy, making one event internally mixed in energy.</w:t>
      </w:r>
    </w:p>
    <w:p>
      <w:pPr>
        <w:pStyle w:val="ListBullet"/>
        <w:spacing w:after="160" w:line="280" w:lineRule="auto"/>
        <w:ind w:left="720" w:hanging="360"/>
      </w:pPr>
      <w:r>
        <w:rPr>
          <w:rFonts w:ascii="Calibri" w:hAnsi="Calibri"/>
          <w:color w:val="202A35"/>
          <w:sz w:val="22"/>
        </w:rPr>
        <w:t>The start-speed clock underestimates flight time when beta decreases; accumulated timing error is especially consequential for coherent x-ray phases.</w:t>
      </w:r>
    </w:p>
    <w:p>
      <w:pPr>
        <w:pStyle w:val="Heading2"/>
        <w:keepNext/>
      </w:pPr>
      <w:r>
        <w:t>3.4 The elastic model overstates its Mott fidelity</w:t>
      </w:r>
    </w:p>
    <w:p>
      <w:pPr>
        <w:keepLines w:val="0"/>
        <w:spacing w:before="0" w:after="120" w:line="264" w:lineRule="auto"/>
      </w:pPr>
      <w:r>
        <w:rPr>
          <w:rFonts w:ascii="Calibri" w:hAnsi="Calibri"/>
          <w:i w:val="0"/>
          <w:color w:val="202A35"/>
          <w:sz w:val="22"/>
        </w:rPr>
        <w:t>In mott mode, the collision frequency still comes from the Browning empirical total cross section. That fit is documented in both the code and the original paper as valid from 0.1 to 30 keV, yet it is extrapolated throughout the intended 1-300 keV range. The NIST transport table is used only to calibrate the first angular moment of a screened-Rutherford distribution.</w:t>
      </w:r>
    </w:p>
    <w:p>
      <w:pPr>
        <w:keepLines w:val="0"/>
        <w:spacing w:before="0" w:after="120" w:line="264" w:lineRule="auto"/>
      </w:pPr>
      <w:r>
        <w:rPr>
          <w:rFonts w:ascii="Calibri" w:hAnsi="Calibri"/>
          <w:i w:val="0"/>
          <w:color w:val="202A35"/>
          <w:sz w:val="22"/>
        </w:rPr>
        <w:t>When clipping is inactive, this construction enforces sigma_el &lt;1-cos(theta)&gt; = sigma_tr. It does not reproduce the full Mott differential cross section, higher angular moments, or the large-angle/backscatter tail. Moreover, the calibration ratio uses the extrapolated Browning sigma_el above 30 keV. NIST SRD 64 already supplies relativistic differential, total, and transport elastic cross sections from 50 eV to 300 keV, so the present hybrid is avoidable.</w:t>
      </w:r>
    </w:p>
    <w:p>
      <w:pPr>
        <w:pStyle w:val="ListBullet"/>
        <w:spacing w:after="160" w:line="280" w:lineRule="auto"/>
        <w:ind w:left="720" w:hanging="360"/>
      </w:pPr>
      <w:r>
        <w:rPr>
          <w:rFonts w:ascii="Calibri" w:hAnsi="Calibri"/>
          <w:color w:val="202A35"/>
          <w:sz w:val="22"/>
        </w:rPr>
        <w:t>Replace the Browning total with the NIST total elastic cross-section table in mott mode.</w:t>
      </w:r>
    </w:p>
    <w:p>
      <w:pPr>
        <w:pStyle w:val="ListBullet"/>
        <w:spacing w:after="160" w:line="280" w:lineRule="auto"/>
        <w:ind w:left="720" w:hanging="360"/>
      </w:pPr>
      <w:r>
        <w:rPr>
          <w:rFonts w:ascii="Calibri" w:hAnsi="Calibri"/>
          <w:color w:val="202A35"/>
          <w:sz w:val="22"/>
        </w:rPr>
        <w:t>Prefer direct sampling from tabulated differential-cross-section CDFs. If storage or speed is prohibitive, fit a surrogate constrained by at least two transport moments and backscatter behavior.</w:t>
      </w:r>
    </w:p>
    <w:p>
      <w:pPr>
        <w:pStyle w:val="ListBullet"/>
        <w:spacing w:after="160" w:line="280" w:lineRule="auto"/>
        <w:ind w:left="720" w:hanging="360"/>
      </w:pPr>
      <w:r>
        <w:rPr>
          <w:rFonts w:ascii="Calibri" w:hAnsi="Calibri"/>
          <w:color w:val="202A35"/>
          <w:sz w:val="22"/>
        </w:rPr>
        <w:t>Record every instance where sigma_tr/sigma_el is clipped; silent clipping invalidates the claimed moment match.</w:t>
      </w:r>
    </w:p>
    <w:p>
      <w:pPr>
        <w:pStyle w:val="ListBullet"/>
        <w:spacing w:after="160" w:line="280" w:lineRule="auto"/>
        <w:ind w:left="720" w:hanging="360"/>
      </w:pPr>
      <w:r>
        <w:rPr>
          <w:rFonts w:ascii="Calibri" w:hAnsi="Calibri"/>
          <w:color w:val="202A35"/>
          <w:sz w:val="22"/>
        </w:rPr>
        <w:t>Make missing Mott data an error by default. A fallback should require an explicit allow_elastic_fallback option and should be reported in the result metadata.</w:t>
      </w:r>
    </w:p>
    <w:p>
      <w:pPr>
        <w:pStyle w:val="Heading2"/>
        <w:keepNext/>
      </w:pPr>
      <w:r>
        <w:t>3.5 Joy-Luo is a useful fallback, not a reference stopping model</w:t>
      </w:r>
    </w:p>
    <w:p>
      <w:pPr>
        <w:keepLines w:val="0"/>
        <w:spacing w:before="0" w:after="120" w:line="264" w:lineRule="auto"/>
      </w:pPr>
      <w:r>
        <w:rPr>
          <w:rFonts w:ascii="Calibri" w:hAnsi="Calibri"/>
          <w:i w:val="0"/>
          <w:color w:val="202A35"/>
          <w:sz w:val="22"/>
        </w:rPr>
        <w:t>The Joy-Luo modified Bethe expression and elemental Bragg additivity are defensible for a lightweight SEM-style CSDA. The compound coefficient conversion appears dimensionally consistent. However, one analytic expression does not provide a high-confidence basis across 1-300 keV and all materials because it simplifies shell, exchange, relativistic, condensed-phase, and radiative corrections.</w:t>
      </w:r>
    </w:p>
    <w:p>
      <w:pPr>
        <w:keepLines w:val="0"/>
        <w:spacing w:before="0" w:after="120" w:line="264" w:lineRule="auto"/>
      </w:pPr>
      <w:r>
        <w:rPr>
          <w:rFonts w:ascii="Calibri" w:hAnsi="Calibri"/>
          <w:i w:val="0"/>
          <w:color w:val="202A35"/>
          <w:sz w:val="22"/>
        </w:rPr>
        <w:t>A pure-Python runtime does not require retaining this approximation as the default. Total, collisional, and radiative stopping tables can be generated once from ESTAR, PENELOPE, or a corrected-Bethe tool such as sbethe, committed to the package, and interpolated inside Numba. ESTAR is useful above roughly 10 keV but its own documentation warns of growing low-energy uncertainty; the 1-10 keV region should therefore be cross-checked against PENELOPE-style material data rather than treated as solved by ESTAR alone.</w:t>
      </w:r>
    </w:p>
    <w:p>
      <w:pPr>
        <w:pStyle w:val="Heading2"/>
        <w:keepNext/>
      </w:pPr>
      <w:r>
        <w:t>3.6 max_steps is a computational condition, not a stopping process</w:t>
      </w:r>
    </w:p>
    <w:p>
      <w:pPr>
        <w:keepLines w:val="0"/>
        <w:spacing w:before="0" w:after="120" w:line="264" w:lineRule="auto"/>
      </w:pPr>
      <w:r>
        <w:rPr>
          <w:rFonts w:ascii="Calibri" w:hAnsi="Calibri"/>
          <w:i w:val="0"/>
          <w:color w:val="202A35"/>
          <w:sz w:val="22"/>
        </w:rPr>
        <w:t>If the ungrooved outer loop reaches max_steps with electrons still alive, the function returns normally. The final diagnostic computes n_stopped by subtraction, so all step-limited electrons are mislabeled as physically stopped. The grooved path has the same conceptual problem.</w:t>
      </w:r>
    </w:p>
    <w:p>
      <w:pPr>
        <w:pStyle w:val="ListBullet"/>
        <w:spacing w:after="160" w:line="280" w:lineRule="auto"/>
        <w:ind w:left="720" w:hanging="360"/>
      </w:pPr>
      <w:r>
        <w:rPr>
          <w:rFonts w:ascii="Calibri" w:hAnsi="Calibri"/>
          <w:color w:val="202A35"/>
          <w:sz w:val="22"/>
        </w:rPr>
        <w:t>Return separate n_cutoff_stopped and n_step_limited counts.</w:t>
      </w:r>
    </w:p>
    <w:p>
      <w:pPr>
        <w:pStyle w:val="ListBullet"/>
        <w:spacing w:after="160" w:line="280" w:lineRule="auto"/>
        <w:ind w:left="720" w:hanging="360"/>
      </w:pPr>
      <w:r>
        <w:rPr>
          <w:rFonts w:ascii="Calibri" w:hAnsi="Calibri"/>
          <w:color w:val="202A35"/>
          <w:sz w:val="22"/>
        </w:rPr>
        <w:t>Raise by default when n_step_limited &gt; 0; allow incomplete trajectories only under an explicit permissive option.</w:t>
      </w:r>
    </w:p>
    <w:p>
      <w:pPr>
        <w:pStyle w:val="ListBullet"/>
        <w:spacing w:after="160" w:line="280" w:lineRule="auto"/>
        <w:ind w:left="720" w:hanging="360"/>
      </w:pPr>
      <w:r>
        <w:rPr>
          <w:rFonts w:ascii="Calibri" w:hAnsi="Calibri"/>
          <w:color w:val="202A35"/>
          <w:sz w:val="22"/>
        </w:rPr>
        <w:t>Include the maximum event count and termination reason per electron in debug or validation outputs.</w:t>
      </w:r>
    </w:p>
    <w:p>
      <w:pPr>
        <w:pStyle w:val="Heading1"/>
        <w:keepNext/>
      </w:pPr>
      <w:r>
        <w:t>4. Recommended transport and radiation data model</w:t>
      </w:r>
    </w:p>
    <w:p>
      <w:pPr>
        <w:keepLines w:val="0"/>
        <w:spacing w:before="0" w:after="120" w:line="264" w:lineRule="auto"/>
      </w:pPr>
      <w:r>
        <w:rPr>
          <w:rFonts w:ascii="Calibri" w:hAnsi="Calibri"/>
          <w:i w:val="0"/>
          <w:color w:val="202A35"/>
          <w:sz w:val="22"/>
        </w:rPr>
        <w:t>The key architectural change is to distinguish a physical straight flight from a numerical energy-integration substep. Without that distinction, improving energy integration can accidentally change radiation coherence and line width.</w:t>
      </w:r>
    </w:p>
    <w:p>
      <w:pPr>
        <w:pStyle w:val="Heading2"/>
        <w:keepNext/>
      </w:pPr>
      <w:r>
        <w:t>4.1 Three levels of identity</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1800"/>
            <w:shd w:fill="E8EEF5"/>
            <w:tcMar>
              <w:top w:w="80" w:type="dxa"/>
              <w:start w:w="120" w:type="dxa"/>
              <w:bottom w:w="80" w:type="dxa"/>
              <w:end w:w="120" w:type="dxa"/>
            </w:tcMar>
            <w:vAlign w:val="center"/>
          </w:tcPr>
          <w:p>
            <w:pPr>
              <w:spacing w:before="0" w:after="0"/>
              <w:jc w:val="left"/>
            </w:pPr>
            <w:r>
              <w:rPr>
                <w:rFonts w:ascii="Calibri" w:hAnsi="Calibri"/>
                <w:b/>
                <w:color w:val="1F4D78"/>
                <w:sz w:val="19"/>
              </w:rPr>
              <w:t>Identifier</w:t>
            </w:r>
          </w:p>
        </w:tc>
        <w:tc>
          <w:tcPr>
            <w:tcW w:type="dxa" w:w="3528"/>
            <w:shd w:fill="E8EEF5"/>
            <w:tcMar>
              <w:top w:w="80" w:type="dxa"/>
              <w:start w:w="120" w:type="dxa"/>
              <w:bottom w:w="80" w:type="dxa"/>
              <w:end w:w="120" w:type="dxa"/>
            </w:tcMar>
            <w:vAlign w:val="center"/>
          </w:tcPr>
          <w:p>
            <w:pPr>
              <w:spacing w:before="0" w:after="0"/>
              <w:jc w:val="left"/>
            </w:pPr>
            <w:r>
              <w:rPr>
                <w:rFonts w:ascii="Calibri" w:hAnsi="Calibri"/>
                <w:b/>
                <w:color w:val="1F4D78"/>
                <w:sz w:val="19"/>
              </w:rPr>
              <w:t>Meaning</w:t>
            </w:r>
          </w:p>
        </w:tc>
        <w:tc>
          <w:tcPr>
            <w:tcW w:type="dxa" w:w="4032"/>
            <w:shd w:fill="E8EEF5"/>
            <w:tcMar>
              <w:top w:w="80" w:type="dxa"/>
              <w:start w:w="120" w:type="dxa"/>
              <w:bottom w:w="80" w:type="dxa"/>
              <w:end w:w="120" w:type="dxa"/>
            </w:tcMar>
            <w:vAlign w:val="center"/>
          </w:tcPr>
          <w:p>
            <w:pPr>
              <w:spacing w:before="0" w:after="0"/>
              <w:jc w:val="left"/>
            </w:pPr>
            <w:r>
              <w:rPr>
                <w:rFonts w:ascii="Calibri" w:hAnsi="Calibri"/>
                <w:b/>
                <w:color w:val="1F4D78"/>
                <w:sz w:val="19"/>
              </w:rPr>
              <w:t>Radiation role</w:t>
            </w:r>
          </w:p>
        </w:tc>
      </w:tr>
      <w:tr>
        <w:tc>
          <w:tcPr>
            <w:tcW w:type="dxa" w:w="1800"/>
            <w:tcMar>
              <w:top w:w="80" w:type="dxa"/>
              <w:start w:w="120" w:type="dxa"/>
              <w:bottom w:w="80" w:type="dxa"/>
              <w:end w:w="120" w:type="dxa"/>
            </w:tcMar>
            <w:vAlign w:val="center"/>
          </w:tcPr>
          <w:p>
            <w:pPr>
              <w:spacing w:before="0" w:after="0" w:line="252" w:lineRule="auto"/>
            </w:pPr>
            <w:r>
              <w:rPr>
                <w:rFonts w:ascii="Calibri" w:hAnsi="Calibri"/>
                <w:color w:val="202A35"/>
                <w:sz w:val="18"/>
              </w:rPr>
              <w:t>electron_id</w:t>
            </w:r>
          </w:p>
        </w:tc>
        <w:tc>
          <w:tcPr>
            <w:tcW w:type="dxa" w:w="3528"/>
            <w:tcMar>
              <w:top w:w="80" w:type="dxa"/>
              <w:start w:w="120" w:type="dxa"/>
              <w:bottom w:w="80" w:type="dxa"/>
              <w:end w:w="120" w:type="dxa"/>
            </w:tcMar>
            <w:vAlign w:val="center"/>
          </w:tcPr>
          <w:p>
            <w:pPr>
              <w:spacing w:before="0" w:after="0" w:line="252" w:lineRule="auto"/>
            </w:pPr>
            <w:r>
              <w:rPr>
                <w:rFonts w:ascii="Calibri" w:hAnsi="Calibri"/>
                <w:color w:val="202A35"/>
                <w:sz w:val="18"/>
              </w:rPr>
              <w:t>Complete trajectory</w:t>
            </w:r>
          </w:p>
        </w:tc>
        <w:tc>
          <w:tcPr>
            <w:tcW w:type="dxa" w:w="4032"/>
            <w:tcMar>
              <w:top w:w="80" w:type="dxa"/>
              <w:start w:w="120" w:type="dxa"/>
              <w:bottom w:w="80" w:type="dxa"/>
              <w:end w:w="120" w:type="dxa"/>
            </w:tcMar>
            <w:vAlign w:val="center"/>
          </w:tcPr>
          <w:p>
            <w:pPr>
              <w:spacing w:before="0" w:after="0" w:line="252" w:lineRule="auto"/>
            </w:pPr>
            <w:r>
              <w:rPr>
                <w:rFonts w:ascii="Calibri" w:hAnsi="Calibri"/>
                <w:color w:val="202A35"/>
                <w:sz w:val="18"/>
              </w:rPr>
              <w:t>Global coherent sum or per-electron normalization</w:t>
            </w:r>
          </w:p>
        </w:tc>
      </w:tr>
      <w:tr>
        <w:tc>
          <w:tcPr>
            <w:tcW w:type="dxa" w:w="1800"/>
            <w:shd w:fill="FAFBFC"/>
            <w:tcMar>
              <w:top w:w="80" w:type="dxa"/>
              <w:start w:w="120" w:type="dxa"/>
              <w:bottom w:w="80" w:type="dxa"/>
              <w:end w:w="120" w:type="dxa"/>
            </w:tcMar>
            <w:vAlign w:val="center"/>
          </w:tcPr>
          <w:p>
            <w:pPr>
              <w:spacing w:before="0" w:after="0" w:line="252" w:lineRule="auto"/>
            </w:pPr>
            <w:r>
              <w:rPr>
                <w:rFonts w:ascii="Calibri" w:hAnsi="Calibri"/>
                <w:color w:val="202A35"/>
                <w:sz w:val="18"/>
              </w:rPr>
              <w:t>flight_id</w:t>
            </w:r>
          </w:p>
        </w:tc>
        <w:tc>
          <w:tcPr>
            <w:tcW w:type="dxa" w:w="3528"/>
            <w:shd w:fill="FAFBFC"/>
            <w:tcMar>
              <w:top w:w="80" w:type="dxa"/>
              <w:start w:w="120" w:type="dxa"/>
              <w:bottom w:w="80" w:type="dxa"/>
              <w:end w:w="120" w:type="dxa"/>
            </w:tcMar>
            <w:vAlign w:val="center"/>
          </w:tcPr>
          <w:p>
            <w:pPr>
              <w:spacing w:before="0" w:after="0" w:line="252" w:lineRule="auto"/>
            </w:pPr>
            <w:r>
              <w:rPr>
                <w:rFonts w:ascii="Calibri" w:hAnsi="Calibri"/>
                <w:color w:val="202A35"/>
                <w:sz w:val="18"/>
              </w:rPr>
              <w:t>Straight path between physical deflections or boundaries</w:t>
            </w:r>
          </w:p>
        </w:tc>
        <w:tc>
          <w:tcPr>
            <w:tcW w:type="dxa" w:w="4032"/>
            <w:shd w:fill="FAFBFC"/>
            <w:tcMar>
              <w:top w:w="80" w:type="dxa"/>
              <w:start w:w="120" w:type="dxa"/>
              <w:bottom w:w="80" w:type="dxa"/>
              <w:end w:w="120" w:type="dxa"/>
            </w:tcMar>
            <w:vAlign w:val="center"/>
          </w:tcPr>
          <w:p>
            <w:pPr>
              <w:spacing w:before="0" w:after="0" w:line="252" w:lineRule="auto"/>
            </w:pPr>
            <w:r>
              <w:rPr>
                <w:rFonts w:ascii="Calibri" w:hAnsi="Calibri"/>
                <w:color w:val="202A35"/>
                <w:sz w:val="18"/>
              </w:rPr>
              <w:t>Physical CXR coherence unit in the present approximation</w:t>
            </w:r>
          </w:p>
        </w:tc>
      </w:tr>
      <w:tr>
        <w:tc>
          <w:tcPr>
            <w:tcW w:type="dxa" w:w="1800"/>
            <w:tcMar>
              <w:top w:w="80" w:type="dxa"/>
              <w:start w:w="120" w:type="dxa"/>
              <w:bottom w:w="80" w:type="dxa"/>
              <w:end w:w="120" w:type="dxa"/>
            </w:tcMar>
            <w:vAlign w:val="center"/>
          </w:tcPr>
          <w:p>
            <w:pPr>
              <w:spacing w:before="0" w:after="0" w:line="252" w:lineRule="auto"/>
            </w:pPr>
            <w:r>
              <w:rPr>
                <w:rFonts w:ascii="Calibri" w:hAnsi="Calibri"/>
                <w:color w:val="202A35"/>
                <w:sz w:val="18"/>
              </w:rPr>
              <w:t>substep_id</w:t>
            </w:r>
          </w:p>
        </w:tc>
        <w:tc>
          <w:tcPr>
            <w:tcW w:type="dxa" w:w="3528"/>
            <w:tcMar>
              <w:top w:w="80" w:type="dxa"/>
              <w:start w:w="120" w:type="dxa"/>
              <w:bottom w:w="80" w:type="dxa"/>
              <w:end w:w="120" w:type="dxa"/>
            </w:tcMar>
            <w:vAlign w:val="center"/>
          </w:tcPr>
          <w:p>
            <w:pPr>
              <w:spacing w:before="0" w:after="0" w:line="252" w:lineRule="auto"/>
            </w:pPr>
            <w:r>
              <w:rPr>
                <w:rFonts w:ascii="Calibri" w:hAnsi="Calibri"/>
                <w:color w:val="202A35"/>
                <w:sz w:val="18"/>
              </w:rPr>
              <w:t>Numerical interval used to update E, beta, and hazard</w:t>
            </w:r>
          </w:p>
        </w:tc>
        <w:tc>
          <w:tcPr>
            <w:tcW w:type="dxa" w:w="4032"/>
            <w:tcMar>
              <w:top w:w="80" w:type="dxa"/>
              <w:start w:w="120" w:type="dxa"/>
              <w:bottom w:w="80" w:type="dxa"/>
              <w:end w:w="120" w:type="dxa"/>
            </w:tcMar>
            <w:vAlign w:val="center"/>
          </w:tcPr>
          <w:p>
            <w:pPr>
              <w:spacing w:before="0" w:after="0" w:line="252" w:lineRule="auto"/>
            </w:pPr>
            <w:r>
              <w:rPr>
                <w:rFonts w:ascii="Calibri" w:hAnsi="Calibri"/>
                <w:color w:val="202A35"/>
                <w:sz w:val="18"/>
              </w:rPr>
              <w:t>Integration accuracy only; must not create artificial decoherence</w:t>
            </w:r>
          </w:p>
        </w:tc>
      </w:tr>
    </w:tbl>
    <w:p>
      <w:pPr>
        <w:pStyle w:val="Heading2"/>
        <w:keepNext/>
      </w:pPr>
      <w:r>
        <w:t>4.2 Energy-controlled propagation</w:t>
      </w:r>
    </w:p>
    <w:p>
      <w:pPr>
        <w:keepLines w:val="0"/>
        <w:spacing w:before="0" w:after="120" w:line="264" w:lineRule="auto"/>
      </w:pPr>
      <w:r>
        <w:rPr>
          <w:rFonts w:ascii="Calibri" w:hAnsi="Calibri"/>
          <w:i w:val="0"/>
          <w:color w:val="202A35"/>
          <w:sz w:val="22"/>
        </w:rPr>
        <w:t>For each material state, advance by the smallest of:</w:t>
      </w:r>
    </w:p>
    <w:p>
      <w:pPr>
        <w:pStyle w:val="ListBullet"/>
        <w:spacing w:after="160" w:line="280" w:lineRule="auto"/>
        <w:ind w:left="720" w:hanging="360"/>
      </w:pPr>
      <w:r>
        <w:rPr>
          <w:rFonts w:ascii="Calibri" w:hAnsi="Calibri"/>
          <w:color w:val="202A35"/>
          <w:sz w:val="22"/>
        </w:rPr>
        <w:t>the candidate elastic-collision distance;</w:t>
      </w:r>
    </w:p>
    <w:p>
      <w:pPr>
        <w:pStyle w:val="ListBullet"/>
        <w:spacing w:after="160" w:line="280" w:lineRule="auto"/>
        <w:ind w:left="720" w:hanging="360"/>
      </w:pPr>
      <w:r>
        <w:rPr>
          <w:rFonts w:ascii="Calibri" w:hAnsi="Calibri"/>
          <w:color w:val="202A35"/>
          <w:sz w:val="22"/>
        </w:rPr>
        <w:t>the nearest physical boundary distance;</w:t>
      </w:r>
    </w:p>
    <w:p>
      <w:pPr>
        <w:pStyle w:val="ListBullet"/>
        <w:spacing w:after="160" w:line="280" w:lineRule="auto"/>
        <w:ind w:left="720" w:hanging="360"/>
      </w:pPr>
      <w:r>
        <w:rPr>
          <w:rFonts w:ascii="Calibri" w:hAnsi="Calibri"/>
          <w:color w:val="202A35"/>
          <w:sz w:val="22"/>
        </w:rPr>
        <w:t>the distance to E_cut;</w:t>
      </w:r>
    </w:p>
    <w:p>
      <w:pPr>
        <w:pStyle w:val="ListBullet"/>
        <w:spacing w:after="160" w:line="280" w:lineRule="auto"/>
        <w:ind w:left="720" w:hanging="360"/>
      </w:pPr>
      <w:r>
        <w:rPr>
          <w:rFonts w:ascii="Calibri" w:hAnsi="Calibri"/>
          <w:color w:val="202A35"/>
          <w:sz w:val="22"/>
        </w:rPr>
        <w:t xml:space="preserve">a numerical energy-loss limit, initially chosen so |Delta E|/E &lt;= 1%. </w:t>
      </w:r>
    </w:p>
    <w:p>
      <w:pPr>
        <w:keepLines w:val="0"/>
        <w:spacing w:before="0" w:after="120" w:line="264" w:lineRule="auto"/>
      </w:pPr>
      <w:r>
        <w:rPr>
          <w:rFonts w:ascii="Calibri" w:hAnsi="Calibri"/>
          <w:i w:val="0"/>
          <w:color w:val="202A35"/>
          <w:sz w:val="22"/>
        </w:rPr>
        <w:t>When the numerical energy limit wins, update energy and time but do not scatter. Continue the same physical flight and preserve its flight_id. The elastic process should be sampled in optical depth, or approximated by sufficiently small piecewise-constant hazard intervals, so that changing the numerical step size converges without inventing collision events.</w:t>
      </w:r>
    </w:p>
    <w:p>
      <w:pPr>
        <w:pStyle w:val="Heading2"/>
        <w:keepNext/>
      </w:pPr>
      <w:r>
        <w:t>4.3 Representative energy and time</w:t>
      </w:r>
    </w:p>
    <w:p>
      <w:pPr>
        <w:keepLines w:val="0"/>
        <w:spacing w:before="0" w:after="120" w:line="264" w:lineRule="auto"/>
      </w:pPr>
      <w:r>
        <w:rPr>
          <w:rFonts w:ascii="Calibri" w:hAnsi="Calibri"/>
          <w:i w:val="0"/>
          <w:color w:val="202A35"/>
          <w:sz w:val="22"/>
        </w:rPr>
        <w:t>For a minimal, low-risk improvement before full substepping, store E_start and E_end and use a midpoint predictor-corrector. Evaluate the representative segment quantities at E_mid = (E_start + E_end)/2 and advance the clock using an integral or midpoint approximation to 1/beta(E). This removes the systematic start-point bias while retaining one radiation object per physical flight.</w:t>
      </w:r>
    </w:p>
    <w:p>
      <w:pPr>
        <w:pStyle w:val="ListBullet"/>
        <w:spacing w:after="160" w:line="280" w:lineRule="auto"/>
        <w:ind w:left="720" w:hanging="360"/>
      </w:pPr>
      <w:r>
        <w:rPr>
          <w:rFonts w:ascii="Calibri" w:hAnsi="Calibri"/>
          <w:color w:val="202A35"/>
          <w:sz w:val="22"/>
        </w:rPr>
        <w:t>CXR: use midpoint beta, midpoint time, and midpoint resonance as the default constant-state approximation.</w:t>
      </w:r>
    </w:p>
    <w:p>
      <w:pPr>
        <w:pStyle w:val="ListBullet"/>
        <w:spacing w:after="160" w:line="280" w:lineRule="auto"/>
        <w:ind w:left="720" w:hanging="360"/>
      </w:pPr>
      <w:r>
        <w:rPr>
          <w:rFonts w:ascii="Calibri" w:hAnsi="Calibri"/>
          <w:color w:val="202A35"/>
          <w:sz w:val="22"/>
        </w:rPr>
        <w:t>Bremsstrahlung: use midpoint quadrature, or two-point/trapezoidal quadrature when the local cross-section error estimate is non-negligible.</w:t>
      </w:r>
    </w:p>
    <w:p>
      <w:pPr>
        <w:pStyle w:val="ListBullet"/>
        <w:spacing w:after="160" w:line="280" w:lineRule="auto"/>
        <w:ind w:left="720" w:hanging="360"/>
      </w:pPr>
      <w:r>
        <w:rPr>
          <w:rFonts w:ascii="Calibri" w:hAnsi="Calibri"/>
          <w:color w:val="202A35"/>
          <w:sz w:val="22"/>
        </w:rPr>
        <w:t>Coherent CXR: sum numerical substep fields within each flight before squaring; a globally coherent calculation then sums those flight fields across the electron or bunch.</w:t>
      </w:r>
    </w:p>
    <w:p>
      <w:pPr>
        <w:pStyle w:val="ListBullet"/>
        <w:spacing w:after="160" w:line="280" w:lineRule="auto"/>
        <w:ind w:left="720" w:hanging="360"/>
      </w:pPr>
      <w:r>
        <w:rPr>
          <w:rFonts w:ascii="Calibri" w:hAnsi="Calibri"/>
          <w:color w:val="202A35"/>
          <w:sz w:val="22"/>
        </w:rPr>
        <w:t>Default incoherent CXR: do not sum artificial numerical substeps as independent intensities.</w:t>
      </w:r>
    </w:p>
    <w:p>
      <w:pPr>
        <w:pStyle w:val="Heading1"/>
        <w:keepNext/>
      </w:pPr>
      <w:r>
        <w:t>5. Diagnostics and cross-checks to add</w:t>
      </w:r>
    </w:p>
    <w:p>
      <w:pPr>
        <w:pStyle w:val="Heading2"/>
        <w:keepNext/>
      </w:pPr>
      <w:r>
        <w:t>5.1 Per-segment transport diagnostics</w:t>
      </w:r>
    </w:p>
    <w:p>
      <w:pPr>
        <w:pStyle w:val="ListBullet"/>
        <w:spacing w:after="160" w:line="280" w:lineRule="auto"/>
        <w:ind w:left="720" w:hanging="360"/>
      </w:pPr>
      <w:r>
        <w:rPr>
          <w:rFonts w:ascii="Calibri" w:hAnsi="Calibri"/>
          <w:color w:val="202A35"/>
          <w:sz w:val="22"/>
        </w:rPr>
        <w:t>frac_loss = |E_end - E_start| / E_start, with maximum and 50th/90th/99th/99.9th percentiles.</w:t>
      </w:r>
    </w:p>
    <w:p>
      <w:pPr>
        <w:pStyle w:val="ListBullet"/>
        <w:spacing w:after="160" w:line="280" w:lineRule="auto"/>
        <w:ind w:left="720" w:hanging="360"/>
      </w:pPr>
      <w:r>
        <w:rPr>
          <w:rFonts w:ascii="Calibri" w:hAnsi="Calibri"/>
          <w:color w:val="202A35"/>
          <w:sz w:val="22"/>
        </w:rPr>
        <w:t>frac_rate_change = |Sigma_el(E_end) - Sigma_el(E_start)| / Sigma_el(E_mid).</w:t>
      </w:r>
    </w:p>
    <w:p>
      <w:pPr>
        <w:pStyle w:val="ListBullet"/>
        <w:spacing w:after="160" w:line="280" w:lineRule="auto"/>
        <w:ind w:left="720" w:hanging="360"/>
      </w:pPr>
      <w:r>
        <w:rPr>
          <w:rFonts w:ascii="Calibri" w:hAnsi="Calibri"/>
          <w:color w:val="202A35"/>
          <w:sz w:val="22"/>
        </w:rPr>
        <w:t>clock_error_estimate from start-speed versus midpoint or integrated flight time.</w:t>
      </w:r>
    </w:p>
    <w:p>
      <w:pPr>
        <w:pStyle w:val="ListBullet"/>
        <w:spacing w:after="160" w:line="280" w:lineRule="auto"/>
        <w:ind w:left="720" w:hanging="360"/>
      </w:pPr>
      <w:r>
        <w:rPr>
          <w:rFonts w:ascii="Calibri" w:hAnsi="Calibri"/>
          <w:color w:val="202A35"/>
          <w:sz w:val="22"/>
        </w:rPr>
        <w:t>cutoff_overshoot_keV and cutoff_overshoot_length_ang for every terminating electron.</w:t>
      </w:r>
    </w:p>
    <w:p>
      <w:pPr>
        <w:pStyle w:val="ListBullet"/>
        <w:spacing w:after="160" w:line="280" w:lineRule="auto"/>
        <w:ind w:left="720" w:hanging="360"/>
      </w:pPr>
      <w:r>
        <w:rPr>
          <w:rFonts w:ascii="Calibri" w:hAnsi="Calibri"/>
          <w:color w:val="202A35"/>
          <w:sz w:val="22"/>
        </w:rPr>
        <w:t>Counts of NIST-table endpoint clamping, moment-ratio clipping, fallback models, and step-limited electrons.</w:t>
      </w:r>
    </w:p>
    <w:p>
      <w:pPr>
        <w:pStyle w:val="Heading2"/>
        <w:keepNext/>
      </w:pPr>
      <w:r>
        <w:t>5.2 CXR resonance-drift estimator</w:t>
      </w:r>
    </w:p>
    <w:p>
      <w:pPr>
        <w:keepLines w:val="0"/>
        <w:spacing w:before="0" w:after="120" w:line="264" w:lineRule="auto"/>
      </w:pPr>
      <w:r>
        <w:rPr>
          <w:rFonts w:ascii="Calibri" w:hAnsi="Calibri"/>
          <w:i w:val="0"/>
          <w:color w:val="202A35"/>
          <w:sz w:val="22"/>
        </w:rPr>
        <w:t>For each retained segment and reflection, evaluate the resonance using both endpoint energies and compare its drift with the segment's finite-time width:</w:t>
      </w:r>
    </w:p>
    <w:p>
      <w:pPr>
        <w:spacing w:before="80" w:after="160"/>
        <w:jc w:val="center"/>
      </w:pPr>
      <w:r>
        <w:rPr>
          <w:rFonts w:ascii="Cambria Math" w:hAnsi="Cambria Math"/>
          <w:i/>
          <w:color w:val="202A35"/>
          <w:sz w:val="22"/>
        </w:rPr>
        <w:t>eta_res = |E_res(E_end) - E_res(E_start)| / Delta E_segment</w:t>
      </w:r>
    </w:p>
    <w:p>
      <w:pPr>
        <w:spacing w:before="80" w:after="160"/>
        <w:jc w:val="center"/>
      </w:pPr>
      <w:r>
        <w:rPr>
          <w:rFonts w:ascii="Cambria Math" w:hAnsi="Cambria Math"/>
          <w:i/>
          <w:color w:val="202A35"/>
          <w:sz w:val="22"/>
        </w:rPr>
        <w:t>Delta E_segment(first zero) = 2 pi hbar c / [(1 - v.n) t_L]</w:t>
      </w:r>
    </w:p>
    <w:p>
      <w:pPr>
        <w:keepLines w:val="0"/>
        <w:spacing w:before="0" w:after="120" w:line="264" w:lineRule="auto"/>
      </w:pPr>
      <w:r>
        <w:rPr>
          <w:rFonts w:ascii="Calibri" w:hAnsi="Calibri"/>
          <w:i w:val="0"/>
          <w:color w:val="202A35"/>
          <w:sz w:val="22"/>
        </w:rPr>
        <w:t>An initial warning criterion such as eta_res &gt; 0.05 is reasonable for development, but the accepted threshold should be selected from observed spectral convergence rather than treated as universal.</w:t>
      </w:r>
    </w:p>
    <w:p>
      <w:pPr>
        <w:pStyle w:val="Heading2"/>
        <w:keepNext/>
      </w:pPr>
      <w:r>
        <w:t>5.3 Bremsstrahlung quadrature estimator</w:t>
      </w:r>
    </w:p>
    <w:p>
      <w:pPr>
        <w:keepLines w:val="0"/>
        <w:spacing w:before="0" w:after="120" w:line="264" w:lineRule="auto"/>
      </w:pPr>
      <w:r>
        <w:rPr>
          <w:rFonts w:ascii="Calibri" w:hAnsi="Calibri"/>
          <w:i w:val="0"/>
          <w:color w:val="202A35"/>
          <w:sz w:val="22"/>
        </w:rPr>
        <w:t>Compare midpoint and endpoint-averaged contributions for each photon-energy bin or a representative subset:</w:t>
      </w:r>
    </w:p>
    <w:p>
      <w:pPr>
        <w:spacing w:before="80" w:after="160"/>
        <w:jc w:val="center"/>
      </w:pPr>
      <w:r>
        <w:rPr>
          <w:rFonts w:ascii="Cambria Math" w:hAnsi="Cambria Math"/>
          <w:i/>
          <w:color w:val="202A35"/>
          <w:sz w:val="22"/>
        </w:rPr>
        <w:t>L sigma(E_mid)  versus  (L/2)[sigma(E_start) + sigma(E_end)]</w:t>
      </w:r>
    </w:p>
    <w:p>
      <w:pPr>
        <w:keepLines w:val="0"/>
        <w:spacing w:before="0" w:after="120" w:line="264" w:lineRule="auto"/>
      </w:pPr>
      <w:r>
        <w:rPr>
          <w:rFonts w:ascii="Calibri" w:hAnsi="Calibri"/>
          <w:i w:val="0"/>
          <w:color w:val="202A35"/>
          <w:sz w:val="22"/>
        </w:rPr>
        <w:t>The relative difference is a local estimate of the error caused by using one kinetic energy for the whole path. It can be accumulated with the same absorption and composition weights as the production spectrum.</w:t>
      </w:r>
    </w:p>
    <w:p>
      <w:pPr>
        <w:pStyle w:val="Heading1"/>
        <w:keepNext/>
      </w:pPr>
      <w:r>
        <w:t>6. Validation program</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1944"/>
            <w:shd w:fill="E8EEF5"/>
            <w:tcMar>
              <w:top w:w="80" w:type="dxa"/>
              <w:start w:w="120" w:type="dxa"/>
              <w:bottom w:w="80" w:type="dxa"/>
              <w:end w:w="120" w:type="dxa"/>
            </w:tcMar>
            <w:vAlign w:val="center"/>
          </w:tcPr>
          <w:p>
            <w:pPr>
              <w:spacing w:before="0" w:after="0"/>
              <w:jc w:val="left"/>
            </w:pPr>
            <w:r>
              <w:rPr>
                <w:rFonts w:ascii="Calibri" w:hAnsi="Calibri"/>
                <w:b/>
                <w:color w:val="1F4D78"/>
                <w:sz w:val="19"/>
              </w:rPr>
              <w:t>Target</w:t>
            </w:r>
          </w:p>
        </w:tc>
        <w:tc>
          <w:tcPr>
            <w:tcW w:type="dxa" w:w="3384"/>
            <w:shd w:fill="E8EEF5"/>
            <w:tcMar>
              <w:top w:w="80" w:type="dxa"/>
              <w:start w:w="120" w:type="dxa"/>
              <w:bottom w:w="80" w:type="dxa"/>
              <w:end w:w="120" w:type="dxa"/>
            </w:tcMar>
            <w:vAlign w:val="center"/>
          </w:tcPr>
          <w:p>
            <w:pPr>
              <w:spacing w:before="0" w:after="0"/>
              <w:jc w:val="left"/>
            </w:pPr>
            <w:r>
              <w:rPr>
                <w:rFonts w:ascii="Calibri" w:hAnsi="Calibri"/>
                <w:b/>
                <w:color w:val="1F4D78"/>
                <w:sz w:val="19"/>
              </w:rPr>
              <w:t>Test</w:t>
            </w:r>
          </w:p>
        </w:tc>
        <w:tc>
          <w:tcPr>
            <w:tcW w:type="dxa" w:w="4032"/>
            <w:shd w:fill="E8EEF5"/>
            <w:tcMar>
              <w:top w:w="80" w:type="dxa"/>
              <w:start w:w="120" w:type="dxa"/>
              <w:bottom w:w="80" w:type="dxa"/>
              <w:end w:w="120" w:type="dxa"/>
            </w:tcMar>
            <w:vAlign w:val="center"/>
          </w:tcPr>
          <w:p>
            <w:pPr>
              <w:spacing w:before="0" w:after="0"/>
              <w:jc w:val="left"/>
            </w:pPr>
            <w:r>
              <w:rPr>
                <w:rFonts w:ascii="Calibri" w:hAnsi="Calibri"/>
                <w:b/>
                <w:color w:val="1F4D78"/>
                <w:sz w:val="19"/>
              </w:rPr>
              <w:t>Acceptance evidence</w:t>
            </w:r>
          </w:p>
        </w:tc>
      </w:tr>
      <w:tr>
        <w:tc>
          <w:tcPr>
            <w:tcW w:type="dxa" w:w="1944"/>
            <w:tcMar>
              <w:top w:w="80" w:type="dxa"/>
              <w:start w:w="120" w:type="dxa"/>
              <w:bottom w:w="80" w:type="dxa"/>
              <w:end w:w="120" w:type="dxa"/>
            </w:tcMar>
            <w:vAlign w:val="center"/>
          </w:tcPr>
          <w:p>
            <w:pPr>
              <w:spacing w:before="0" w:after="0" w:line="252" w:lineRule="auto"/>
            </w:pPr>
            <w:r>
              <w:rPr>
                <w:rFonts w:ascii="Calibri" w:hAnsi="Calibri"/>
                <w:color w:val="202A35"/>
                <w:sz w:val="18"/>
              </w:rPr>
              <w:t>Energy integration</w:t>
            </w:r>
          </w:p>
        </w:tc>
        <w:tc>
          <w:tcPr>
            <w:tcW w:type="dxa" w:w="3384"/>
            <w:tcMar>
              <w:top w:w="80" w:type="dxa"/>
              <w:start w:w="120" w:type="dxa"/>
              <w:bottom w:w="80" w:type="dxa"/>
              <w:end w:w="120" w:type="dxa"/>
            </w:tcMar>
            <w:vAlign w:val="center"/>
          </w:tcPr>
          <w:p>
            <w:pPr>
              <w:spacing w:before="0" w:after="0" w:line="252" w:lineRule="auto"/>
            </w:pPr>
            <w:r>
              <w:rPr>
                <w:rFonts w:ascii="Calibri" w:hAnsi="Calibri"/>
                <w:color w:val="202A35"/>
                <w:sz w:val="18"/>
              </w:rPr>
              <w:t>Repeat with max fractional loss 2%, 1%, 0.5%</w:t>
            </w:r>
          </w:p>
        </w:tc>
        <w:tc>
          <w:tcPr>
            <w:tcW w:type="dxa" w:w="4032"/>
            <w:tcMar>
              <w:top w:w="80" w:type="dxa"/>
              <w:start w:w="120" w:type="dxa"/>
              <w:bottom w:w="80" w:type="dxa"/>
              <w:end w:w="120" w:type="dxa"/>
            </w:tcMar>
            <w:vAlign w:val="center"/>
          </w:tcPr>
          <w:p>
            <w:pPr>
              <w:spacing w:before="0" w:after="0" w:line="252" w:lineRule="auto"/>
            </w:pPr>
            <w:r>
              <w:rPr>
                <w:rFonts w:ascii="Calibri" w:hAnsi="Calibri"/>
                <w:color w:val="202A35"/>
                <w:sz w:val="18"/>
              </w:rPr>
              <w:t>Ranges, backscatter, transmitted energy, spectra converge</w:t>
            </w:r>
          </w:p>
        </w:tc>
      </w:tr>
      <w:tr>
        <w:tc>
          <w:tcPr>
            <w:tcW w:type="dxa" w:w="1944"/>
            <w:shd w:fill="FAFBFC"/>
            <w:tcMar>
              <w:top w:w="80" w:type="dxa"/>
              <w:start w:w="120" w:type="dxa"/>
              <w:bottom w:w="80" w:type="dxa"/>
              <w:end w:w="120" w:type="dxa"/>
            </w:tcMar>
            <w:vAlign w:val="center"/>
          </w:tcPr>
          <w:p>
            <w:pPr>
              <w:spacing w:before="0" w:after="0" w:line="252" w:lineRule="auto"/>
            </w:pPr>
            <w:r>
              <w:rPr>
                <w:rFonts w:ascii="Calibri" w:hAnsi="Calibri"/>
                <w:color w:val="202A35"/>
                <w:sz w:val="18"/>
              </w:rPr>
              <w:t>Representative energy</w:t>
            </w:r>
          </w:p>
        </w:tc>
        <w:tc>
          <w:tcPr>
            <w:tcW w:type="dxa" w:w="3384"/>
            <w:shd w:fill="FAFBFC"/>
            <w:tcMar>
              <w:top w:w="80" w:type="dxa"/>
              <w:start w:w="120" w:type="dxa"/>
              <w:bottom w:w="80" w:type="dxa"/>
              <w:end w:w="120" w:type="dxa"/>
            </w:tcMar>
            <w:vAlign w:val="center"/>
          </w:tcPr>
          <w:p>
            <w:pPr>
              <w:spacing w:before="0" w:after="0" w:line="252" w:lineRule="auto"/>
            </w:pPr>
            <w:r>
              <w:rPr>
                <w:rFonts w:ascii="Calibri" w:hAnsi="Calibri"/>
                <w:color w:val="202A35"/>
                <w:sz w:val="18"/>
              </w:rPr>
              <w:t>Start vs midpoint vs endpoint/trapezoid</w:t>
            </w:r>
          </w:p>
        </w:tc>
        <w:tc>
          <w:tcPr>
            <w:tcW w:type="dxa" w:w="4032"/>
            <w:shd w:fill="FAFBFC"/>
            <w:tcMar>
              <w:top w:w="80" w:type="dxa"/>
              <w:start w:w="120" w:type="dxa"/>
              <w:bottom w:w="80" w:type="dxa"/>
              <w:end w:w="120" w:type="dxa"/>
            </w:tcMar>
            <w:vAlign w:val="center"/>
          </w:tcPr>
          <w:p>
            <w:pPr>
              <w:spacing w:before="0" w:after="0" w:line="252" w:lineRule="auto"/>
            </w:pPr>
            <w:r>
              <w:rPr>
                <w:rFonts w:ascii="Calibri" w:hAnsi="Calibri"/>
                <w:color w:val="202A35"/>
                <w:sz w:val="18"/>
              </w:rPr>
              <w:t>Midpoint and refined result agree within target tolerance</w:t>
            </w:r>
          </w:p>
        </w:tc>
      </w:tr>
      <w:tr>
        <w:tc>
          <w:tcPr>
            <w:tcW w:type="dxa" w:w="1944"/>
            <w:tcMar>
              <w:top w:w="80" w:type="dxa"/>
              <w:start w:w="120" w:type="dxa"/>
              <w:bottom w:w="80" w:type="dxa"/>
              <w:end w:w="120" w:type="dxa"/>
            </w:tcMar>
            <w:vAlign w:val="center"/>
          </w:tcPr>
          <w:p>
            <w:pPr>
              <w:spacing w:before="0" w:after="0" w:line="252" w:lineRule="auto"/>
            </w:pPr>
            <w:r>
              <w:rPr>
                <w:rFonts w:ascii="Calibri" w:hAnsi="Calibri"/>
                <w:color w:val="202A35"/>
                <w:sz w:val="18"/>
              </w:rPr>
              <w:t>Coherent invariance</w:t>
            </w:r>
          </w:p>
        </w:tc>
        <w:tc>
          <w:tcPr>
            <w:tcW w:type="dxa" w:w="3384"/>
            <w:tcMar>
              <w:top w:w="80" w:type="dxa"/>
              <w:start w:w="120" w:type="dxa"/>
              <w:bottom w:w="80" w:type="dxa"/>
              <w:end w:w="120" w:type="dxa"/>
            </w:tcMar>
            <w:vAlign w:val="center"/>
          </w:tcPr>
          <w:p>
            <w:pPr>
              <w:spacing w:before="0" w:after="0" w:line="252" w:lineRule="auto"/>
            </w:pPr>
            <w:r>
              <w:rPr>
                <w:rFonts w:ascii="Calibri" w:hAnsi="Calibri"/>
                <w:color w:val="202A35"/>
                <w:sz w:val="18"/>
              </w:rPr>
              <w:t>One constant flight vs two numerical substeps</w:t>
            </w:r>
          </w:p>
        </w:tc>
        <w:tc>
          <w:tcPr>
            <w:tcW w:type="dxa" w:w="4032"/>
            <w:tcMar>
              <w:top w:w="80" w:type="dxa"/>
              <w:start w:w="120" w:type="dxa"/>
              <w:bottom w:w="80" w:type="dxa"/>
              <w:end w:w="120" w:type="dxa"/>
            </w:tcMar>
            <w:vAlign w:val="center"/>
          </w:tcPr>
          <w:p>
            <w:pPr>
              <w:spacing w:before="0" w:after="0" w:line="252" w:lineRule="auto"/>
            </w:pPr>
            <w:r>
              <w:rPr>
                <w:rFonts w:ascii="Calibri" w:hAnsi="Calibri"/>
                <w:color w:val="202A35"/>
                <w:sz w:val="18"/>
              </w:rPr>
              <w:t>Complex field and final spectrum unchanged</w:t>
            </w:r>
          </w:p>
        </w:tc>
      </w:tr>
      <w:tr>
        <w:tc>
          <w:tcPr>
            <w:tcW w:type="dxa" w:w="1944"/>
            <w:shd w:fill="FAFBFC"/>
            <w:tcMar>
              <w:top w:w="80" w:type="dxa"/>
              <w:start w:w="120" w:type="dxa"/>
              <w:bottom w:w="80" w:type="dxa"/>
              <w:end w:w="120" w:type="dxa"/>
            </w:tcMar>
            <w:vAlign w:val="center"/>
          </w:tcPr>
          <w:p>
            <w:pPr>
              <w:spacing w:before="0" w:after="0" w:line="252" w:lineRule="auto"/>
            </w:pPr>
            <w:r>
              <w:rPr>
                <w:rFonts w:ascii="Calibri" w:hAnsi="Calibri"/>
                <w:color w:val="202A35"/>
                <w:sz w:val="18"/>
              </w:rPr>
              <w:t>Cutoff</w:t>
            </w:r>
          </w:p>
        </w:tc>
        <w:tc>
          <w:tcPr>
            <w:tcW w:type="dxa" w:w="3384"/>
            <w:shd w:fill="FAFBFC"/>
            <w:tcMar>
              <w:top w:w="80" w:type="dxa"/>
              <w:start w:w="120" w:type="dxa"/>
              <w:bottom w:w="80" w:type="dxa"/>
              <w:end w:w="120" w:type="dxa"/>
            </w:tcMar>
            <w:vAlign w:val="center"/>
          </w:tcPr>
          <w:p>
            <w:pPr>
              <w:spacing w:before="0" w:after="0" w:line="252" w:lineRule="auto"/>
            </w:pPr>
            <w:r>
              <w:rPr>
                <w:rFonts w:ascii="Calibri" w:hAnsi="Calibri"/>
                <w:color w:val="202A35"/>
                <w:sz w:val="18"/>
              </w:rPr>
              <w:t>Construct a flight known to cross E_cut</w:t>
            </w:r>
          </w:p>
        </w:tc>
        <w:tc>
          <w:tcPr>
            <w:tcW w:type="dxa" w:w="4032"/>
            <w:shd w:fill="FAFBFC"/>
            <w:tcMar>
              <w:top w:w="80" w:type="dxa"/>
              <w:start w:w="120" w:type="dxa"/>
              <w:bottom w:w="80" w:type="dxa"/>
              <w:end w:w="120" w:type="dxa"/>
            </w:tcMar>
            <w:vAlign w:val="center"/>
          </w:tcPr>
          <w:p>
            <w:pPr>
              <w:spacing w:before="0" w:after="0" w:line="252" w:lineRule="auto"/>
            </w:pPr>
            <w:r>
              <w:rPr>
                <w:rFonts w:ascii="Calibri" w:hAnsi="Calibri"/>
                <w:color w:val="202A35"/>
                <w:sz w:val="18"/>
              </w:rPr>
              <w:t>Exact partial length retained; no below-cut contribution</w:t>
            </w:r>
          </w:p>
        </w:tc>
      </w:tr>
      <w:tr>
        <w:tc>
          <w:tcPr>
            <w:tcW w:type="dxa" w:w="1944"/>
            <w:tcMar>
              <w:top w:w="80" w:type="dxa"/>
              <w:start w:w="120" w:type="dxa"/>
              <w:bottom w:w="80" w:type="dxa"/>
              <w:end w:w="120" w:type="dxa"/>
            </w:tcMar>
            <w:vAlign w:val="center"/>
          </w:tcPr>
          <w:p>
            <w:pPr>
              <w:spacing w:before="0" w:after="0" w:line="252" w:lineRule="auto"/>
            </w:pPr>
            <w:r>
              <w:rPr>
                <w:rFonts w:ascii="Calibri" w:hAnsi="Calibri"/>
                <w:color w:val="202A35"/>
                <w:sz w:val="18"/>
              </w:rPr>
              <w:t>Elastic totals</w:t>
            </w:r>
          </w:p>
        </w:tc>
        <w:tc>
          <w:tcPr>
            <w:tcW w:type="dxa" w:w="3384"/>
            <w:tcMar>
              <w:top w:w="80" w:type="dxa"/>
              <w:start w:w="120" w:type="dxa"/>
              <w:bottom w:w="80" w:type="dxa"/>
              <w:end w:w="120" w:type="dxa"/>
            </w:tcMar>
            <w:vAlign w:val="center"/>
          </w:tcPr>
          <w:p>
            <w:pPr>
              <w:spacing w:before="0" w:after="0" w:line="252" w:lineRule="auto"/>
            </w:pPr>
            <w:r>
              <w:rPr>
                <w:rFonts w:ascii="Calibri" w:hAnsi="Calibri"/>
                <w:color w:val="202A35"/>
                <w:sz w:val="18"/>
              </w:rPr>
              <w:t>Browning vs NIST total tables</w:t>
            </w:r>
          </w:p>
        </w:tc>
        <w:tc>
          <w:tcPr>
            <w:tcW w:type="dxa" w:w="4032"/>
            <w:tcMar>
              <w:top w:w="80" w:type="dxa"/>
              <w:start w:w="120" w:type="dxa"/>
              <w:bottom w:w="80" w:type="dxa"/>
              <w:end w:w="120" w:type="dxa"/>
            </w:tcMar>
            <w:vAlign w:val="center"/>
          </w:tcPr>
          <w:p>
            <w:pPr>
              <w:spacing w:before="0" w:after="0" w:line="252" w:lineRule="auto"/>
            </w:pPr>
            <w:r>
              <w:rPr>
                <w:rFonts w:ascii="Calibri" w:hAnsi="Calibri"/>
                <w:color w:val="202A35"/>
                <w:sz w:val="18"/>
              </w:rPr>
              <w:t>Quantify energy/Z error; NIST path becomes reference</w:t>
            </w:r>
          </w:p>
        </w:tc>
      </w:tr>
      <w:tr>
        <w:tc>
          <w:tcPr>
            <w:tcW w:type="dxa" w:w="1944"/>
            <w:shd w:fill="FAFBFC"/>
            <w:tcMar>
              <w:top w:w="80" w:type="dxa"/>
              <w:start w:w="120" w:type="dxa"/>
              <w:bottom w:w="80" w:type="dxa"/>
              <w:end w:w="120" w:type="dxa"/>
            </w:tcMar>
            <w:vAlign w:val="center"/>
          </w:tcPr>
          <w:p>
            <w:pPr>
              <w:spacing w:before="0" w:after="0" w:line="252" w:lineRule="auto"/>
            </w:pPr>
            <w:r>
              <w:rPr>
                <w:rFonts w:ascii="Calibri" w:hAnsi="Calibri"/>
                <w:color w:val="202A35"/>
                <w:sz w:val="18"/>
              </w:rPr>
              <w:t>Angular scattering</w:t>
            </w:r>
          </w:p>
        </w:tc>
        <w:tc>
          <w:tcPr>
            <w:tcW w:type="dxa" w:w="3384"/>
            <w:shd w:fill="FAFBFC"/>
            <w:tcMar>
              <w:top w:w="80" w:type="dxa"/>
              <w:start w:w="120" w:type="dxa"/>
              <w:bottom w:w="80" w:type="dxa"/>
              <w:end w:w="120" w:type="dxa"/>
            </w:tcMar>
            <w:vAlign w:val="center"/>
          </w:tcPr>
          <w:p>
            <w:pPr>
              <w:spacing w:before="0" w:after="0" w:line="252" w:lineRule="auto"/>
            </w:pPr>
            <w:r>
              <w:rPr>
                <w:rFonts w:ascii="Calibri" w:hAnsi="Calibri"/>
                <w:color w:val="202A35"/>
                <w:sz w:val="18"/>
              </w:rPr>
              <w:t>Surrogate vs NIST DCS CDF</w:t>
            </w:r>
          </w:p>
        </w:tc>
        <w:tc>
          <w:tcPr>
            <w:tcW w:type="dxa" w:w="4032"/>
            <w:shd w:fill="FAFBFC"/>
            <w:tcMar>
              <w:top w:w="80" w:type="dxa"/>
              <w:start w:w="120" w:type="dxa"/>
              <w:bottom w:w="80" w:type="dxa"/>
              <w:end w:w="120" w:type="dxa"/>
            </w:tcMar>
            <w:vAlign w:val="center"/>
          </w:tcPr>
          <w:p>
            <w:pPr>
              <w:spacing w:before="0" w:after="0" w:line="252" w:lineRule="auto"/>
            </w:pPr>
            <w:r>
              <w:rPr>
                <w:rFonts w:ascii="Calibri" w:hAnsi="Calibri"/>
                <w:color w:val="202A35"/>
                <w:sz w:val="18"/>
              </w:rPr>
              <w:t>Backscatter and first two moments agree over test grid</w:t>
            </w:r>
          </w:p>
        </w:tc>
      </w:tr>
      <w:tr>
        <w:tc>
          <w:tcPr>
            <w:tcW w:type="dxa" w:w="1944"/>
            <w:tcMar>
              <w:top w:w="80" w:type="dxa"/>
              <w:start w:w="120" w:type="dxa"/>
              <w:bottom w:w="80" w:type="dxa"/>
              <w:end w:w="120" w:type="dxa"/>
            </w:tcMar>
            <w:vAlign w:val="center"/>
          </w:tcPr>
          <w:p>
            <w:pPr>
              <w:spacing w:before="0" w:after="0" w:line="252" w:lineRule="auto"/>
            </w:pPr>
            <w:r>
              <w:rPr>
                <w:rFonts w:ascii="Calibri" w:hAnsi="Calibri"/>
                <w:color w:val="202A35"/>
                <w:sz w:val="18"/>
              </w:rPr>
              <w:t>Stopping</w:t>
            </w:r>
          </w:p>
        </w:tc>
        <w:tc>
          <w:tcPr>
            <w:tcW w:type="dxa" w:w="3384"/>
            <w:tcMar>
              <w:top w:w="80" w:type="dxa"/>
              <w:start w:w="120" w:type="dxa"/>
              <w:bottom w:w="80" w:type="dxa"/>
              <w:end w:w="120" w:type="dxa"/>
            </w:tcMar>
            <w:vAlign w:val="center"/>
          </w:tcPr>
          <w:p>
            <w:pPr>
              <w:spacing w:before="0" w:after="0" w:line="252" w:lineRule="auto"/>
            </w:pPr>
            <w:r>
              <w:rPr>
                <w:rFonts w:ascii="Calibri" w:hAnsi="Calibri"/>
                <w:color w:val="202A35"/>
                <w:sz w:val="18"/>
              </w:rPr>
              <w:t>Joy-Luo vs ESTAR/PENELOPE/sbethe tables</w:t>
            </w:r>
          </w:p>
        </w:tc>
        <w:tc>
          <w:tcPr>
            <w:tcW w:type="dxa" w:w="4032"/>
            <w:tcMar>
              <w:top w:w="80" w:type="dxa"/>
              <w:start w:w="120" w:type="dxa"/>
              <w:bottom w:w="80" w:type="dxa"/>
              <w:end w:w="120" w:type="dxa"/>
            </w:tcMar>
            <w:vAlign w:val="center"/>
          </w:tcPr>
          <w:p>
            <w:pPr>
              <w:spacing w:before="0" w:after="0" w:line="252" w:lineRule="auto"/>
            </w:pPr>
            <w:r>
              <w:rPr>
                <w:rFonts w:ascii="Calibri" w:hAnsi="Calibri"/>
                <w:color w:val="202A35"/>
                <w:sz w:val="18"/>
              </w:rPr>
              <w:t>Document material- and energy-dependent bias</w:t>
            </w:r>
          </w:p>
        </w:tc>
      </w:tr>
      <w:tr>
        <w:tc>
          <w:tcPr>
            <w:tcW w:type="dxa" w:w="1944"/>
            <w:shd w:fill="FAFBFC"/>
            <w:tcMar>
              <w:top w:w="80" w:type="dxa"/>
              <w:start w:w="120" w:type="dxa"/>
              <w:bottom w:w="80" w:type="dxa"/>
              <w:end w:w="120" w:type="dxa"/>
            </w:tcMar>
            <w:vAlign w:val="center"/>
          </w:tcPr>
          <w:p>
            <w:pPr>
              <w:spacing w:before="0" w:after="0" w:line="252" w:lineRule="auto"/>
            </w:pPr>
            <w:r>
              <w:rPr>
                <w:rFonts w:ascii="Calibri" w:hAnsi="Calibri"/>
                <w:color w:val="202A35"/>
                <w:sz w:val="18"/>
              </w:rPr>
              <w:t>Termination</w:t>
            </w:r>
          </w:p>
        </w:tc>
        <w:tc>
          <w:tcPr>
            <w:tcW w:type="dxa" w:w="3384"/>
            <w:shd w:fill="FAFBFC"/>
            <w:tcMar>
              <w:top w:w="80" w:type="dxa"/>
              <w:start w:w="120" w:type="dxa"/>
              <w:bottom w:w="80" w:type="dxa"/>
              <w:end w:w="120" w:type="dxa"/>
            </w:tcMar>
            <w:vAlign w:val="center"/>
          </w:tcPr>
          <w:p>
            <w:pPr>
              <w:spacing w:before="0" w:after="0" w:line="252" w:lineRule="auto"/>
            </w:pPr>
            <w:r>
              <w:rPr>
                <w:rFonts w:ascii="Calibri" w:hAnsi="Calibri"/>
                <w:color w:val="202A35"/>
                <w:sz w:val="18"/>
              </w:rPr>
              <w:t>Force max_steps exhaustion</w:t>
            </w:r>
          </w:p>
        </w:tc>
        <w:tc>
          <w:tcPr>
            <w:tcW w:type="dxa" w:w="4032"/>
            <w:shd w:fill="FAFBFC"/>
            <w:tcMar>
              <w:top w:w="80" w:type="dxa"/>
              <w:start w:w="120" w:type="dxa"/>
              <w:bottom w:w="80" w:type="dxa"/>
              <w:end w:w="120" w:type="dxa"/>
            </w:tcMar>
            <w:vAlign w:val="center"/>
          </w:tcPr>
          <w:p>
            <w:pPr>
              <w:spacing w:before="0" w:after="0" w:line="252" w:lineRule="auto"/>
            </w:pPr>
            <w:r>
              <w:rPr>
                <w:rFonts w:ascii="Calibri" w:hAnsi="Calibri"/>
                <w:color w:val="202A35"/>
                <w:sz w:val="18"/>
              </w:rPr>
              <w:t>Raises or returns n_step_limited, never n_stopped</w:t>
            </w:r>
          </w:p>
        </w:tc>
      </w:tr>
      <w:tr>
        <w:tc>
          <w:tcPr>
            <w:tcW w:type="dxa" w:w="1944"/>
            <w:tcMar>
              <w:top w:w="80" w:type="dxa"/>
              <w:start w:w="120" w:type="dxa"/>
              <w:bottom w:w="80" w:type="dxa"/>
              <w:end w:w="120" w:type="dxa"/>
            </w:tcMar>
            <w:vAlign w:val="center"/>
          </w:tcPr>
          <w:p>
            <w:pPr>
              <w:spacing w:before="0" w:after="0" w:line="252" w:lineRule="auto"/>
            </w:pPr>
            <w:r>
              <w:rPr>
                <w:rFonts w:ascii="Calibri" w:hAnsi="Calibri"/>
                <w:color w:val="202A35"/>
                <w:sz w:val="18"/>
              </w:rPr>
              <w:t>End-to-end</w:t>
            </w:r>
          </w:p>
        </w:tc>
        <w:tc>
          <w:tcPr>
            <w:tcW w:type="dxa" w:w="3384"/>
            <w:tcMar>
              <w:top w:w="80" w:type="dxa"/>
              <w:start w:w="120" w:type="dxa"/>
              <w:bottom w:w="80" w:type="dxa"/>
              <w:end w:w="120" w:type="dxa"/>
            </w:tcMar>
            <w:vAlign w:val="center"/>
          </w:tcPr>
          <w:p>
            <w:pPr>
              <w:spacing w:before="0" w:after="0" w:line="252" w:lineRule="auto"/>
            </w:pPr>
            <w:r>
              <w:rPr>
                <w:rFonts w:ascii="Calibri" w:hAnsi="Calibri"/>
                <w:color w:val="202A35"/>
                <w:sz w:val="18"/>
              </w:rPr>
              <w:t>Thin/thick, low/high Z, 1-300 keV benchmark matrix</w:t>
            </w:r>
          </w:p>
        </w:tc>
        <w:tc>
          <w:tcPr>
            <w:tcW w:type="dxa" w:w="4032"/>
            <w:tcMar>
              <w:top w:w="80" w:type="dxa"/>
              <w:start w:w="120" w:type="dxa"/>
              <w:bottom w:w="80" w:type="dxa"/>
              <w:end w:w="120" w:type="dxa"/>
            </w:tcMar>
            <w:vAlign w:val="center"/>
          </w:tcPr>
          <w:p>
            <w:pPr>
              <w:spacing w:before="0" w:after="0" w:line="252" w:lineRule="auto"/>
            </w:pPr>
            <w:r>
              <w:rPr>
                <w:rFonts w:ascii="Calibri" w:hAnsi="Calibri"/>
                <w:color w:val="202A35"/>
                <w:sz w:val="18"/>
              </w:rPr>
              <w:t>Transport metrics and spectra stable under all numerical refinements</w:t>
            </w:r>
          </w:p>
        </w:tc>
      </w:tr>
    </w:tbl>
    <w:p>
      <w:pPr>
        <w:pStyle w:val="Heading1"/>
        <w:keepNext/>
      </w:pPr>
      <w:r>
        <w:t>7. Staged implementation roadmap</w:t>
      </w:r>
    </w:p>
    <w:p>
      <w:pPr>
        <w:pStyle w:val="Heading2"/>
        <w:keepNext/>
      </w:pPr>
      <w:r>
        <w:t>Stage 0 - Correctness fixes</w:t>
      </w:r>
    </w:p>
    <w:p>
      <w:pPr>
        <w:pStyle w:val="ListNumber"/>
        <w:spacing w:after="160" w:line="280" w:lineRule="auto"/>
        <w:ind w:left="720" w:hanging="360"/>
      </w:pPr>
      <w:r>
        <w:rPr>
          <w:rFonts w:ascii="Calibri" w:hAnsi="Calibri"/>
          <w:color w:val="202A35"/>
          <w:sz w:val="22"/>
        </w:rPr>
        <w:t>Use midpoint time with midpoint position in coherent phases.</w:t>
      </w:r>
    </w:p>
    <w:p>
      <w:pPr>
        <w:pStyle w:val="ListNumber"/>
        <w:spacing w:after="160" w:line="280" w:lineRule="auto"/>
        <w:ind w:left="720" w:hanging="360"/>
      </w:pPr>
      <w:r>
        <w:rPr>
          <w:rFonts w:ascii="Calibri" w:hAnsi="Calibri"/>
          <w:color w:val="202A35"/>
          <w:sz w:val="22"/>
        </w:rPr>
        <w:t>Truncate the terminal segment at E_cut and correct the misleading spectrum comment.</w:t>
      </w:r>
    </w:p>
    <w:p>
      <w:pPr>
        <w:pStyle w:val="ListNumber"/>
        <w:spacing w:after="160" w:line="280" w:lineRule="auto"/>
        <w:ind w:left="720" w:hanging="360"/>
      </w:pPr>
      <w:r>
        <w:rPr>
          <w:rFonts w:ascii="Calibri" w:hAnsi="Calibri"/>
          <w:color w:val="202A35"/>
          <w:sz w:val="22"/>
        </w:rPr>
        <w:t>Separate cutoff stopping from max_steps exhaustion; raise on incomplete histories by default.</w:t>
      </w:r>
    </w:p>
    <w:p>
      <w:pPr>
        <w:pStyle w:val="ListNumber"/>
        <w:spacing w:after="160" w:line="280" w:lineRule="auto"/>
        <w:ind w:left="720" w:hanging="360"/>
      </w:pPr>
      <w:r>
        <w:rPr>
          <w:rFonts w:ascii="Calibri" w:hAnsi="Calibri"/>
          <w:color w:val="202A35"/>
          <w:sz w:val="22"/>
        </w:rPr>
        <w:t>Validate E0, E_cut, beam direction, and layer continuity explicitly.</w:t>
      </w:r>
    </w:p>
    <w:p>
      <w:pPr>
        <w:pStyle w:val="Heading2"/>
        <w:keepNext/>
      </w:pPr>
      <w:r>
        <w:t>Stage 1 - Controlled constant-state approximation</w:t>
      </w:r>
    </w:p>
    <w:p>
      <w:pPr>
        <w:pStyle w:val="ListNumber"/>
        <w:spacing w:after="160" w:line="280" w:lineRule="auto"/>
        <w:ind w:left="720" w:hanging="360"/>
      </w:pPr>
      <w:r>
        <w:rPr>
          <w:rFonts w:ascii="Calibri" w:hAnsi="Calibri"/>
          <w:color w:val="202A35"/>
          <w:sz w:val="22"/>
        </w:rPr>
        <w:t>Return E_start, E_end, E_mid, and t_mid, while retaining E_keV as a documented compatibility alias during migration.</w:t>
      </w:r>
    </w:p>
    <w:p>
      <w:pPr>
        <w:pStyle w:val="ListNumber"/>
        <w:spacing w:after="160" w:line="280" w:lineRule="auto"/>
        <w:ind w:left="720" w:hanging="360"/>
      </w:pPr>
      <w:r>
        <w:rPr>
          <w:rFonts w:ascii="Calibri" w:hAnsi="Calibri"/>
          <w:color w:val="202A35"/>
          <w:sz w:val="22"/>
        </w:rPr>
        <w:t>Use midpoint predictor-corrector stopping and midpoint clock integration.</w:t>
      </w:r>
    </w:p>
    <w:p>
      <w:pPr>
        <w:pStyle w:val="ListNumber"/>
        <w:spacing w:after="160" w:line="280" w:lineRule="auto"/>
        <w:ind w:left="720" w:hanging="360"/>
      </w:pPr>
      <w:r>
        <w:rPr>
          <w:rFonts w:ascii="Calibri" w:hAnsi="Calibri"/>
          <w:color w:val="202A35"/>
          <w:sz w:val="22"/>
        </w:rPr>
        <w:t>Add fractional-loss, hazard-change, resonance-drift, and brem-quadrature diagnostics.</w:t>
      </w:r>
    </w:p>
    <w:p>
      <w:pPr>
        <w:pStyle w:val="ListNumber"/>
        <w:spacing w:after="160" w:line="280" w:lineRule="auto"/>
        <w:ind w:left="720" w:hanging="360"/>
      </w:pPr>
      <w:r>
        <w:rPr>
          <w:rFonts w:ascii="Calibri" w:hAnsi="Calibri"/>
          <w:color w:val="202A35"/>
          <w:sz w:val="22"/>
        </w:rPr>
        <w:t>Establish tolerances from case-level convergence sweeps.</w:t>
      </w:r>
    </w:p>
    <w:p>
      <w:pPr>
        <w:pStyle w:val="Heading2"/>
        <w:keepNext/>
      </w:pPr>
      <w:r>
        <w:t>Stage 2 - Reference elastic and stopping data</w:t>
      </w:r>
    </w:p>
    <w:p>
      <w:pPr>
        <w:pStyle w:val="ListNumber"/>
        <w:spacing w:after="160" w:line="280" w:lineRule="auto"/>
        <w:ind w:left="720" w:hanging="360"/>
      </w:pPr>
      <w:r>
        <w:rPr>
          <w:rFonts w:ascii="Calibri" w:hAnsi="Calibri"/>
          <w:color w:val="202A35"/>
          <w:sz w:val="22"/>
        </w:rPr>
        <w:t>Package NIST total elastic tables and stop using Browning totals above 30 keV.</w:t>
      </w:r>
    </w:p>
    <w:p>
      <w:pPr>
        <w:pStyle w:val="ListNumber"/>
        <w:spacing w:after="160" w:line="280" w:lineRule="auto"/>
        <w:ind w:left="720" w:hanging="360"/>
      </w:pPr>
      <w:r>
        <w:rPr>
          <w:rFonts w:ascii="Calibri" w:hAnsi="Calibri"/>
          <w:color w:val="202A35"/>
          <w:sz w:val="22"/>
        </w:rPr>
        <w:t>Package angular CDFs or a validated higher-moment surrogate.</w:t>
      </w:r>
    </w:p>
    <w:p>
      <w:pPr>
        <w:pStyle w:val="ListNumber"/>
        <w:spacing w:after="160" w:line="280" w:lineRule="auto"/>
        <w:ind w:left="720" w:hanging="360"/>
      </w:pPr>
      <w:r>
        <w:rPr>
          <w:rFonts w:ascii="Calibri" w:hAnsi="Calibri"/>
          <w:color w:val="202A35"/>
          <w:sz w:val="22"/>
        </w:rPr>
        <w:t>Package collisional and radiative stopping tables; retain Joy-Luo and analytic SR only as explicit fallbacks.</w:t>
      </w:r>
    </w:p>
    <w:p>
      <w:pPr>
        <w:pStyle w:val="ListNumber"/>
        <w:spacing w:after="160" w:line="280" w:lineRule="auto"/>
        <w:ind w:left="720" w:hanging="360"/>
      </w:pPr>
      <w:r>
        <w:rPr>
          <w:rFonts w:ascii="Calibri" w:hAnsi="Calibri"/>
          <w:color w:val="202A35"/>
          <w:sz w:val="22"/>
        </w:rPr>
        <w:t>Make the selected data model and every fallback visible in run metadata.</w:t>
      </w:r>
    </w:p>
    <w:p>
      <w:pPr>
        <w:pStyle w:val="Heading2"/>
        <w:keepNext/>
      </w:pPr>
      <w:r>
        <w:t>Stage 3 - Numerical substeps without artificial decoherence</w:t>
      </w:r>
    </w:p>
    <w:p>
      <w:pPr>
        <w:pStyle w:val="ListNumber"/>
        <w:spacing w:after="160" w:line="280" w:lineRule="auto"/>
        <w:ind w:left="720" w:hanging="360"/>
      </w:pPr>
      <w:r>
        <w:rPr>
          <w:rFonts w:ascii="Calibri" w:hAnsi="Calibri"/>
          <w:color w:val="202A35"/>
          <w:sz w:val="22"/>
        </w:rPr>
        <w:t>Introduce flight_id and substep_id.</w:t>
      </w:r>
    </w:p>
    <w:p>
      <w:pPr>
        <w:pStyle w:val="ListNumber"/>
        <w:spacing w:after="160" w:line="280" w:lineRule="auto"/>
        <w:ind w:left="720" w:hanging="360"/>
      </w:pPr>
      <w:r>
        <w:rPr>
          <w:rFonts w:ascii="Calibri" w:hAnsi="Calibri"/>
          <w:color w:val="202A35"/>
          <w:sz w:val="22"/>
        </w:rPr>
        <w:t>Integrate energy, beta, and collision optical depth over energy-limited substeps.</w:t>
      </w:r>
    </w:p>
    <w:p>
      <w:pPr>
        <w:pStyle w:val="ListNumber"/>
        <w:spacing w:after="160" w:line="280" w:lineRule="auto"/>
        <w:ind w:left="720" w:hanging="360"/>
      </w:pPr>
      <w:r>
        <w:rPr>
          <w:rFonts w:ascii="Calibri" w:hAnsi="Calibri"/>
          <w:color w:val="202A35"/>
          <w:sz w:val="22"/>
        </w:rPr>
        <w:t>Combine CXR substep fields within a physical flight; integrate bremsstrahlung by quadrature.</w:t>
      </w:r>
    </w:p>
    <w:p>
      <w:pPr>
        <w:pStyle w:val="ListNumber"/>
        <w:spacing w:after="160" w:line="280" w:lineRule="auto"/>
        <w:ind w:left="720" w:hanging="360"/>
      </w:pPr>
      <w:r>
        <w:rPr>
          <w:rFonts w:ascii="Calibri" w:hAnsi="Calibri"/>
          <w:color w:val="202A35"/>
          <w:sz w:val="22"/>
        </w:rPr>
        <w:t>Verify invariance as the numerical substep limit is tightened.</w:t>
      </w:r>
    </w:p>
    <w:p>
      <w:pPr>
        <w:pStyle w:val="Heading2"/>
        <w:keepNext/>
      </w:pPr>
      <w:r>
        <w:t>Stage 4 - Optional higher-fidelity physics</w:t>
      </w:r>
    </w:p>
    <w:p>
      <w:pPr>
        <w:pStyle w:val="ListNumber"/>
        <w:spacing w:after="160" w:line="280" w:lineRule="auto"/>
        <w:ind w:left="720" w:hanging="360"/>
      </w:pPr>
      <w:r>
        <w:rPr>
          <w:rFonts w:ascii="Calibri" w:hAnsi="Calibri"/>
          <w:color w:val="202A35"/>
          <w:sz w:val="22"/>
        </w:rPr>
        <w:t>Add energy-loss straggling and explicit hard inelastic events when distribution tails matter.</w:t>
      </w:r>
    </w:p>
    <w:p>
      <w:pPr>
        <w:pStyle w:val="ListNumber"/>
        <w:spacing w:after="160" w:line="280" w:lineRule="auto"/>
        <w:ind w:left="720" w:hanging="360"/>
      </w:pPr>
      <w:r>
        <w:rPr>
          <w:rFonts w:ascii="Calibri" w:hAnsi="Calibri"/>
          <w:color w:val="202A35"/>
          <w:sz w:val="22"/>
        </w:rPr>
        <w:t>Include radiative stopping consistently with the bremsstrahlung model for high-Z precision work.</w:t>
      </w:r>
    </w:p>
    <w:p>
      <w:pPr>
        <w:pStyle w:val="ListNumber"/>
        <w:spacing w:after="160" w:line="280" w:lineRule="auto"/>
        <w:ind w:left="720" w:hanging="360"/>
      </w:pPr>
      <w:r>
        <w:rPr>
          <w:rFonts w:ascii="Calibri" w:hAnsi="Calibri"/>
          <w:color w:val="202A35"/>
          <w:sz w:val="22"/>
        </w:rPr>
        <w:t>Add direction-dependent bremsstrahlung for thin or incompletely randomized trajectories.</w:t>
      </w:r>
    </w:p>
    <w:p>
      <w:pPr>
        <w:pStyle w:val="ListNumber"/>
        <w:spacing w:after="160" w:line="280" w:lineRule="auto"/>
        <w:ind w:left="720" w:hanging="360"/>
      </w:pPr>
      <w:r>
        <w:rPr>
          <w:rFonts w:ascii="Calibri" w:hAnsi="Calibri"/>
          <w:color w:val="202A35"/>
          <w:sz w:val="22"/>
        </w:rPr>
        <w:t>Treat crystal channeling/orientation-dependent transport as a separate advanced model, not as a silent modification of the independent-atom baseline.</w:t>
      </w:r>
    </w:p>
    <w:p>
      <w:pPr>
        <w:pStyle w:val="Heading1"/>
        <w:keepNext/>
      </w:pPr>
      <w:r>
        <w:t>8. Choices that are already sound</w:t>
      </w:r>
    </w:p>
    <w:p>
      <w:pPr>
        <w:keepLines w:val="0"/>
        <w:spacing w:before="0" w:after="120" w:line="264" w:lineRule="auto"/>
      </w:pPr>
      <w:r>
        <w:rPr>
          <w:rFonts w:ascii="Calibri" w:hAnsi="Calibri"/>
          <w:i w:val="0"/>
          <w:color w:val="202A35"/>
          <w:sz w:val="22"/>
        </w:rPr>
        <w:t>Several parts of the implementation should be preserved. They provide a good foundation for the changes above:</w:t>
      </w:r>
    </w:p>
    <w:p>
      <w:pPr>
        <w:pStyle w:val="ListBullet"/>
        <w:spacing w:after="160" w:line="280" w:lineRule="auto"/>
        <w:ind w:left="720" w:hanging="360"/>
      </w:pPr>
      <w:r>
        <w:rPr>
          <w:rFonts w:ascii="Calibri" w:hAnsi="Calibri"/>
          <w:color w:val="202A35"/>
          <w:sz w:val="22"/>
        </w:rPr>
        <w:t>Event-driven single elastic scattering is a clear and physically interpretable baseline in this energy regime.</w:t>
      </w:r>
    </w:p>
    <w:p>
      <w:pPr>
        <w:pStyle w:val="ListBullet"/>
        <w:spacing w:after="160" w:line="280" w:lineRule="auto"/>
        <w:ind w:left="720" w:hanging="360"/>
      </w:pPr>
      <w:r>
        <w:rPr>
          <w:rFonts w:ascii="Calibri" w:hAnsi="Calibri"/>
          <w:color w:val="202A35"/>
          <w:sz w:val="22"/>
        </w:rPr>
        <w:t>Material and geometric boundaries truncate flights before radiation is recorded in the neighboring region.</w:t>
      </w:r>
    </w:p>
    <w:p>
      <w:pPr>
        <w:pStyle w:val="ListBullet"/>
        <w:spacing w:after="160" w:line="280" w:lineRule="auto"/>
        <w:ind w:left="720" w:hanging="360"/>
      </w:pPr>
      <w:r>
        <w:rPr>
          <w:rFonts w:ascii="Calibri" w:hAnsi="Calibri"/>
          <w:color w:val="202A35"/>
          <w:sz w:val="22"/>
        </w:rPr>
        <w:t>Compound collision rates are additive over constituent atoms, and collision atoms are selected by their rate weights.</w:t>
      </w:r>
    </w:p>
    <w:p>
      <w:pPr>
        <w:pStyle w:val="ListBullet"/>
        <w:spacing w:after="160" w:line="280" w:lineRule="auto"/>
        <w:ind w:left="720" w:hanging="360"/>
      </w:pPr>
      <w:r>
        <w:rPr>
          <w:rFonts w:ascii="Calibri" w:hAnsi="Calibri"/>
          <w:color w:val="202A35"/>
          <w:sz w:val="22"/>
        </w:rPr>
        <w:t>Layer switching and material/vacuum groove propagation are conceptually separated; vacuum paths correctly omit stopping, scattering, and radiation.</w:t>
      </w:r>
    </w:p>
    <w:p>
      <w:pPr>
        <w:pStyle w:val="ListBullet"/>
        <w:spacing w:after="160" w:line="280" w:lineRule="auto"/>
        <w:ind w:left="720" w:hanging="360"/>
      </w:pPr>
      <w:r>
        <w:rPr>
          <w:rFonts w:ascii="Calibri" w:hAnsi="Calibri"/>
          <w:color w:val="202A35"/>
          <w:sz w:val="22"/>
        </w:rPr>
        <w:t>Relativistic beta(E) is used even though other portions of the model remain approximate.</w:t>
      </w:r>
    </w:p>
    <w:p>
      <w:pPr>
        <w:pStyle w:val="ListBullet"/>
        <w:spacing w:after="160" w:line="280" w:lineRule="auto"/>
        <w:ind w:left="720" w:hanging="360"/>
      </w:pPr>
      <w:r>
        <w:rPr>
          <w:rFonts w:ascii="Calibri" w:hAnsi="Calibri"/>
          <w:color w:val="202A35"/>
          <w:sz w:val="22"/>
        </w:rPr>
        <w:t>Independent RNG streams for beam and bunch sampling are a strong reproducibility choice.</w:t>
      </w:r>
    </w:p>
    <w:p>
      <w:pPr>
        <w:pStyle w:val="Heading1"/>
        <w:keepNext/>
      </w:pPr>
      <w:r>
        <w:t>9. Model scope after the recommended near-term changes</w:t>
      </w:r>
    </w:p>
    <w:p>
      <w:pPr>
        <w:keepLines w:val="0"/>
        <w:spacing w:before="0" w:after="120" w:line="264" w:lineRule="auto"/>
      </w:pPr>
      <w:r>
        <w:rPr>
          <w:rFonts w:ascii="Calibri" w:hAnsi="Calibri"/>
          <w:i w:val="0"/>
          <w:color w:val="202A35"/>
          <w:sz w:val="22"/>
        </w:rPr>
        <w:t>After Stages 0-2, the code could credibly claim a fast, data-backed, independent-atom electron transport model for roughly 1-300 keV with CSDA energy loss and controlled numerical errors. It should still avoid claiming full PENELOPE/Geant4 equivalence because it would lack hard inelastic interactions, energy-loss straggling, secondary production, and coupled photon transport.</w:t>
      </w:r>
    </w:p>
    <w:p>
      <w:pPr>
        <w:keepLines w:val="0"/>
        <w:spacing w:before="0" w:after="120" w:line="264" w:lineRule="auto"/>
      </w:pPr>
      <w:r>
        <w:rPr>
          <w:rFonts w:ascii="Calibri" w:hAnsi="Calibri"/>
          <w:i w:val="0"/>
          <w:color w:val="202A35"/>
          <w:sz w:val="22"/>
        </w:rPr>
        <w:t>For the present CXR use case, that intermediate target is worthwhile. It preserves the pure-Python/Numba runtime, substantially strengthens the physics foundation, and addresses the errors most likely to contaminate radiation spectra without requiring a full general-purpose transport engine.</w:t>
      </w:r>
    </w:p>
    <w:p>
      <w:pPr>
        <w:pStyle w:val="Heading1"/>
        <w:keepNext/>
      </w:pPr>
      <w:r>
        <w:t>10. Source files and external references</w:t>
      </w:r>
    </w:p>
    <w:p>
      <w:pPr>
        <w:keepLines w:val="0"/>
        <w:spacing w:before="0" w:after="120" w:line="264" w:lineRule="auto"/>
      </w:pPr>
      <w:r>
        <w:rPr>
          <w:rFonts w:ascii="Calibri" w:hAnsi="Calibri"/>
          <w:i w:val="0"/>
          <w:color w:val="202A35"/>
          <w:sz w:val="22"/>
        </w:rPr>
        <w:t>Reviewed source files:</w:t>
      </w:r>
    </w:p>
    <w:p>
      <w:pPr>
        <w:pStyle w:val="ListBullet"/>
        <w:spacing w:after="160" w:line="280" w:lineRule="auto"/>
        <w:ind w:left="720" w:hanging="360"/>
      </w:pPr>
      <w:r>
        <w:rPr>
          <w:rFonts w:ascii="Calibri" w:hAnsi="Calibri"/>
          <w:color w:val="202A35"/>
          <w:sz w:val="22"/>
        </w:rPr>
        <w:t>transport(4).py - electron transport, elastic scattering, stopping, boundaries, timing, and returned segment schema.</w:t>
      </w:r>
    </w:p>
    <w:p>
      <w:pPr>
        <w:pStyle w:val="ListBullet"/>
        <w:spacing w:after="160" w:line="280" w:lineRule="auto"/>
        <w:ind w:left="720" w:hanging="360"/>
      </w:pPr>
      <w:r>
        <w:rPr>
          <w:rFonts w:ascii="Calibri" w:hAnsi="Calibri"/>
          <w:color w:val="202A35"/>
          <w:sz w:val="22"/>
        </w:rPr>
        <w:t>spectrum.py - use of segment energy, finite-time line shape, coherent phase, cutoff filtering, and bremsstrahlung accumulation.</w:t>
      </w:r>
    </w:p>
    <w:p>
      <w:pPr>
        <w:keepLines w:val="0"/>
        <w:spacing w:before="0" w:after="120" w:line="264" w:lineRule="auto"/>
      </w:pPr>
      <w:r>
        <w:rPr>
          <w:rFonts w:ascii="Calibri" w:hAnsi="Calibri"/>
          <w:i w:val="0"/>
          <w:color w:val="202A35"/>
          <w:sz w:val="22"/>
        </w:rPr>
        <w:t>External references:</w:t>
      </w:r>
    </w:p>
    <w:p>
      <w:pPr>
        <w:pStyle w:val="ListBullet"/>
        <w:spacing w:after="120"/>
        <w:ind w:left="720" w:hanging="360"/>
      </w:pPr>
      <w:r>
        <w:rPr>
          <w:rFonts w:ascii="Calibri" w:hAnsi="Calibri"/>
          <w:b/>
          <w:color w:val="202A35"/>
          <w:sz w:val="22"/>
        </w:rPr>
        <w:t xml:space="preserve">Browning et al., Journal of Applied Physics 76, 2016-2022 (1994). </w:t>
      </w:r>
      <w:r>
        <w:rPr>
          <w:rFonts w:ascii="Calibri" w:hAnsi="Calibri"/>
          <w:color w:val="202A35"/>
          <w:sz w:val="22"/>
        </w:rPr>
        <w:t xml:space="preserve">Empirical total and differential elastic scattering fits; stated range 0.1-30 keV. </w:t>
      </w:r>
      <w:hyperlink r:id="rId11">
        <w:r>
          <w:rPr>
            <w:color w:val="0563C1"/>
            <w:u w:val="single"/>
          </w:rPr>
          <w:t>Source</w:t>
        </w:r>
      </w:hyperlink>
    </w:p>
    <w:p>
      <w:pPr>
        <w:pStyle w:val="ListBullet"/>
        <w:spacing w:after="120"/>
        <w:ind w:left="720" w:hanging="360"/>
      </w:pPr>
      <w:r>
        <w:rPr>
          <w:rFonts w:ascii="Calibri" w:hAnsi="Calibri"/>
          <w:b/>
          <w:color w:val="202A35"/>
          <w:sz w:val="22"/>
        </w:rPr>
        <w:t xml:space="preserve">NIST Standard Reference Database 64, Version 4.0. </w:t>
      </w:r>
      <w:r>
        <w:rPr>
          <w:rFonts w:ascii="Calibri" w:hAnsi="Calibri"/>
          <w:color w:val="202A35"/>
          <w:sz w:val="22"/>
        </w:rPr>
        <w:t xml:space="preserve">Relativistic differential, total, and transport elastic cross sections for 50 eV-300 keV electrons and Z = 1-96. </w:t>
      </w:r>
      <w:hyperlink r:id="rId12">
        <w:r>
          <w:rPr>
            <w:color w:val="0563C1"/>
            <w:u w:val="single"/>
          </w:rPr>
          <w:t>Source</w:t>
        </w:r>
      </w:hyperlink>
    </w:p>
    <w:p>
      <w:pPr>
        <w:pStyle w:val="ListBullet"/>
        <w:spacing w:after="120"/>
        <w:ind w:left="720" w:hanging="360"/>
      </w:pPr>
      <w:r>
        <w:rPr>
          <w:rFonts w:ascii="Calibri" w:hAnsi="Calibri"/>
          <w:b/>
          <w:color w:val="202A35"/>
          <w:sz w:val="22"/>
        </w:rPr>
        <w:t xml:space="preserve">NIST ESTAR methodology. </w:t>
      </w:r>
      <w:r>
        <w:rPr>
          <w:rFonts w:ascii="Calibri" w:hAnsi="Calibri"/>
          <w:color w:val="202A35"/>
          <w:sz w:val="22"/>
        </w:rPr>
        <w:t xml:space="preserve">Electron collision and radiative stopping-power methods, energy coverage, and uncertainty guidance. </w:t>
      </w:r>
      <w:hyperlink r:id="rId13">
        <w:r>
          <w:rPr>
            <w:color w:val="0563C1"/>
            <w:u w:val="single"/>
          </w:rPr>
          <w:t>Source</w:t>
        </w:r>
      </w:hyperlink>
    </w:p>
    <w:p>
      <w:pPr>
        <w:pStyle w:val="ListBullet"/>
        <w:spacing w:after="120"/>
        <w:ind w:left="720" w:hanging="360"/>
      </w:pPr>
      <w:r>
        <w:rPr>
          <w:rFonts w:ascii="Calibri" w:hAnsi="Calibri"/>
          <w:b/>
          <w:color w:val="202A35"/>
          <w:sz w:val="22"/>
        </w:rPr>
        <w:t xml:space="preserve">PENELOPE-2018 code system. </w:t>
      </w:r>
      <w:r>
        <w:rPr>
          <w:rFonts w:ascii="Calibri" w:hAnsi="Calibri"/>
          <w:color w:val="202A35"/>
          <w:sz w:val="22"/>
        </w:rPr>
        <w:t xml:space="preserve">Mixed hard/soft electron transport, condensed-history controls, and energy-straggling treatment. </w:t>
      </w:r>
      <w:hyperlink r:id="rId14">
        <w:r>
          <w:rPr>
            <w:color w:val="0563C1"/>
            <w:u w:val="single"/>
          </w:rPr>
          <w:t>Source</w:t>
        </w:r>
      </w:hyperlink>
    </w:p>
    <w:p>
      <w:pPr>
        <w:pStyle w:val="ListBullet"/>
        <w:spacing w:after="120"/>
        <w:ind w:left="720" w:hanging="360"/>
      </w:pPr>
      <w:r>
        <w:rPr>
          <w:rFonts w:ascii="Calibri" w:hAnsi="Calibri"/>
          <w:b/>
          <w:color w:val="202A35"/>
          <w:sz w:val="22"/>
        </w:rPr>
        <w:t xml:space="preserve">Salvat and Andreo, Computer Physics Communications 287 (2023). </w:t>
      </w:r>
      <w:r>
        <w:rPr>
          <w:rFonts w:ascii="Calibri" w:hAnsi="Calibri"/>
          <w:color w:val="202A35"/>
          <w:sz w:val="22"/>
        </w:rPr>
        <w:t xml:space="preserve">Corrected-Bethe electronic stopping and Seltzer-Berger radiative stopping implemented in sbethe. </w:t>
      </w:r>
      <w:hyperlink r:id="rId15">
        <w:r>
          <w:rPr>
            <w:color w:val="0563C1"/>
            <w:u w:val="single"/>
          </w:rPr>
          <w:t>Source</w:t>
        </w:r>
      </w:hyperlink>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B78"/>
        <w:sz w:val="18"/>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color w:val="5F6B78"/>
        <w:sz w:val="18"/>
      </w:rPr>
      <w:t>CXR-MC | Electron Transport Physics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02A3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pubs.aip.org/aip/jap/article/76/4/2016/497136/Empirical-forms-for-the-electron-atom-elastic" TargetMode="External"/><Relationship Id="rId12" Type="http://schemas.openxmlformats.org/officeDocument/2006/relationships/hyperlink" Target="https://www.nist.gov/srd/database-64-version-40" TargetMode="External"/><Relationship Id="rId13" Type="http://schemas.openxmlformats.org/officeDocument/2006/relationships/hyperlink" Target="https://physics.nist.gov/PhysRefData/Star/Text/method.html" TargetMode="External"/><Relationship Id="rId14" Type="http://schemas.openxmlformats.org/officeDocument/2006/relationships/hyperlink" Target="https://www.oecd.org/content/dam/oecd/en/publications/reports/2019/09/penelope-2018-a-code-system-for-monte-carlo-simulation-of-electron-and-photon-transport_55f1625c/32da5043-en.pdf" TargetMode="External"/><Relationship Id="rId15" Type="http://schemas.openxmlformats.org/officeDocument/2006/relationships/hyperlink" Target="https://diposit.ub.edu/bitstreams/9f6ab610-4a21-4138-b0f3-f33b78dc1e38/downlo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Electron Transport and Segment-Radiation Physics Recommendations</dc:title>
  <dc:subject>Physics and numerical-method review of transport(4).py and spectrum.py</dc:subject>
  <dc:creator>OpenAI</dc:creator>
  <cp:keywords>electron transport, CXR, PXR, bremsstrahlung, stopping power, elastic scattering</cp:keywords>
  <dc:description>generated by python-docx</dc:description>
  <cp:lastModifiedBy/>
  <cp:revision>1</cp:revision>
  <dcterms:created xsi:type="dcterms:W3CDTF">2013-12-23T23:15:00Z</dcterms:created>
  <dcterms:modified xsi:type="dcterms:W3CDTF">2013-12-23T23:15:00Z</dcterms:modified>
  <cp:category/>
</cp:coreProperties>
</file>