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9F1" w:rsidRPr="007629F1" w:rsidRDefault="007629F1" w:rsidP="00EA128A">
      <w:pPr>
        <w:spacing w:after="0" w:line="510" w:lineRule="atLeast"/>
        <w:jc w:val="center"/>
        <w:outlineLvl w:val="0"/>
        <w:rPr>
          <w:rFonts w:ascii="Arial" w:eastAsia="Times New Roman" w:hAnsi="Arial" w:cs="Arial"/>
          <w:b/>
          <w:bCs/>
          <w:caps/>
          <w:color w:val="202843"/>
          <w:spacing w:val="30"/>
          <w:kern w:val="36"/>
          <w:sz w:val="36"/>
          <w:szCs w:val="36"/>
        </w:rPr>
      </w:pPr>
      <w:r w:rsidRPr="007629F1">
        <w:rPr>
          <w:rFonts w:ascii="Arial" w:eastAsia="Times New Roman" w:hAnsi="Arial" w:cs="Arial"/>
          <w:b/>
          <w:bCs/>
          <w:caps/>
          <w:color w:val="202843"/>
          <w:spacing w:val="30"/>
          <w:kern w:val="36"/>
          <w:sz w:val="36"/>
          <w:szCs w:val="36"/>
        </w:rPr>
        <w:t>Annual Contracts over $25,000</w:t>
      </w:r>
    </w:p>
    <w:p w:rsidR="007629F1" w:rsidRDefault="007629F1" w:rsidP="007629F1">
      <w:pPr>
        <w:spacing w:after="0" w:line="375" w:lineRule="atLeast"/>
        <w:rPr>
          <w:rFonts w:ascii="Arial" w:eastAsia="Times New Roman" w:hAnsi="Arial" w:cs="Arial"/>
          <w:b/>
          <w:bCs/>
          <w:color w:val="202843"/>
          <w:sz w:val="21"/>
          <w:szCs w:val="21"/>
        </w:rPr>
      </w:pP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b/>
          <w:bCs/>
          <w:color w:val="202843"/>
          <w:sz w:val="21"/>
          <w:szCs w:val="21"/>
        </w:rPr>
        <w:t>Public Reporting on District Contracts</w:t>
      </w: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color w:val="202843"/>
          <w:sz w:val="21"/>
          <w:szCs w:val="21"/>
        </w:rPr>
        <w:t>Below is an excerpt from the Guidance Reporting Requirements on Contracts Exceeding $25,000:</w:t>
      </w: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i/>
          <w:iCs/>
          <w:color w:val="202843"/>
          <w:sz w:val="21"/>
          <w:szCs w:val="21"/>
        </w:rPr>
        <w:t>The School Code was amended in January of 2008 to add requirements concerning reports on contracts exceeding $25,000, beginning with FY 08, in conjunction with submission of the Annual Statement of Affairs (105 ILCS 5/10-17).</w:t>
      </w:r>
    </w:p>
    <w:p w:rsid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color w:val="202843"/>
          <w:sz w:val="21"/>
          <w:szCs w:val="21"/>
        </w:rPr>
        <w:t>The new provisions, effective for FY 08, include the following requirements:</w:t>
      </w: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i/>
          <w:iCs/>
          <w:color w:val="202843"/>
          <w:sz w:val="21"/>
          <w:szCs w:val="21"/>
        </w:rPr>
        <w:t>A school board must list on the district’s Internet website, if any, all contracts over $25,000 and any contract that the school board enters into with an exclusive bargaining representative.</w:t>
      </w: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color w:val="202843"/>
          <w:sz w:val="21"/>
          <w:szCs w:val="21"/>
        </w:rPr>
        <w:t>Compliance with this requirement can be achieved if all contracts exceeding $25,000, including personal service contracts and agreements with an exclusive bargaining representative, are posted in a list on the district website. Subsequent to the initial posting, as such contracts exceeding $25,000 are awarded by the school board, they should be added to the list.</w:t>
      </w:r>
    </w:p>
    <w:p w:rsidR="007629F1" w:rsidRPr="007629F1" w:rsidRDefault="007629F1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 w:rsidRPr="007629F1">
        <w:rPr>
          <w:rFonts w:ascii="Arial" w:eastAsia="Times New Roman" w:hAnsi="Arial" w:cs="Arial"/>
          <w:color w:val="202843"/>
          <w:sz w:val="21"/>
          <w:szCs w:val="21"/>
        </w:rPr>
        <w:t>Contracts to be excluded from the report submitted to ISBE would include: (1) collective bargaining agreements with district employee groups; and (2) personal services contracts with individual district employees.</w:t>
      </w:r>
    </w:p>
    <w:p w:rsidR="007629F1" w:rsidRDefault="007629F1" w:rsidP="007629F1">
      <w:pPr>
        <w:spacing w:after="0" w:line="375" w:lineRule="atLeast"/>
        <w:rPr>
          <w:rFonts w:ascii="Arial" w:eastAsia="Times New Roman" w:hAnsi="Arial" w:cs="Arial"/>
          <w:b/>
          <w:bCs/>
          <w:color w:val="007AFF"/>
          <w:sz w:val="21"/>
          <w:szCs w:val="21"/>
        </w:rPr>
      </w:pPr>
    </w:p>
    <w:p w:rsidR="00EA128A" w:rsidRDefault="007629F1" w:rsidP="007629F1">
      <w:pPr>
        <w:spacing w:after="0" w:line="375" w:lineRule="atLeast"/>
        <w:rPr>
          <w:rFonts w:ascii="Arial" w:eastAsia="Times New Roman" w:hAnsi="Arial" w:cs="Arial"/>
          <w:b/>
          <w:bCs/>
          <w:color w:val="007AFF"/>
          <w:sz w:val="21"/>
          <w:szCs w:val="21"/>
        </w:rPr>
      </w:pPr>
      <w:r w:rsidRPr="007629F1">
        <w:rPr>
          <w:rFonts w:ascii="Arial" w:eastAsia="Times New Roman" w:hAnsi="Arial" w:cs="Arial"/>
          <w:b/>
          <w:bCs/>
          <w:color w:val="007AFF"/>
          <w:sz w:val="21"/>
          <w:szCs w:val="21"/>
        </w:rPr>
        <w:t>Listed below are the vendors and corresponding contract amounts for all contracts that are valued at over $25,000 and that have been awarded during the Fiscal Year 2025</w:t>
      </w:r>
      <w:r w:rsidR="00EA128A">
        <w:rPr>
          <w:rFonts w:ascii="Arial" w:eastAsia="Times New Roman" w:hAnsi="Arial" w:cs="Arial"/>
          <w:b/>
          <w:bCs/>
          <w:color w:val="007AFF"/>
          <w:sz w:val="21"/>
          <w:szCs w:val="21"/>
        </w:rPr>
        <w:t xml:space="preserve"> for </w:t>
      </w:r>
    </w:p>
    <w:p w:rsidR="007629F1" w:rsidRDefault="00EA128A" w:rsidP="007629F1">
      <w:pPr>
        <w:spacing w:after="0" w:line="375" w:lineRule="atLeast"/>
        <w:rPr>
          <w:rFonts w:ascii="Arial" w:eastAsia="Times New Roman" w:hAnsi="Arial" w:cs="Arial"/>
          <w:b/>
          <w:bCs/>
          <w:color w:val="007AFF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7AFF"/>
          <w:sz w:val="21"/>
          <w:szCs w:val="21"/>
        </w:rPr>
        <w:t>Kell CSD#2…</w:t>
      </w:r>
      <w:bookmarkStart w:id="0" w:name="_GoBack"/>
      <w:bookmarkEnd w:id="0"/>
    </w:p>
    <w:p w:rsidR="00EA128A" w:rsidRDefault="00EA128A" w:rsidP="007629F1">
      <w:pPr>
        <w:spacing w:after="0" w:line="375" w:lineRule="atLeast"/>
        <w:rPr>
          <w:rFonts w:ascii="Arial" w:eastAsia="Times New Roman" w:hAnsi="Arial" w:cs="Arial"/>
          <w:b/>
          <w:bCs/>
          <w:color w:val="007AFF"/>
          <w:sz w:val="21"/>
          <w:szCs w:val="21"/>
        </w:rPr>
      </w:pPr>
    </w:p>
    <w:p w:rsidR="00EA128A" w:rsidRDefault="00EA128A" w:rsidP="007629F1">
      <w:pPr>
        <w:spacing w:after="0" w:line="375" w:lineRule="atLeast"/>
        <w:rPr>
          <w:rFonts w:ascii="Arial" w:eastAsia="Times New Roman" w:hAnsi="Arial" w:cs="Arial"/>
          <w:b/>
          <w:bCs/>
          <w:color w:val="007AFF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7AFF"/>
          <w:sz w:val="21"/>
          <w:szCs w:val="21"/>
        </w:rPr>
        <w:t>Carroll Seating (New gym bleachers)-$114,395</w:t>
      </w:r>
    </w:p>
    <w:p w:rsidR="00EA128A" w:rsidRDefault="00EA128A" w:rsidP="007629F1">
      <w:pPr>
        <w:spacing w:after="0" w:line="375" w:lineRule="atLeast"/>
        <w:rPr>
          <w:rFonts w:ascii="Arial" w:eastAsia="Times New Roman" w:hAnsi="Arial" w:cs="Arial"/>
          <w:b/>
          <w:bCs/>
          <w:color w:val="007AFF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7AFF"/>
          <w:sz w:val="21"/>
          <w:szCs w:val="21"/>
        </w:rPr>
        <w:t>Santander Leasing (New bus lease)-$32,234</w:t>
      </w:r>
    </w:p>
    <w:p w:rsidR="00EA128A" w:rsidRPr="007629F1" w:rsidRDefault="00EA128A" w:rsidP="007629F1">
      <w:pPr>
        <w:spacing w:after="0" w:line="375" w:lineRule="atLeast"/>
        <w:rPr>
          <w:rFonts w:ascii="Arial" w:eastAsia="Times New Roman" w:hAnsi="Arial" w:cs="Arial"/>
          <w:color w:val="20284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007AFF"/>
          <w:sz w:val="21"/>
          <w:szCs w:val="21"/>
        </w:rPr>
        <w:t>Curriculum Associates (ELA &amp; Math curriculum)-$28,169</w:t>
      </w:r>
    </w:p>
    <w:p w:rsidR="00732845" w:rsidRDefault="00732845"/>
    <w:sectPr w:rsidR="00732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9F1"/>
    <w:rsid w:val="00732845"/>
    <w:rsid w:val="007629F1"/>
    <w:rsid w:val="00EA1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27F6"/>
  <w15:chartTrackingRefBased/>
  <w15:docId w15:val="{1B004F42-5732-4F3B-9952-33400A06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29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29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3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cp:lastPrinted>2026-05-07T14:22:00Z</cp:lastPrinted>
  <dcterms:created xsi:type="dcterms:W3CDTF">2026-05-07T14:21:00Z</dcterms:created>
  <dcterms:modified xsi:type="dcterms:W3CDTF">2026-05-07T15:31:00Z</dcterms:modified>
</cp:coreProperties>
</file>