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Equation OMML round-trip test</w:t>
      </w:r>
    </w:p>
    <w:p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β</m:t>
          </m:r>
          <m:r>
            <m:rPr>
              <m:sty m:val="p"/>
            </m:rPr>
            <m:t>⋅</m:t>
          </m:r>
          <m:sSub>
            <m:e>
              <m:r>
                <m:rPr>
                  <m:nor/>
                  <m:sty m:val="p"/>
                </m:rPr>
                <m:t>KUSUM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γ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GDPpc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s</m:t>
              </m:r>
              <m:r>
                <m:t>t</m:t>
              </m:r>
            </m:sub>
          </m:sSub>
        </m:oMath>
      </m:oMathPara>
    </w:p>
    <w:p>
      <w:r>
        <w:t>State fixed effects (</w:t>
      </w:r>
      <m:oMath xmlns:a="http://schemas.openxmlformats.org/drawingml/2006/main" xmlns:pic="http://schemas.openxmlformats.org/drawingml/2006/picture">
        <m:sSub>
          <m:e>
            <m:r>
              <m:t>α</m:t>
            </m:r>
          </m:e>
          <m:sub>
            <m:r>
              <m:t>s</m:t>
            </m:r>
          </m:sub>
        </m:sSub>
      </m:oMath>
      <w:r>
        <w:t>) absorb time-invariant characteristics, and year fixed effects (</w:t>
      </w:r>
      <m:oMath xmlns:a="http://schemas.openxmlformats.org/drawingml/2006/main" xmlns:pic="http://schemas.openxmlformats.org/drawingml/2006/picture">
        <m:sSub>
          <m:e>
            <m:r>
              <m:t>λ</m:t>
            </m:r>
          </m:e>
          <m:sub>
            <m:r>
              <m:t>t</m:t>
            </m:r>
          </m:sub>
        </m:sSub>
      </m:oMath>
      <w:r>
        <w:t>) absorb national shocks.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