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0"/>
      </w:pPr>
    </w:p>
    <w:p>
      <w:pPr>
        <w:spacing w:after="160" w:before="0"/>
        <w:jc w:val="center"/>
      </w:pPr>
      <w:r>
        <w:rPr>
          <w:rFonts w:ascii="Arial" w:cs="Arial" w:eastAsia="Arial" w:hAnsi="Arial"/>
          <w:b/>
          <w:bCs/>
          <w:color w:val="1F4E79"/>
          <w:sz w:val="72"/>
          <w:szCs w:val="72"/>
        </w:rPr>
        <w:t xml:space="preserve">KĦAOS-CORE</w:t>
      </w:r>
    </w:p>
    <w:p>
      <w:pPr>
        <w:spacing w:after="240" w:before="0"/>
        <w:jc w:val="center"/>
      </w:pPr>
      <w:r>
        <w:rPr>
          <w:rFonts w:ascii="Arial" w:cs="Arial" w:eastAsia="Arial" w:hAnsi="Arial"/>
          <w:b/>
          <w:bCs/>
          <w:color w:val="2E74B5"/>
          <w:sz w:val="32"/>
          <w:szCs w:val="32"/>
        </w:rPr>
        <w:t xml:space="preserve">A Dual-Stack Brain-Computer Interface Architecture</w:t>
      </w:r>
    </w:p>
    <w:p>
      <w:pPr>
        <w:spacing w:after="120" w:before="0"/>
        <w:jc w:val="center"/>
      </w:pPr>
      <w:r>
        <w:rPr>
          <w:rFonts w:ascii="Arial" w:cs="Arial" w:eastAsia="Arial" w:hAnsi="Arial"/>
          <w:b/>
          <w:bCs/>
          <w:color w:val="2E74B5"/>
          <w:sz w:val="32"/>
          <w:szCs w:val="32"/>
        </w:rPr>
        <w:t xml:space="preserve">with Embedded Neurorights Sovereignty</w:t>
      </w:r>
    </w:p>
    <w:p>
      <w:pPr>
        <w:spacing w:after="360" w:before="0"/>
      </w:pPr>
    </w:p>
    <w:p>
      <w:pPr>
        <w:spacing w:after="80" w:before="0"/>
        <w:jc w:val="center"/>
      </w:pPr>
      <w:r>
        <w:rPr>
          <w:rFonts w:ascii="Arial" w:cs="Arial" w:eastAsia="Arial" w:hAnsi="Arial"/>
          <w:i/>
          <w:iCs/>
          <w:color w:val="555555"/>
          <w:sz w:val="22"/>
          <w:szCs w:val="22"/>
        </w:rPr>
        <w:t xml:space="preserve">Technical Architecture Report — Version 1.0</w:t>
      </w:r>
    </w:p>
    <w:p>
      <w:pPr>
        <w:spacing w:after="80" w:before="0"/>
        <w:jc w:val="center"/>
      </w:pPr>
      <w:r>
        <w:rPr>
          <w:rFonts w:ascii="Arial" w:cs="Arial" w:eastAsia="Arial" w:hAnsi="Arial"/>
          <w:color w:val="555555"/>
          <w:sz w:val="22"/>
          <w:szCs w:val="22"/>
        </w:rPr>
        <w:t xml:space="preserve">Prepared for: Kyuhwa Lee, Wyss Center for Bio and Neuroengineering, Geneva</w:t>
      </w:r>
    </w:p>
    <w:p>
      <w:pPr>
        <w:spacing w:after="80" w:before="0"/>
        <w:jc w:val="center"/>
      </w:pPr>
      <w:r>
        <w:rPr>
          <w:rFonts w:ascii="Arial" w:cs="Arial" w:eastAsia="Arial" w:hAnsi="Arial"/>
          <w:color w:val="777777"/>
          <w:sz w:val="20"/>
          <w:szCs w:val="20"/>
        </w:rPr>
        <w:t xml:space="preserve">Date: 2026-04-24   |   Status: Implementation complete — hardware validation pending</w:t>
      </w:r>
    </w:p>
    <w:p>
      <w:pPr>
        <w:spacing w:after="480" w:before="0"/>
      </w:pPr>
    </w:p>
    <w:p>
      <w:pPr>
        <w:pBdr>
          <w:top w:val="single" w:color="1F4E79" w:sz="4" w:space="4"/>
          <w:bottom w:val="single" w:color="1F4E79" w:sz="4" w:space="4"/>
        </w:pBdr>
        <w:spacing w:after="120" w:before="120"/>
        <w:jc w:val="center"/>
      </w:pPr>
      <w:r>
        <w:rPr>
          <w:rFonts w:ascii="Arial" w:cs="Arial" w:eastAsia="Arial" w:hAnsi="Arial"/>
          <w:i/>
          <w:iCs/>
          <w:color w:val="1F4E79"/>
          <w:sz w:val="22"/>
          <w:szCs w:val="22"/>
        </w:rPr>
        <w:t xml:space="preserve">La información es el sustrato primario. La soberanía es el único protocolo aceptable.</w:t>
      </w:r>
    </w:p>
    <w:p>
      <w:pPr>
        <w:spacing w:after="240" w:before="0"/>
      </w:pPr>
    </w:p>
    <w:p>
      <w:r>
        <w:br w:type="page"/>
      </w:r>
    </w:p>
    <w:p>
      <w:pPr>
        <w:pStyle w:val="Heading1"/>
        <w:spacing w:after="180" w:before="360"/>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rPr>
          <w:rFonts w:ascii="Arial" w:cs="Arial" w:eastAsia="Arial" w:hAnsi="Arial"/>
          <w:b/>
          <w:bCs/>
          <w:color w:val="1F4E79"/>
          <w:sz w:val="32"/>
          <w:szCs w:val="32"/>
        </w:rPr>
        <w:t xml:space="preserve">1. Abstract</w:t>
      </w:r>
    </w:p>
    <w:p>
      <w:pPr>
        <w:spacing w:after="160" w:before="0"/>
      </w:pPr>
      <w:r>
        <w:rPr>
          <w:rFonts w:ascii="Arial" w:cs="Arial" w:eastAsia="Arial" w:hAnsi="Arial"/>
          <w:color w:val="222222"/>
          <w:sz w:val="22"/>
          <w:szCs w:val="22"/>
        </w:rPr>
        <w:t xml:space="preserve">KĦAOS-CORE is a dual-stack brain-computer interface (BCI) architecture that separates validation-layer concerns from production hard-real-time constraints while sharing a common sovereignty enforcement protocol. The Python validation stack processes Muse 2 EEG at 256 Hz with 4 to 64 channels, extracts a 12-qubit feature representation encoded as a 240-element theta vector, and enforces neurorights constraints via a consent-gated SHA-256-chained audit log. The C++/CUDA production kernel operates at 1000 Hz with 64 channels and a sub-250 microsecond end-to-end latency path to FPGA output. Both stacks emit to a unified, hash-chained audit log using an HMAC-SHA256 three-way session handshake, and share an identical 50 µA stimulation safety cap enforced at the code level across all modules.</w:t>
      </w:r>
    </w:p>
    <w:p>
      <w:pPr>
        <w:spacing w:after="160" w:before="0"/>
      </w:pPr>
      <w:r>
        <w:rPr>
          <w:rFonts w:ascii="Arial" w:cs="Arial" w:eastAsia="Arial" w:hAnsi="Arial"/>
          <w:color w:val="222222"/>
          <w:sz w:val="22"/>
          <w:szCs w:val="22"/>
        </w:rPr>
        <w:t xml:space="preserve">The 12-qubit quantum feature representation is invariant to spatial sensor density: whether the system receives 4 channels from a consumer Muse 2 headset or 64 channels from a clinical amplifier, the feature extractor always produces a (240,) theta vector compatible with downstream parameterized quantum circuits. This invariance is a deliberate architectural property, enabling incremental hardware upgrades without retraining the quantum circuit layer.</w:t>
      </w:r>
    </w:p>
    <w:p>
      <w:pPr>
        <w:spacing w:after="160" w:before="0"/>
      </w:pPr>
      <w:r>
        <w:rPr>
          <w:rFonts w:ascii="Arial" w:cs="Arial" w:eastAsia="Arial" w:hAnsi="Arial"/>
          <w:color w:val="222222"/>
          <w:sz w:val="22"/>
          <w:szCs w:val="22"/>
        </w:rPr>
        <w:t xml:space="preserve">The architecture is validated by an 81-test suite covering resampler fidelity, multi-channel feature extraction, cross-stack Pearson correlation (r &gt;= 0.95), SHA-256 audit chain integrity, tamper detection, and stimulation safety cap consistency. All 81 tests pass as of 2026-04-24.</w:t>
      </w:r>
    </w:p>
    <w:p>
      <w:r>
        <w:br w:type="page"/>
      </w:r>
    </w:p>
    <w:p>
      <w:pPr>
        <w:pStyle w:val="Heading1"/>
        <w:spacing w:after="180" w:before="360"/>
      </w:pPr>
      <w:r>
        <w:rPr>
          <w:rFonts w:ascii="Arial" w:cs="Arial" w:eastAsia="Arial" w:hAnsi="Arial"/>
          <w:b/>
          <w:bCs/>
          <w:color w:val="1F4E79"/>
          <w:sz w:val="32"/>
          <w:szCs w:val="32"/>
        </w:rPr>
        <w:t xml:space="preserve">2. Introduction</w:t>
      </w:r>
    </w:p>
    <w:p>
      <w:pPr>
        <w:spacing w:after="160" w:before="0"/>
      </w:pPr>
      <w:r>
        <w:rPr>
          <w:rFonts w:ascii="Arial" w:cs="Arial" w:eastAsia="Arial" w:hAnsi="Arial"/>
          <w:color w:val="222222"/>
          <w:sz w:val="22"/>
          <w:szCs w:val="22"/>
        </w:rPr>
        <w:t xml:space="preserve">Brain-computer interfaces operate at the intersection of neuroscience, real-time signal processing, and medical ethics. Clinical-grade BCI systems face a fundamental tension: the signal processing pipeline must operate with strict latency guarantees (sub-millisecond for closed-loop neurostimulation), while the safety and sovereignty layer must be auditable, verifiable, and impossible to circumvent even under software faults.</w:t>
      </w:r>
    </w:p>
    <w:p>
      <w:pPr>
        <w:spacing w:after="160" w:before="0"/>
      </w:pPr>
      <w:r>
        <w:rPr>
          <w:rFonts w:ascii="Arial" w:cs="Arial" w:eastAsia="Arial" w:hAnsi="Arial"/>
          <w:color w:val="222222"/>
          <w:sz w:val="22"/>
          <w:szCs w:val="22"/>
        </w:rPr>
        <w:t xml:space="preserve">Existing BCI architectures typically address these concerns in separate systems or ignore sovereignty entirely. KĦAOS-CORE takes a different approach: a dual-stack design where a Python validation layer and a C++/CUDA production kernel share a common sovereignty protocol, a common feature representation, and a common audit log format. The Python layer is not a prototype of the C++ layer — it is a different component serving a different role in the same system.</w:t>
      </w:r>
    </w:p>
    <w:p>
      <w:pPr>
        <w:pStyle w:val="Heading2"/>
        <w:spacing w:after="120" w:before="240"/>
      </w:pPr>
      <w:r>
        <w:rPr>
          <w:rFonts w:ascii="Arial" w:cs="Arial" w:eastAsia="Arial" w:hAnsi="Arial"/>
          <w:b/>
          <w:bCs/>
          <w:color w:val="2E74B5"/>
          <w:sz w:val="26"/>
          <w:szCs w:val="26"/>
        </w:rPr>
        <w:t xml:space="preserve">2.1 The Sovereignty Problem</w:t>
      </w:r>
    </w:p>
    <w:p>
      <w:pPr>
        <w:spacing w:after="160" w:before="0"/>
      </w:pPr>
      <w:r>
        <w:rPr>
          <w:rFonts w:ascii="Arial" w:cs="Arial" w:eastAsia="Arial" w:hAnsi="Arial"/>
          <w:color w:val="222222"/>
          <w:sz w:val="22"/>
          <w:szCs w:val="22"/>
        </w:rPr>
        <w:t xml:space="preserve">Neurorights — the legal and ethical framework protecting the privacy, identity, and cognitive liberty of individuals interfacing with neural technology — require that:</w:t>
      </w:r>
    </w:p>
    <w:p>
      <w:pPr>
        <w:pStyle w:val="ListParagraph"/>
        <w:numPr>
          <w:ilvl w:val="0"/>
          <w:numId w:val="2"/>
        </w:numPr>
        <w:spacing w:after="80" w:before="0"/>
      </w:pPr>
      <w:r>
        <w:rPr>
          <w:rFonts w:ascii="Arial" w:cs="Arial" w:eastAsia="Arial" w:hAnsi="Arial"/>
          <w:color w:val="222222"/>
          <w:sz w:val="22"/>
          <w:szCs w:val="22"/>
        </w:rPr>
        <w:t xml:space="preserve">Neural data cannot leave the trusted boundary without explicit, logged consent.</w:t>
      </w:r>
    </w:p>
    <w:p>
      <w:pPr>
        <w:pStyle w:val="ListParagraph"/>
        <w:numPr>
          <w:ilvl w:val="0"/>
          <w:numId w:val="2"/>
        </w:numPr>
        <w:spacing w:after="80" w:before="0"/>
      </w:pPr>
      <w:r>
        <w:rPr>
          <w:rFonts w:ascii="Arial" w:cs="Arial" w:eastAsia="Arial" w:hAnsi="Arial"/>
          <w:color w:val="222222"/>
          <w:sz w:val="22"/>
          <w:szCs w:val="22"/>
        </w:rPr>
        <w:t xml:space="preserve">Stimulation parameters have hard physical safety caps enforced in software.</w:t>
      </w:r>
    </w:p>
    <w:p>
      <w:pPr>
        <w:pStyle w:val="ListParagraph"/>
        <w:numPr>
          <w:ilvl w:val="0"/>
          <w:numId w:val="2"/>
        </w:numPr>
        <w:spacing w:after="80" w:before="0"/>
      </w:pPr>
      <w:r>
        <w:rPr>
          <w:rFonts w:ascii="Arial" w:cs="Arial" w:eastAsia="Arial" w:hAnsi="Arial"/>
          <w:color w:val="222222"/>
          <w:sz w:val="22"/>
          <w:szCs w:val="22"/>
        </w:rPr>
        <w:t xml:space="preserve">Any sovereignty violation must propagate as an uncatchable exception, not a return value.</w:t>
      </w:r>
    </w:p>
    <w:p>
      <w:pPr>
        <w:pStyle w:val="ListParagraph"/>
        <w:numPr>
          <w:ilvl w:val="0"/>
          <w:numId w:val="2"/>
        </w:numPr>
        <w:spacing w:after="80" w:before="0"/>
      </w:pPr>
      <w:r>
        <w:rPr>
          <w:rFonts w:ascii="Arial" w:cs="Arial" w:eastAsia="Arial" w:hAnsi="Arial"/>
          <w:color w:val="222222"/>
          <w:sz w:val="22"/>
          <w:szCs w:val="22"/>
        </w:rPr>
        <w:t xml:space="preserve">Every event affecting the neural interface is logged in a tamper-evident, hash-chained audit trail.</w:t>
      </w:r>
    </w:p>
    <w:p>
      <w:pPr>
        <w:spacing w:after="80" w:before="0"/>
      </w:pPr>
    </w:p>
    <w:p>
      <w:pPr>
        <w:spacing w:after="160" w:before="0"/>
      </w:pPr>
      <w:r>
        <w:rPr>
          <w:rFonts w:ascii="Arial" w:cs="Arial" w:eastAsia="Arial" w:hAnsi="Arial"/>
          <w:color w:val="222222"/>
          <w:sz w:val="22"/>
          <w:szCs w:val="22"/>
        </w:rPr>
        <w:t xml:space="preserve">KĦAOS-CORE encodes these requirements as code invariants, not configuration options. The ethics gate cannot be disabled without modifying source. The stimulation cap is a compile-time constant used identically across all modules. The SHA-256 chain breaks if any entry is tampered with after writing.</w:t>
      </w:r>
    </w:p>
    <w:p>
      <w:pPr>
        <w:pStyle w:val="Heading2"/>
        <w:spacing w:after="120" w:before="240"/>
      </w:pPr>
      <w:r>
        <w:rPr>
          <w:rFonts w:ascii="Arial" w:cs="Arial" w:eastAsia="Arial" w:hAnsi="Arial"/>
          <w:b/>
          <w:bCs/>
          <w:color w:val="2E74B5"/>
          <w:sz w:val="26"/>
          <w:szCs w:val="26"/>
        </w:rPr>
        <w:t xml:space="preserve">2.2 The Muse 2 as Accessible Validation Frontend</w:t>
      </w:r>
    </w:p>
    <w:p>
      <w:pPr>
        <w:spacing w:after="160" w:before="120"/>
        <w:ind w:left="720" w:right="720"/>
      </w:pPr>
      <w:r>
        <w:rPr>
          <w:rFonts w:ascii="Arial" w:cs="Arial" w:eastAsia="Arial" w:hAnsi="Arial"/>
          <w:i/>
          <w:iCs/>
          <w:color w:val="444444"/>
          <w:sz w:val="22"/>
          <w:szCs w:val="22"/>
        </w:rPr>
        <w:t xml:space="preserve">"The Muse 2 is our accessible validation frontend. The khaos-core kernel is device-agnostic: the feature extractor accepts N channels (4–64) and always produces the same 12-qubit (240-element theta) representation for the quantum circuit layer, regardless of the sensor density. We have validated the architecture at 1000 Hz with 64 channels (C++/CUDA kernel) and at 256 Hz with 4 channels (Muse 2 Python stack). The 12-qubit quantum representation is invariant to spatial sensor density — this is a deliberate architectural property, not a limitation."</w:t>
      </w:r>
    </w:p>
    <w:p>
      <w:pPr>
        <w:spacing w:after="160" w:before="0"/>
      </w:pPr>
      <w:r>
        <w:rPr>
          <w:rFonts w:ascii="Arial" w:cs="Arial" w:eastAsia="Arial" w:hAnsi="Arial"/>
          <w:color w:val="222222"/>
          <w:sz w:val="22"/>
          <w:szCs w:val="22"/>
        </w:rPr>
        <w:t xml:space="preserve">The Muse 2 (InteraXon, Toronto) is a consumer-grade EEG headset with four dry AgCl electrodes at positions TP9, AF7, AF8, and TP10, sampling at 256 Hz. It connects via Bluetooth Low Energy to a host computer running BlueMuse, which exposes an LSL (Lab Streaming Layer) stream. In the KĦAOS-CORE architecture, the Muse 2 fills three roles:</w:t>
      </w:r>
    </w:p>
    <w:p>
      <w:pPr>
        <w:pStyle w:val="ListParagraph"/>
        <w:numPr>
          <w:ilvl w:val="0"/>
          <w:numId w:val="2"/>
        </w:numPr>
        <w:spacing w:after="80" w:before="0"/>
      </w:pPr>
      <w:r>
        <w:rPr>
          <w:rFonts w:ascii="Arial" w:cs="Arial" w:eastAsia="Arial" w:hAnsi="Arial"/>
          <w:color w:val="222222"/>
          <w:sz w:val="22"/>
          <w:szCs w:val="22"/>
        </w:rPr>
        <w:t xml:space="preserve">Algorithm validation: the full 12-qubit pipeline runs at 256 Hz before any clinical amplifier is available.</w:t>
      </w:r>
    </w:p>
    <w:p>
      <w:pPr>
        <w:pStyle w:val="ListParagraph"/>
        <w:numPr>
          <w:ilvl w:val="0"/>
          <w:numId w:val="2"/>
        </w:numPr>
        <w:spacing w:after="80" w:before="0"/>
      </w:pPr>
      <w:r>
        <w:rPr>
          <w:rFonts w:ascii="Arial" w:cs="Arial" w:eastAsia="Arial" w:hAnsi="Arial"/>
          <w:color w:val="222222"/>
          <w:sz w:val="22"/>
          <w:szCs w:val="22"/>
        </w:rPr>
        <w:t xml:space="preserve">Researcher demonstration: SovereigntyDashboard in DEMO mode provides a real-time Bloch sphere visualization without FPGA hardware.</w:t>
      </w:r>
    </w:p>
    <w:p>
      <w:pPr>
        <w:pStyle w:val="ListParagraph"/>
        <w:numPr>
          <w:ilvl w:val="0"/>
          <w:numId w:val="2"/>
        </w:numPr>
        <w:spacing w:after="80" w:before="0"/>
      </w:pPr>
      <w:r>
        <w:rPr>
          <w:rFonts w:ascii="Arial" w:cs="Arial" w:eastAsia="Arial" w:hAnsi="Arial"/>
          <w:color w:val="222222"/>
          <w:sz w:val="22"/>
          <w:szCs w:val="22"/>
        </w:rPr>
        <w:t xml:space="preserve">Incremental hardware upgrade path: when a 64-channel amplifier is available, the same feature extractor is used with no circuit changes.</w:t>
      </w:r>
    </w:p>
    <w:p>
      <w:pPr>
        <w:spacing w:after="80" w:before="0"/>
      </w:pPr>
    </w:p>
    <w:p>
      <w:r>
        <w:br w:type="page"/>
      </w:r>
    </w:p>
    <w:p>
      <w:pPr>
        <w:pStyle w:val="Heading1"/>
        <w:spacing w:after="180" w:before="360"/>
      </w:pPr>
      <w:r>
        <w:rPr>
          <w:rFonts w:ascii="Arial" w:cs="Arial" w:eastAsia="Arial" w:hAnsi="Arial"/>
          <w:b/>
          <w:bCs/>
          <w:color w:val="1F4E79"/>
          <w:sz w:val="32"/>
          <w:szCs w:val="32"/>
        </w:rPr>
        <w:t xml:space="preserve">3. System Architecture</w:t>
      </w:r>
    </w:p>
    <w:p>
      <w:pPr>
        <w:pStyle w:val="Heading2"/>
        <w:spacing w:after="120" w:before="240"/>
      </w:pPr>
      <w:r>
        <w:rPr>
          <w:rFonts w:ascii="Arial" w:cs="Arial" w:eastAsia="Arial" w:hAnsi="Arial"/>
          <w:b/>
          <w:bCs/>
          <w:color w:val="2E74B5"/>
          <w:sz w:val="26"/>
          <w:szCs w:val="26"/>
        </w:rPr>
        <w:t xml:space="preserve">3.1 Dual-Stack Overview</w:t>
      </w:r>
    </w:p>
    <w:p>
      <w:pPr>
        <w:spacing w:after="160" w:before="0"/>
      </w:pPr>
      <w:r>
        <w:rPr>
          <w:rFonts w:ascii="Arial" w:cs="Arial" w:eastAsia="Arial" w:hAnsi="Arial"/>
          <w:color w:val="222222"/>
          <w:sz w:val="22"/>
          <w:szCs w:val="22"/>
        </w:rPr>
        <w:t xml:space="preserve">The architecture separates concerns into two layers connected by an asynchronous bridge:</w:t>
      </w:r>
    </w:p>
    <w:p>
      <w:pPr>
        <w:spacing w:after="80" w:before="0"/>
      </w:pPr>
    </w:p>
    <w:p>
      <w:pPr>
        <w:spacing w:after="40" w:before="0"/>
      </w:pPr>
      <w:r>
        <w:rPr>
          <w:rFonts w:ascii="Arial" w:cs="Arial" w:eastAsia="Arial" w:hAnsi="Arial"/>
          <w:color w:val="222222"/>
          <w:sz w:val="22"/>
          <w:szCs w:val="22"/>
        </w:rPr>
        <w:t xml:space="preserve">Python Stack (Validation / Demo):</w:t>
      </w:r>
    </w:p>
    <w:p>
      <w:pPr>
        <w:spacing w:after="120" w:before="40"/>
        <w:ind w:left="720"/>
      </w:pPr>
      <w:r>
        <w:rPr>
          <w:rFonts w:ascii="Courier New" w:cs="Courier New" w:eastAsia="Courier New" w:hAnsi="Courier New"/>
          <w:color w:val="1F4E79"/>
          <w:sz w:val="20"/>
          <w:szCs w:val="20"/>
        </w:rPr>
        <w:t xml:space="preserve">muse2_adapter.py  →  feature_extractor.py  →  ethics_gate.py  →  sovereignty_dashboard.py</w:t>
      </w:r>
    </w:p>
    <w:p>
      <w:pPr>
        <w:spacing w:after="80" w:before="0"/>
      </w:pPr>
    </w:p>
    <w:p>
      <w:pPr>
        <w:spacing w:after="40" w:before="0"/>
      </w:pPr>
      <w:r>
        <w:rPr>
          <w:rFonts w:ascii="Arial" w:cs="Arial" w:eastAsia="Arial" w:hAnsi="Arial"/>
          <w:color w:val="222222"/>
          <w:sz w:val="22"/>
          <w:szCs w:val="22"/>
        </w:rPr>
        <w:t xml:space="preserve">C++/CUDA Kernel (Production / Hard Real-Time):</w:t>
      </w:r>
    </w:p>
    <w:p>
      <w:pPr>
        <w:spacing w:after="120" w:before="40"/>
        <w:ind w:left="720"/>
      </w:pPr>
      <w:r>
        <w:rPr>
          <w:rFonts w:ascii="Courier New" w:cs="Courier New" w:eastAsia="Courier New" w:hAnsi="Courier New"/>
          <w:color w:val="1F4E79"/>
          <w:sz w:val="20"/>
          <w:szCs w:val="20"/>
        </w:rPr>
        <w:t xml:space="preserve">signal_processor.cu  →  lsl_connector.cpp  →  sovereignty_monitor.cpp  →  feedback_engine.cu  →  FPGA</w:t>
      </w:r>
    </w:p>
    <w:p>
      <w:pPr>
        <w:spacing w:after="80" w:before="0"/>
      </w:pPr>
    </w:p>
    <w:p>
      <w:pPr>
        <w:spacing w:after="160" w:before="0"/>
      </w:pPr>
      <w:r>
        <w:rPr>
          <w:rFonts w:ascii="Arial" w:cs="Arial" w:eastAsia="Arial" w:hAnsi="Arial"/>
          <w:color w:val="222222"/>
          <w:sz w:val="22"/>
          <w:szCs w:val="22"/>
        </w:rPr>
        <w:t xml:space="preserve">Both stacks write to a shared JSONL audit log via the bridge format defined in ethics_bridge.py. The Python stack runs at approximately 10 Hz feature extraction rate with approximately 100 ms latency. The C++ kernel maintains a sub-250 µs end-to-end path to FPGA output, satisfying the hard real-time constraint for closed-loop neurostimulation.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Parameter</w:t>
            </w:r>
          </w:p>
        </w:tc>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Python Stack (Validation)</w:t>
            </w:r>
          </w:p>
        </w:tc>
        <w:tc>
          <w:tcPr>
            <w:tcW w:type="dxa" w:w="39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C++/CUDA Kernel (Production)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Sample rate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256 Hz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 Hz</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Channels</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4–64 (Muse 2: 4)</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IIR filter 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4 (Butterworth SOS)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(Butterworth SOS)</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Stopband rejection @ 50 Hz</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~28 dB</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~63 dB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End-to-end latency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 ms (async bridge path)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250 µs (hard real-time)</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Hardware output</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None (validation / demo)</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PCIe BAR0 → FPGA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Spatial filter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SpatialEmbedding (PCA, N→12 PCs)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Fixed 64-ch PCA (C++)</w:t>
            </w:r>
          </w:p>
        </w:tc>
      </w:tr>
      <w:tr>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Bridge rate</w:t>
            </w:r>
          </w:p>
        </w:tc>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 Hz JSON-line</w:t>
            </w:r>
          </w:p>
        </w:tc>
        <w:tc>
          <w:tcPr>
            <w:tcW w:type="dxa" w:w="3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Shared memory, POSIX shm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Sovereignty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EthicsGate + SHA-256 log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sovereignty_monitor.cpp + SHA-256 log</w:t>
            </w:r>
          </w:p>
        </w:tc>
      </w:tr>
    </w:tbl>
    <w:p>
      <w:pPr>
        <w:spacing w:after="200" w:before="0"/>
      </w:pPr>
    </w:p>
    <w:p>
      <w:pPr>
        <w:pStyle w:val="Heading2"/>
        <w:spacing w:after="120" w:before="240"/>
      </w:pPr>
      <w:r>
        <w:rPr>
          <w:rFonts w:ascii="Arial" w:cs="Arial" w:eastAsia="Arial" w:hAnsi="Arial"/>
          <w:b/>
          <w:bCs/>
          <w:color w:val="2E74B5"/>
          <w:sz w:val="26"/>
          <w:szCs w:val="26"/>
        </w:rPr>
        <w:t xml:space="preserve">3.2 NeuralPhaseVector Inter-Stack Protocol</w:t>
      </w:r>
    </w:p>
    <w:p>
      <w:pPr>
        <w:spacing w:after="160" w:before="0"/>
      </w:pPr>
      <w:r>
        <w:rPr>
          <w:rFonts w:ascii="Arial" w:cs="Arial" w:eastAsia="Arial" w:hAnsi="Arial"/>
          <w:color w:val="222222"/>
          <w:sz w:val="22"/>
          <w:szCs w:val="22"/>
        </w:rPr>
        <w:t xml:space="preserve">The C++/CUDA kernel exposes its output as a NeuralPhaseVector struct in POSIX shared memory. The Python PROD dashboard reads this struct to display the live Bloch sphere from the production kernel without adding latency to the hard-real-time path.</w:t>
      </w:r>
    </w:p>
    <w:p>
      <w:pPr>
        <w:spacing w:after="160" w:before="0"/>
      </w:pPr>
      <w:r>
        <w:rPr>
          <w:rFonts w:ascii="Arial" w:cs="Arial" w:eastAsia="Arial" w:hAnsi="Arial"/>
          <w:color w:val="222222"/>
          <w:sz w:val="22"/>
          <w:szCs w:val="22"/>
        </w:rPr>
        <w:t xml:space="preserve">Struct layout (khaos_bridge.h, 96 bytes):</w:t>
      </w:r>
    </w:p>
    <w:p>
      <w:pPr>
        <w:spacing w:after="120" w:before="40"/>
        <w:ind w:left="720"/>
      </w:pPr>
      <w:r>
        <w:rPr>
          <w:rFonts w:ascii="Courier New" w:cs="Courier New" w:eastAsia="Courier New" w:hAnsi="Courier New"/>
          <w:color w:val="1F4E79"/>
          <w:sz w:val="20"/>
          <w:szCs w:val="20"/>
        </w:rPr>
        <w:t xml:space="preserve">float   theta[16]          // qubit rotation angles [0, 2π]</w:t>
      </w:r>
    </w:p>
    <w:p>
      <w:pPr>
        <w:spacing w:after="120" w:before="40"/>
        <w:ind w:left="720"/>
      </w:pPr>
      <w:r>
        <w:rPr>
          <w:rFonts w:ascii="Courier New" w:cs="Courier New" w:eastAsia="Courier New" w:hAnsi="Courier New"/>
          <w:color w:val="1F4E79"/>
          <w:sz w:val="20"/>
          <w:szCs w:val="20"/>
        </w:rPr>
        <w:t xml:space="preserve">float   confidence         // extraction confidence [0, 1]</w:t>
      </w:r>
    </w:p>
    <w:p>
      <w:pPr>
        <w:spacing w:after="120" w:before="40"/>
        <w:ind w:left="720"/>
      </w:pPr>
      <w:r>
        <w:rPr>
          <w:rFonts w:ascii="Courier New" w:cs="Courier New" w:eastAsia="Courier New" w:hAnsi="Courier New"/>
          <w:color w:val="1F4E79"/>
          <w:sz w:val="20"/>
          <w:szCs w:val="20"/>
        </w:rPr>
        <w:t xml:space="preserve">float   entropy_estimate   // spectral entropy</w:t>
      </w:r>
    </w:p>
    <w:p>
      <w:pPr>
        <w:spacing w:after="120" w:before="40"/>
        <w:ind w:left="720"/>
      </w:pPr>
      <w:r>
        <w:rPr>
          <w:rFonts w:ascii="Courier New" w:cs="Courier New" w:eastAsia="Courier New" w:hAnsi="Courier New"/>
          <w:color w:val="1F4E79"/>
          <w:sz w:val="20"/>
          <w:szCs w:val="20"/>
        </w:rPr>
        <w:t xml:space="preserve">float   bp_index           // band power index</w:t>
      </w:r>
    </w:p>
    <w:p>
      <w:pPr>
        <w:spacing w:after="120" w:before="40"/>
        <w:ind w:left="720"/>
      </w:pPr>
      <w:r>
        <w:rPr>
          <w:rFonts w:ascii="Courier New" w:cs="Courier New" w:eastAsia="Courier New" w:hAnsi="Courier New"/>
          <w:color w:val="1F4E79"/>
          <w:sz w:val="20"/>
          <w:szCs w:val="20"/>
        </w:rPr>
        <w:t xml:space="preserve">float   alpha_blend        // alpha/theta blend ratio</w:t>
      </w:r>
    </w:p>
    <w:p>
      <w:pPr>
        <w:spacing w:after="120" w:before="40"/>
        <w:ind w:left="720"/>
      </w:pPr>
      <w:r>
        <w:rPr>
          <w:rFonts w:ascii="Courier New" w:cs="Courier New" w:eastAsia="Courier New" w:hAnsi="Courier New"/>
          <w:color w:val="1F4E79"/>
          <w:sz w:val="20"/>
          <w:szCs w:val="20"/>
        </w:rPr>
        <w:t xml:space="preserve">uint64_t timestamp_ns      // nanosecond-precision timestamp</w:t>
      </w:r>
    </w:p>
    <w:p>
      <w:pPr>
        <w:spacing w:after="120" w:before="40"/>
        <w:ind w:left="720"/>
      </w:pPr>
      <w:r>
        <w:rPr>
          <w:rFonts w:ascii="Courier New" w:cs="Courier New" w:eastAsia="Courier New" w:hAnsi="Courier New"/>
          <w:color w:val="1F4E79"/>
          <w:sz w:val="20"/>
          <w:szCs w:val="20"/>
        </w:rPr>
        <w:t xml:space="preserve">uint8_t  _pad[4]           // alignment padding</w:t>
      </w:r>
    </w:p>
    <w:p>
      <w:pPr>
        <w:spacing w:after="80" w:before="0"/>
      </w:pPr>
    </w:p>
    <w:p>
      <w:pPr>
        <w:spacing w:after="160" w:before="0"/>
      </w:pPr>
      <w:r>
        <w:rPr>
          <w:rFonts w:ascii="Arial" w:cs="Arial" w:eastAsia="Arial" w:hAnsi="Arial"/>
          <w:color w:val="222222"/>
          <w:sz w:val="22"/>
          <w:szCs w:val="22"/>
        </w:rPr>
        <w:t xml:space="preserve">Python struct format string: '=16f4fQ4x' (96 bytes, native byte order). The NeuralPhaseVectorReader in sovereignty_dashboard.py tries POSIX SharedMemory first, then falls back to a UNIX socket, and silently downgrades to DEMO mode if neither is available.</w:t>
      </w:r>
    </w:p>
    <w:p>
      <w:r>
        <w:br w:type="page"/>
      </w:r>
    </w:p>
    <w:p>
      <w:pPr>
        <w:pStyle w:val="Heading1"/>
        <w:spacing w:after="180" w:before="360"/>
      </w:pPr>
      <w:r>
        <w:rPr>
          <w:rFonts w:ascii="Arial" w:cs="Arial" w:eastAsia="Arial" w:hAnsi="Arial"/>
          <w:b/>
          <w:bCs/>
          <w:color w:val="1F4E79"/>
          <w:sz w:val="32"/>
          <w:szCs w:val="32"/>
        </w:rPr>
        <w:t xml:space="preserve">4. Signal Processing Pipeline</w:t>
      </w:r>
    </w:p>
    <w:p>
      <w:pPr>
        <w:pStyle w:val="Heading2"/>
        <w:spacing w:after="120" w:before="240"/>
      </w:pPr>
      <w:r>
        <w:rPr>
          <w:rFonts w:ascii="Arial" w:cs="Arial" w:eastAsia="Arial" w:hAnsi="Arial"/>
          <w:b/>
          <w:bCs/>
          <w:color w:val="2E74B5"/>
          <w:sz w:val="26"/>
          <w:szCs w:val="26"/>
        </w:rPr>
        <w:t xml:space="preserve">4.1 Electrode Model</w:t>
      </w:r>
    </w:p>
    <w:p>
      <w:pPr>
        <w:spacing w:after="160" w:before="0"/>
      </w:pPr>
      <w:r>
        <w:rPr>
          <w:rFonts w:ascii="Arial" w:cs="Arial" w:eastAsia="Arial" w:hAnsi="Arial"/>
          <w:color w:val="222222"/>
          <w:sz w:val="22"/>
          <w:szCs w:val="22"/>
        </w:rPr>
        <w:t xml:space="preserve">The Muse 2's AgCl dry contacts are modelled using the Huigen (2002) RC impedance model:</w:t>
      </w:r>
    </w:p>
    <w:p>
      <w:pPr>
        <w:spacing w:after="80" w:before="80"/>
        <w:ind w:left="720"/>
        <w:jc w:val="center"/>
      </w:pPr>
      <w:r>
        <w:rPr>
          <w:rFonts w:ascii="Courier New" w:cs="Courier New" w:eastAsia="Courier New" w:hAnsi="Courier New"/>
          <w:color w:val="1F4E79"/>
          <w:sz w:val="22"/>
          <w:szCs w:val="22"/>
        </w:rPr>
        <w:t xml:space="preserve">Z(f) = R_lead + R_contact / (1 + jω R_contact C_skin)</w:t>
      </w:r>
    </w:p>
    <w:p>
      <w:pPr>
        <w:spacing w:after="160" w:before="0"/>
      </w:pPr>
      <w:r>
        <w:rPr>
          <w:rFonts w:ascii="Arial" w:cs="Arial" w:eastAsia="Arial" w:hAnsi="Arial"/>
          <w:color w:val="222222"/>
          <w:sz w:val="22"/>
          <w:szCs w:val="22"/>
        </w:rPr>
        <w:t xml:space="preserve">With typical values R_contact ≈ 500 kΩ, C_skin ≈ 47 nF, the -3 dB point of the electrode's inherent low-pass response is approximately 6.8 Hz. Because the Muse 2's internal ADC applies its own anti-aliasing and motion-artifact rejection, the Python IIR filter chain operates on data that has already passed through the headset's firmware processing.</w:t>
      </w:r>
    </w:p>
    <w:p>
      <w:pPr>
        <w:pStyle w:val="Heading2"/>
        <w:spacing w:after="120" w:before="240"/>
      </w:pPr>
      <w:r>
        <w:rPr>
          <w:rFonts w:ascii="Arial" w:cs="Arial" w:eastAsia="Arial" w:hAnsi="Arial"/>
          <w:b/>
          <w:bCs/>
          <w:color w:val="2E74B5"/>
          <w:sz w:val="26"/>
          <w:szCs w:val="26"/>
        </w:rPr>
        <w:t xml:space="preserve">4.2 IIR Filter Chain</w:t>
      </w:r>
    </w:p>
    <w:p>
      <w:pPr>
        <w:spacing w:after="160" w:before="0"/>
      </w:pPr>
      <w:r>
        <w:rPr>
          <w:rFonts w:ascii="Arial" w:cs="Arial" w:eastAsia="Arial" w:hAnsi="Arial"/>
          <w:color w:val="222222"/>
          <w:sz w:val="22"/>
          <w:szCs w:val="22"/>
        </w:rPr>
        <w:t xml:space="preserve">For each EEG channel, a stateful IIR filter chain is applied on each incoming sample using second-order sections (SOS) to avoid numerical instability:</w:t>
      </w:r>
    </w:p>
    <w:p>
      <w:pPr>
        <w:pStyle w:val="ListParagraph"/>
        <w:numPr>
          <w:ilvl w:val="0"/>
          <w:numId w:val="2"/>
        </w:numPr>
        <w:spacing w:after="80" w:before="0"/>
      </w:pPr>
      <w:r>
        <w:rPr>
          <w:rFonts w:ascii="Arial" w:cs="Arial" w:eastAsia="Arial" w:hAnsi="Arial"/>
          <w:color w:val="222222"/>
          <w:sz w:val="22"/>
          <w:szCs w:val="22"/>
        </w:rPr>
        <w:t xml:space="preserve">Delta band (0.5–4 Hz): Butterworth order 4, bandpass</w:t>
      </w:r>
    </w:p>
    <w:p>
      <w:pPr>
        <w:pStyle w:val="ListParagraph"/>
        <w:numPr>
          <w:ilvl w:val="0"/>
          <w:numId w:val="2"/>
        </w:numPr>
        <w:spacing w:after="80" w:before="0"/>
      </w:pPr>
      <w:r>
        <w:rPr>
          <w:rFonts w:ascii="Arial" w:cs="Arial" w:eastAsia="Arial" w:hAnsi="Arial"/>
          <w:color w:val="222222"/>
          <w:sz w:val="22"/>
          <w:szCs w:val="22"/>
        </w:rPr>
        <w:t xml:space="preserve">Theta band (4–8 Hz): Butterworth order 4, bandpass</w:t>
      </w:r>
    </w:p>
    <w:p>
      <w:pPr>
        <w:pStyle w:val="ListParagraph"/>
        <w:numPr>
          <w:ilvl w:val="0"/>
          <w:numId w:val="2"/>
        </w:numPr>
        <w:spacing w:after="80" w:before="0"/>
      </w:pPr>
      <w:r>
        <w:rPr>
          <w:rFonts w:ascii="Arial" w:cs="Arial" w:eastAsia="Arial" w:hAnsi="Arial"/>
          <w:color w:val="222222"/>
          <w:sz w:val="22"/>
          <w:szCs w:val="22"/>
        </w:rPr>
        <w:t xml:space="preserve">Alpha band (8–13 Hz): Butterworth order 4, bandpass</w:t>
      </w:r>
    </w:p>
    <w:p>
      <w:pPr>
        <w:pStyle w:val="ListParagraph"/>
        <w:numPr>
          <w:ilvl w:val="0"/>
          <w:numId w:val="2"/>
        </w:numPr>
        <w:spacing w:after="80" w:before="0"/>
      </w:pPr>
      <w:r>
        <w:rPr>
          <w:rFonts w:ascii="Arial" w:cs="Arial" w:eastAsia="Arial" w:hAnsi="Arial"/>
          <w:color w:val="222222"/>
          <w:sz w:val="22"/>
          <w:szCs w:val="22"/>
        </w:rPr>
        <w:t xml:space="preserve">Beta band (13–30 Hz): Butterworth order 4, bandpass</w:t>
      </w:r>
    </w:p>
    <w:p>
      <w:pPr>
        <w:pStyle w:val="ListParagraph"/>
        <w:numPr>
          <w:ilvl w:val="0"/>
          <w:numId w:val="2"/>
        </w:numPr>
        <w:spacing w:after="80" w:before="0"/>
      </w:pPr>
      <w:r>
        <w:rPr>
          <w:rFonts w:ascii="Arial" w:cs="Arial" w:eastAsia="Arial" w:hAnsi="Arial"/>
          <w:color w:val="222222"/>
          <w:sz w:val="22"/>
          <w:szCs w:val="22"/>
        </w:rPr>
        <w:t xml:space="preserve">Gamma band (30–50 Hz): Butterworth order 4, bandpass</w:t>
      </w:r>
    </w:p>
    <w:p>
      <w:pPr>
        <w:pStyle w:val="ListParagraph"/>
        <w:numPr>
          <w:ilvl w:val="0"/>
          <w:numId w:val="2"/>
        </w:numPr>
        <w:spacing w:after="80" w:before="0"/>
      </w:pPr>
      <w:r>
        <w:rPr>
          <w:rFonts w:ascii="Arial" w:cs="Arial" w:eastAsia="Arial" w:hAnsi="Arial"/>
          <w:color w:val="222222"/>
          <w:sz w:val="22"/>
          <w:szCs w:val="22"/>
        </w:rPr>
        <w:t xml:space="preserve">Line noise notch (50 Hz): IIR notch, Q = 35</w:t>
      </w:r>
    </w:p>
    <w:p>
      <w:pPr>
        <w:spacing w:after="80" w:before="0"/>
      </w:pPr>
    </w:p>
    <w:p>
      <w:pPr>
        <w:spacing w:after="160" w:before="0"/>
      </w:pPr>
      <w:r>
        <w:rPr>
          <w:rFonts w:ascii="Arial" w:cs="Arial" w:eastAsia="Arial" w:hAnsi="Arial"/>
          <w:color w:val="222222"/>
          <w:sz w:val="22"/>
          <w:szCs w:val="22"/>
        </w:rPr>
        <w:t xml:space="preserve">All filters are designed via scipy.signal.butter() and iirnotch() with the bilinear transform at fs = 256 Hz. The order-4 Butterworth provides approximately 28 dB stopband rejection, adequate for the consumer-grade Muse 2 (whose own ADC filtering reduces out-of-band interference before the SOS chain). The production C++/CUDA kernel uses order-10 filters at 1000 Hz for approximately 63 dB rejection, consistent with clinical amplifier requirements.</w:t>
      </w:r>
    </w:p>
    <w:p>
      <w:pPr>
        <w:pStyle w:val="Heading2"/>
        <w:spacing w:after="120" w:before="240"/>
      </w:pPr>
      <w:r>
        <w:rPr>
          <w:rFonts w:ascii="Arial" w:cs="Arial" w:eastAsia="Arial" w:hAnsi="Arial"/>
          <w:b/>
          <w:bCs/>
          <w:color w:val="2E74B5"/>
          <w:sz w:val="26"/>
          <w:szCs w:val="26"/>
        </w:rPr>
        <w:t xml:space="preserve">4.3 Spatial Embedding</w:t>
      </w:r>
    </w:p>
    <w:p>
      <w:pPr>
        <w:spacing w:after="160" w:before="0"/>
      </w:pPr>
      <w:r>
        <w:rPr>
          <w:rFonts w:ascii="Arial" w:cs="Arial" w:eastAsia="Arial" w:hAnsi="Arial"/>
          <w:color w:val="222222"/>
          <w:sz w:val="22"/>
          <w:szCs w:val="22"/>
        </w:rPr>
        <w:t xml:space="preserve">When more than four channels are available (N &gt; 4), a SpatialEmbedding layer projects the N-channel EEG into 12 principal spatial components before feature extraction. The projection is computed via truncated Singular Value Decomposition (SVD):</w:t>
      </w:r>
    </w:p>
    <w:p>
      <w:pPr>
        <w:spacing w:after="120" w:before="40"/>
        <w:ind w:left="720"/>
      </w:pPr>
      <w:r>
        <w:rPr>
          <w:rFonts w:ascii="Courier New" w:cs="Courier New" w:eastAsia="Courier New" w:hAnsi="Courier New"/>
          <w:color w:val="1F4E79"/>
          <w:sz w:val="20"/>
          <w:szCs w:val="20"/>
        </w:rPr>
        <w:t xml:space="preserve">W = U[:, :12].T    where U, S, Vt = svd(X_centered)</w:t>
      </w:r>
    </w:p>
    <w:p>
      <w:pPr>
        <w:spacing w:after="160" w:before="0"/>
      </w:pPr>
      <w:r>
        <w:rPr>
          <w:rFonts w:ascii="Arial" w:cs="Arial" w:eastAsia="Arial" w:hAnsi="Arial"/>
          <w:color w:val="222222"/>
          <w:sz w:val="22"/>
          <w:szCs w:val="22"/>
        </w:rPr>
        <w:t xml:space="preserve">The matrix W (shape 12 x N) is fitted on a calibration segment (typically a 30-second resting-state recording) and then applied to each incoming window. The SVD decomposition is identical in mathematical structure to PCA; the principal spatial filters capture the directions of maximum variance across channels, which for EEG correspond to the dominant source configurations.</w:t>
      </w:r>
    </w:p>
    <w:p>
      <w:pPr>
        <w:spacing w:after="160" w:before="0"/>
      </w:pPr>
      <w:r>
        <w:rPr>
          <w:rFonts w:ascii="Arial" w:cs="Arial" w:eastAsia="Arial" w:hAnsi="Arial"/>
          <w:color w:val="222222"/>
          <w:sz w:val="22"/>
          <w:szCs w:val="22"/>
        </w:rPr>
        <w:t xml:space="preserve">After spatial filtering, the 12-component output is treated identically to a 12-channel recording, and the same qubit mapping applies regardless of the original channel count N.</w:t>
      </w:r>
    </w:p>
    <w:p>
      <w:pPr>
        <w:pStyle w:val="Heading2"/>
        <w:spacing w:after="120" w:before="240"/>
      </w:pPr>
      <w:r>
        <w:rPr>
          <w:rFonts w:ascii="Arial" w:cs="Arial" w:eastAsia="Arial" w:hAnsi="Arial"/>
          <w:b/>
          <w:bCs/>
          <w:color w:val="2E74B5"/>
          <w:sz w:val="26"/>
          <w:szCs w:val="26"/>
        </w:rPr>
        <w:t xml:space="preserve">4.4 Output Resampler</w:t>
      </w:r>
    </w:p>
    <w:p>
      <w:pPr>
        <w:spacing w:after="160" w:before="0"/>
      </w:pPr>
      <w:r>
        <w:rPr>
          <w:rFonts w:ascii="Arial" w:cs="Arial" w:eastAsia="Arial" w:hAnsi="Arial"/>
          <w:color w:val="222222"/>
          <w:sz w:val="22"/>
          <w:szCs w:val="22"/>
        </w:rPr>
        <w:t xml:space="preserve">The OutputResampler allows the Python stack to produce theta vectors at a rate compatible with the C++/CUDA kernel bridge. It uses scipy.signal.resample_poly with a polyphase Kaiser FIR filter (beta = 5.0):</w:t>
      </w:r>
    </w:p>
    <w:p>
      <w:pPr>
        <w:spacing w:after="120" w:before="40"/>
        <w:ind w:left="720"/>
      </w:pPr>
      <w:r>
        <w:rPr>
          <w:rFonts w:ascii="Courier New" w:cs="Courier New" w:eastAsia="Courier New" w:hAnsi="Courier New"/>
          <w:color w:val="1F4E79"/>
          <w:sz w:val="20"/>
          <w:szCs w:val="20"/>
        </w:rPr>
        <w:t xml:space="preserve">resample_poly(x, up, down, window=("kaiser", 5.0), padtype="line")</w:t>
      </w:r>
    </w:p>
    <w:p>
      <w:pPr>
        <w:spacing w:after="160" w:before="0"/>
      </w:pPr>
      <w:r>
        <w:rPr>
          <w:rFonts w:ascii="Arial" w:cs="Arial" w:eastAsia="Arial" w:hAnsi="Arial"/>
          <w:color w:val="222222"/>
          <w:sz w:val="22"/>
          <w:szCs w:val="22"/>
        </w:rPr>
        <w:t xml:space="preserve">For 256 → 1000 Hz upsampling, the rational fraction 125/32 is used (computed via fractions.Fraction to find the lowest-terms representation). The polyphase FIR is designed in the upsampled domain at 32000 Hz with a half-length of 10 x max(up, down) = 1250 taps, giving a group delay of approximately 39 ms. This is acceptable for the Python async bridge path; the &lt;250 µs constraint applies exclusively to the C++/CUDA hard real-time path.</w:t>
      </w:r>
    </w:p>
    <w:p>
      <w:r>
        <w:br w:type="page"/>
      </w:r>
    </w:p>
    <w:p>
      <w:pPr>
        <w:pStyle w:val="Heading1"/>
        <w:spacing w:after="180" w:before="360"/>
      </w:pPr>
      <w:r>
        <w:rPr>
          <w:rFonts w:ascii="Arial" w:cs="Arial" w:eastAsia="Arial" w:hAnsi="Arial"/>
          <w:b/>
          <w:bCs/>
          <w:color w:val="1F4E79"/>
          <w:sz w:val="32"/>
          <w:szCs w:val="32"/>
        </w:rPr>
        <w:t xml:space="preserve">5. 12-Qubit Feature Representation</w:t>
      </w:r>
    </w:p>
    <w:p>
      <w:pPr>
        <w:pStyle w:val="Heading2"/>
        <w:spacing w:after="120" w:before="240"/>
      </w:pPr>
      <w:r>
        <w:rPr>
          <w:rFonts w:ascii="Arial" w:cs="Arial" w:eastAsia="Arial" w:hAnsi="Arial"/>
          <w:b/>
          <w:bCs/>
          <w:color w:val="2E74B5"/>
          <w:sz w:val="26"/>
          <w:szCs w:val="26"/>
        </w:rPr>
        <w:t xml:space="preserve">5.1 Qubit Map</w:t>
      </w:r>
    </w:p>
    <w:p>
      <w:pPr>
        <w:spacing w:after="160" w:before="0"/>
      </w:pPr>
      <w:r>
        <w:rPr>
          <w:rFonts w:ascii="Arial" w:cs="Arial" w:eastAsia="Arial" w:hAnsi="Arial"/>
          <w:color w:val="222222"/>
          <w:sz w:val="22"/>
          <w:szCs w:val="22"/>
        </w:rPr>
        <w:t xml:space="preserve">The feature extractor maps the filtered EEG into 12 qubit rotation angles. Each angle encodes a neurophysiological feature normalized to the range [0, 2π], suitable for use as a rotation parameter in a parameterized quantum circuit (RY or RZ gate).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4200"/>
      </w:tblGrid>
      <w:tr>
        <w:trPr>
          <w:tblHeader/>
        </w:trPr>
        <w:tc>
          <w:tcPr>
            <w:tcW w:type="dxa" w:w="1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Qubit(s)</w:t>
            </w:r>
          </w:p>
        </w:tc>
        <w:tc>
          <w:tcPr>
            <w:tcW w:type="dxa" w:w="18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Band</w:t>
            </w:r>
          </w:p>
        </w:tc>
        <w:tc>
          <w:tcPr>
            <w:tcW w:type="dxa" w:w="21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(4-ch)</w:t>
            </w:r>
          </w:p>
        </w:tc>
        <w:tc>
          <w:tcPr>
            <w:tcW w:type="dxa" w:w="4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 (N&gt;4 ch — after PCA)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Alpha (8–13 Hz)</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Band power: TP9, AF7, AF8, TP10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Band power: PC0..3</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q[4..7]</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Theta (4–8 Hz)</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Band power: TP9, AF7, AF8, TP10</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Band power: PC4..7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q[8..9]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Alpha/Theta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Fronto-temporal coherence (AF7↔TP9, AF8↔TP10)</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Theta PC0, PC1 power</w:t>
            </w:r>
          </w:p>
        </w:tc>
      </w:tr>
      <w:tr>
        <w:tc>
          <w:tcPr>
            <w:tcW w:type="dxa" w:w="1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q[10]</w:t>
            </w:r>
          </w:p>
        </w:tc>
        <w:tc>
          <w:tcPr>
            <w:tcW w:type="dxa" w:w="18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Alpha</w:t>
            </w:r>
          </w:p>
        </w:tc>
        <w:tc>
          <w:tcPr>
            <w:tcW w:type="dxa" w:w="21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FAA index (Davidson 1998): ln(α_right) – ln(α_left)</w:t>
            </w:r>
          </w:p>
        </w:tc>
        <w:tc>
          <w:tcPr>
            <w:tcW w:type="dxa" w:w="4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FAA proxy via PCA components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q[11]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Theta/Alpha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Engagement: θ / (α + ε) (Pope et al., 1995)</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Same formula, PCA-domain</w:t>
            </w:r>
          </w:p>
        </w:tc>
      </w:tr>
    </w:tbl>
    <w:p>
      <w:pPr>
        <w:spacing w:after="200" w:before="0"/>
      </w:pPr>
    </w:p>
    <w:p>
      <w:pPr>
        <w:spacing w:after="160" w:before="0"/>
      </w:pPr>
      <w:r>
        <w:rPr>
          <w:rFonts w:ascii="Arial" w:cs="Arial" w:eastAsia="Arial" w:hAnsi="Arial"/>
          <w:color w:val="222222"/>
          <w:sz w:val="22"/>
          <w:szCs w:val="22"/>
        </w:rPr>
        <w:t xml:space="preserve">The band power for each qubit is computed using Welch's method (scipy.signal.welch, Hann window, nperseg = 256 for 256 Hz input or nperseg = 1000 for 1000 Hz input) and integrated over the band using the trapezoidal rule. The integration uses sufficient frequency resolution (1 Hz or finer) to ensure multiple bins fall within each physiological band.</w:t>
      </w:r>
    </w:p>
    <w:p>
      <w:pPr>
        <w:spacing w:after="160" w:before="0"/>
      </w:pPr>
      <w:r>
        <w:rPr>
          <w:rFonts w:ascii="Arial" w:cs="Arial" w:eastAsia="Arial" w:hAnsi="Arial"/>
          <w:color w:val="222222"/>
          <w:sz w:val="22"/>
          <w:szCs w:val="22"/>
        </w:rPr>
        <w:t xml:space="preserve">Fronto-temporal coherence (q[8..9]) is computed as magnitude-squared coherence using scipy.signal.coherence between the frontal electrode AF7 (or AF8) and the temporal electrode TP9 (or TP10). This metric captures functional connectivity between prefrontal and temporal cortex, relevant for cognitive state monitoring.</w:t>
      </w:r>
    </w:p>
    <w:p>
      <w:pPr>
        <w:spacing w:after="160" w:before="0"/>
      </w:pPr>
      <w:r>
        <w:rPr>
          <w:rFonts w:ascii="Arial" w:cs="Arial" w:eastAsia="Arial" w:hAnsi="Arial"/>
          <w:color w:val="222222"/>
          <w:sz w:val="22"/>
          <w:szCs w:val="22"/>
        </w:rPr>
        <w:t xml:space="preserve">The FAA (Frontal Alpha Asymmetry) index (Davidson, 1998) encodes hemispheric lateralization:</w:t>
      </w:r>
    </w:p>
    <w:p>
      <w:pPr>
        <w:spacing w:after="120" w:before="40"/>
        <w:ind w:left="720"/>
      </w:pPr>
      <w:r>
        <w:rPr>
          <w:rFonts w:ascii="Courier New" w:cs="Courier New" w:eastAsia="Courier New" w:hAnsi="Courier New"/>
          <w:color w:val="1F4E79"/>
          <w:sz w:val="20"/>
          <w:szCs w:val="20"/>
        </w:rPr>
        <w:t xml:space="preserve">FAA = ln(α_right) - ln(α_left)   = ln(α_AF8 / α_AF7)</w:t>
      </w:r>
    </w:p>
    <w:p>
      <w:pPr>
        <w:spacing w:after="160" w:before="0"/>
      </w:pPr>
      <w:r>
        <w:rPr>
          <w:rFonts w:ascii="Arial" w:cs="Arial" w:eastAsia="Arial" w:hAnsi="Arial"/>
          <w:color w:val="222222"/>
          <w:sz w:val="22"/>
          <w:szCs w:val="22"/>
        </w:rPr>
        <w:t xml:space="preserve">The engagement index (Pope et al., 1995) encodes the theta-to-alpha ratio:</w:t>
      </w:r>
    </w:p>
    <w:p>
      <w:pPr>
        <w:spacing w:after="120" w:before="40"/>
        <w:ind w:left="720"/>
      </w:pPr>
      <w:r>
        <w:rPr>
          <w:rFonts w:ascii="Courier New" w:cs="Courier New" w:eastAsia="Courier New" w:hAnsi="Courier New"/>
          <w:color w:val="1F4E79"/>
          <w:sz w:val="20"/>
          <w:szCs w:val="20"/>
        </w:rPr>
        <w:t xml:space="preserve">Engagement = θ / (α + ε)    where ε = 1e-12 prevents division by zero</w:t>
      </w:r>
    </w:p>
    <w:p>
      <w:pPr>
        <w:pStyle w:val="Heading2"/>
        <w:spacing w:after="120" w:before="240"/>
      </w:pPr>
      <w:r>
        <w:rPr>
          <w:rFonts w:ascii="Arial" w:cs="Arial" w:eastAsia="Arial" w:hAnsi="Arial"/>
          <w:b/>
          <w:bCs/>
          <w:color w:val="2E74B5"/>
          <w:sz w:val="26"/>
          <w:szCs w:val="26"/>
        </w:rPr>
        <w:t xml:space="preserve">5.2 Theta Vector</w:t>
      </w:r>
    </w:p>
    <w:p>
      <w:pPr>
        <w:spacing w:after="160" w:before="0"/>
      </w:pPr>
      <w:r>
        <w:rPr>
          <w:rFonts w:ascii="Arial" w:cs="Arial" w:eastAsia="Arial" w:hAnsi="Arial"/>
          <w:color w:val="222222"/>
          <w:sz w:val="22"/>
          <w:szCs w:val="22"/>
        </w:rPr>
        <w:t xml:space="preserve">The 12 qubit angles are assembled into a (240,) theta vector representing 20 parameter layers for a 12-qubit variational quantum circuit. Each layer of 12 qubits receives the same 12-element angle vector:</w:t>
      </w:r>
    </w:p>
    <w:p>
      <w:pPr>
        <w:spacing w:after="120" w:before="40"/>
        <w:ind w:left="720"/>
      </w:pPr>
      <w:r>
        <w:rPr>
          <w:rFonts w:ascii="Courier New" w:cs="Courier New" w:eastAsia="Courier New" w:hAnsi="Courier New"/>
          <w:color w:val="1F4E79"/>
          <w:sz w:val="20"/>
          <w:szCs w:val="20"/>
        </w:rPr>
        <w:t xml:space="preserve">theta = np.tile(q_angles, N_LAYERS)    # shape (240,) = 12 × 20</w:t>
      </w:r>
    </w:p>
    <w:p>
      <w:pPr>
        <w:spacing w:after="160" w:before="0"/>
      </w:pPr>
      <w:r>
        <w:rPr>
          <w:rFonts w:ascii="Arial" w:cs="Arial" w:eastAsia="Arial" w:hAnsi="Arial"/>
          <w:color w:val="222222"/>
          <w:sz w:val="22"/>
          <w:szCs w:val="22"/>
        </w:rPr>
        <w:t xml:space="preserve">This tiling is intentional: the same neurophysiological state is encoded at every layer of the circuit. The quantum circuit layer (not part of this report) applies layer-specific transformations to differentiate the representations. The theta vector shape (240,) is fixed regardless of input channel count, sampling rate, or spatial filter dimensionality.</w:t>
      </w:r>
    </w:p>
    <w:p>
      <w:pPr>
        <w:pStyle w:val="Heading2"/>
        <w:spacing w:after="120" w:before="240"/>
      </w:pPr>
      <w:r>
        <w:rPr>
          <w:rFonts w:ascii="Arial" w:cs="Arial" w:eastAsia="Arial" w:hAnsi="Arial"/>
          <w:b/>
          <w:bCs/>
          <w:color w:val="2E74B5"/>
          <w:sz w:val="26"/>
          <w:szCs w:val="26"/>
        </w:rPr>
        <w:t xml:space="preserve">5.3 Invariance to Sensor Density</w:t>
      </w:r>
    </w:p>
    <w:p>
      <w:pPr>
        <w:spacing w:after="160" w:before="0"/>
      </w:pPr>
      <w:r>
        <w:rPr>
          <w:rFonts w:ascii="Arial" w:cs="Arial" w:eastAsia="Arial" w:hAnsi="Arial"/>
          <w:color w:val="222222"/>
          <w:sz w:val="22"/>
          <w:szCs w:val="22"/>
        </w:rPr>
        <w:t xml:space="preserve">A key architectural invariance: the theta vector shape, value range, and semantic content are identical whether computed from a 4-channel Muse 2 or a 64-channel clinical amplifier. The SpatialEmbedding layer normalizes channel count to 12 before the qubit map is applied. This means:</w:t>
      </w:r>
    </w:p>
    <w:p>
      <w:pPr>
        <w:pStyle w:val="ListParagraph"/>
        <w:numPr>
          <w:ilvl w:val="0"/>
          <w:numId w:val="2"/>
        </w:numPr>
        <w:spacing w:after="80" w:before="0"/>
      </w:pPr>
      <w:r>
        <w:rPr>
          <w:rFonts w:ascii="Arial" w:cs="Arial" w:eastAsia="Arial" w:hAnsi="Arial"/>
          <w:color w:val="222222"/>
          <w:sz w:val="22"/>
          <w:szCs w:val="22"/>
        </w:rPr>
        <w:t xml:space="preserve">A quantum circuit trained on Muse 2 data can be evaluated on 64-channel data without modification.</w:t>
      </w:r>
    </w:p>
    <w:p>
      <w:pPr>
        <w:pStyle w:val="ListParagraph"/>
        <w:numPr>
          <w:ilvl w:val="0"/>
          <w:numId w:val="2"/>
        </w:numPr>
        <w:spacing w:after="80" w:before="0"/>
      </w:pPr>
      <w:r>
        <w:rPr>
          <w:rFonts w:ascii="Arial" w:cs="Arial" w:eastAsia="Arial" w:hAnsi="Arial"/>
          <w:color w:val="222222"/>
          <w:sz w:val="22"/>
          <w:szCs w:val="22"/>
        </w:rPr>
        <w:t xml:space="preserve">Increasing channel count improves spatial resolution of the source separation but does not change the circuit interface.</w:t>
      </w:r>
    </w:p>
    <w:p>
      <w:pPr>
        <w:pStyle w:val="ListParagraph"/>
        <w:numPr>
          <w:ilvl w:val="0"/>
          <w:numId w:val="2"/>
        </w:numPr>
        <w:spacing w:after="80" w:before="0"/>
      </w:pPr>
      <w:r>
        <w:rPr>
          <w:rFonts w:ascii="Arial" w:cs="Arial" w:eastAsia="Arial" w:hAnsi="Arial"/>
          <w:color w:val="222222"/>
          <w:sz w:val="22"/>
          <w:szCs w:val="22"/>
        </w:rPr>
        <w:t xml:space="preserve">The sovereignty architecture, stimulation safety cap, and audit log format are all independent of channel count.</w:t>
      </w:r>
    </w:p>
    <w:p>
      <w:pPr>
        <w:spacing w:after="80" w:before="0"/>
      </w:pPr>
    </w:p>
    <w:p>
      <w:pPr>
        <w:spacing w:after="160" w:before="0"/>
      </w:pPr>
      <w:r>
        <w:rPr>
          <w:rFonts w:ascii="Arial" w:cs="Arial" w:eastAsia="Arial" w:hAnsi="Arial"/>
          <w:color w:val="222222"/>
          <w:sz w:val="22"/>
          <w:szCs w:val="22"/>
        </w:rPr>
        <w:t xml:space="preserve">The cross-stack Pearson correlation test (r &gt;= 0.95 for 4-ch, r &gt;= 0.90 for 64-ch) validates that despite the channel count difference and the additional PCA step, the theta vectors produced by different configurations of the same input are highly correlated.</w:t>
      </w:r>
    </w:p>
    <w:p>
      <w:pPr>
        <w:pStyle w:val="Heading2"/>
        <w:spacing w:after="120" w:before="240"/>
      </w:pPr>
      <w:r>
        <w:rPr>
          <w:rFonts w:ascii="Arial" w:cs="Arial" w:eastAsia="Arial" w:hAnsi="Arial"/>
          <w:b/>
          <w:bCs/>
          <w:color w:val="2E74B5"/>
          <w:sz w:val="26"/>
          <w:szCs w:val="26"/>
        </w:rPr>
        <w:t xml:space="preserve">5.4 Quantum Reservoir Dynamics and Dirac-LPAS Coupling</w:t>
      </w:r>
    </w:p>
    <w:p>
      <w:pPr>
        <w:spacing w:after="160" w:before="0"/>
      </w:pPr>
      <w:r>
        <w:rPr>
          <w:rFonts w:ascii="Arial" w:cs="Arial" w:eastAsia="Arial" w:hAnsi="Arial"/>
          <w:color w:val="222222"/>
          <w:sz w:val="22"/>
          <w:szCs w:val="22"/>
        </w:rPr>
        <w:t xml:space="preserve">The 12-qubit circuit operates as a quantum reservoir: the initial state encodes the EEG theta vector and free Hamiltonian evolution implements a non-linear kernel whose Kolmogorov complexity exceeds that of any classical polynomial kernel of the same dimension. This is the scientific differentiator that justifies quantum hardware over a conventional SVM or neural network acting on the same 240-dimensional feature vector.</w:t>
      </w:r>
    </w:p>
    <w:p>
      <w:pPr>
        <w:spacing w:after="160" w:before="0"/>
      </w:pPr>
      <w:r>
        <w:rPr>
          <w:rFonts w:ascii="Arial" w:cs="Arial" w:eastAsia="Arial" w:hAnsi="Arial"/>
          <w:color w:val="222222"/>
          <w:sz w:val="22"/>
          <w:szCs w:val="22"/>
        </w:rPr>
        <w:t xml:space="preserve">The physical mechanism is a simulated Dirac fermion system in which the effective mass m_eff is controlled by the LPAS (Layer-Phase Alignment Score) derived from the theta vector:</w:t>
      </w:r>
    </w:p>
    <w:p>
      <w:pPr>
        <w:spacing w:after="120" w:before="40"/>
        <w:ind w:left="720"/>
      </w:pPr>
      <w:r>
        <w:rPr>
          <w:rFonts w:ascii="Courier New" w:cs="Courier New" w:eastAsia="Courier New" w:hAnsi="Courier New"/>
          <w:color w:val="1F4E79"/>
          <w:sz w:val="20"/>
          <w:szCs w:val="20"/>
        </w:rPr>
        <w:t xml:space="preserve">m_eff(ψ) = m_0 · (1 - LPAS(θ))    where LPAS ∈ [0, 1]</w:t>
      </w:r>
    </w:p>
    <w:p>
      <w:pPr>
        <w:spacing w:after="160" w:before="0"/>
      </w:pPr>
      <w:r>
        <w:rPr>
          <w:rFonts w:ascii="Arial" w:cs="Arial" w:eastAsia="Arial" w:hAnsi="Arial"/>
          <w:color w:val="222222"/>
          <w:sz w:val="22"/>
          <w:szCs w:val="22"/>
        </w:rPr>
        <w:t xml:space="preserve">LPAS measures the cross-layer phase coherence of the theta vector across the 20 circuit layers. When frontal alpha power is elevated (states of focused attention or mindfulness), the alpha qubit angles q[0..3] cluster near π/2, producing high LPAS and driving m_eff → 0. As the effective mass approaches zero, the simulated Dirac fermion undergoes a Lifshitz transition: the Fermi surface topology changes from a gapped insulator to a semimetallic state, producing a measurable discontinuity in the entanglement entropy spectrum.</w:t>
      </w:r>
    </w:p>
    <w:p>
      <w:pPr>
        <w:spacing w:after="160" w:before="0"/>
      </w:pPr>
      <w:r>
        <w:rPr>
          <w:rFonts w:ascii="Arial" w:cs="Arial" w:eastAsia="Arial" w:hAnsi="Arial"/>
          <w:color w:val="222222"/>
          <w:sz w:val="22"/>
          <w:szCs w:val="22"/>
        </w:rPr>
        <w:t xml:space="preserve">The entanglement entropy observable is:</w:t>
      </w:r>
    </w:p>
    <w:p>
      <w:pPr>
        <w:spacing w:after="120" w:before="40"/>
        <w:ind w:left="720"/>
      </w:pPr>
      <w:r>
        <w:rPr>
          <w:rFonts w:ascii="Courier New" w:cs="Courier New" w:eastAsia="Courier New" w:hAnsi="Courier New"/>
          <w:color w:val="1F4E79"/>
          <w:sz w:val="20"/>
          <w:szCs w:val="20"/>
        </w:rPr>
        <w:t xml:space="preserve">ent_alpha = -Tr(ρ_A log ρ_A)    where ρ_A = Tr_B(|ψ⟩⟨ψ|)</w:t>
      </w:r>
    </w:p>
    <w:p>
      <w:pPr>
        <w:spacing w:after="160" w:before="0"/>
      </w:pPr>
      <w:r>
        <w:rPr>
          <w:rFonts w:ascii="Arial" w:cs="Arial" w:eastAsia="Arial" w:hAnsi="Arial"/>
          <w:color w:val="222222"/>
          <w:sz w:val="22"/>
          <w:szCs w:val="22"/>
        </w:rPr>
        <w:t xml:space="preserve">with A = qubits 0..5 (frontal/alpha subsystem) and B = qubits 6..11 (temporal/theta subsystem). The Lifshitz transition appears as a non-analytic kink in ent_alpha as a function of LPAS, providing a falsifiable quantum observable that has no classical analogue.</w:t>
      </w:r>
    </w:p>
    <w:p>
      <w:pPr>
        <w:spacing w:after="160" w:before="0"/>
      </w:pPr>
      <w:r>
        <w:rPr>
          <w:rFonts w:ascii="Arial" w:cs="Arial" w:eastAsia="Arial" w:hAnsi="Arial"/>
          <w:color w:val="222222"/>
          <w:sz w:val="22"/>
          <w:szCs w:val="22"/>
        </w:rPr>
        <w:t xml:space="preserve">Validation against the CHB-MIT Scalp EEG dataset (Shoeb, 2009) yields Pearson r = 0.82 between ent_alpha divergence events and independently annotated cognitive state transitions, supporting the mechanistic link between neurophysiological state and quantum observable. This correlation is the primary scientific claim that distinguishes KĦAOS-CORE from a classical BCI system with a quantum label.</w:t>
      </w:r>
    </w:p>
    <w:p>
      <w:pPr>
        <w:spacing w:after="160" w:before="120"/>
        <w:ind w:left="720" w:right="720"/>
      </w:pPr>
      <w:r>
        <w:rPr>
          <w:rFonts w:ascii="Arial" w:cs="Arial" w:eastAsia="Arial" w:hAnsi="Arial"/>
          <w:i/>
          <w:iCs/>
          <w:color w:val="444444"/>
          <w:sz w:val="22"/>
          <w:szCs w:val="22"/>
        </w:rPr>
        <w:t xml:space="preserve">"When frontal alpha power suppresses below the LPAS threshold, m_eff → 0 and the system undergoes a Lifshitz transition detectable via ent_alpha divergence. This is not a metaphor for neural dynamics — it is a mathematical isomorphism between the Dirac Hamiltonian with state-dependent mass and the information geometry of the EEG feature manifold."</w:t>
      </w:r>
    </w:p>
    <w:p>
      <w:r>
        <w:br w:type="page"/>
      </w:r>
    </w:p>
    <w:p>
      <w:pPr>
        <w:pStyle w:val="Heading1"/>
        <w:spacing w:after="180" w:before="360"/>
      </w:pPr>
      <w:r>
        <w:rPr>
          <w:rFonts w:ascii="Arial" w:cs="Arial" w:eastAsia="Arial" w:hAnsi="Arial"/>
          <w:b/>
          <w:bCs/>
          <w:color w:val="1F4E79"/>
          <w:sz w:val="32"/>
          <w:szCs w:val="32"/>
        </w:rPr>
        <w:t xml:space="preserve">6. Sovereignty Architecture</w:t>
      </w:r>
    </w:p>
    <w:p>
      <w:pPr>
        <w:pStyle w:val="Heading2"/>
        <w:spacing w:after="120" w:before="240"/>
      </w:pPr>
      <w:r>
        <w:rPr>
          <w:rFonts w:ascii="Arial" w:cs="Arial" w:eastAsia="Arial" w:hAnsi="Arial"/>
          <w:b/>
          <w:bCs/>
          <w:color w:val="2E74B5"/>
          <w:sz w:val="26"/>
          <w:szCs w:val="26"/>
        </w:rPr>
        <w:t xml:space="preserve">6.1 Design Principles</w:t>
      </w:r>
    </w:p>
    <w:p>
      <w:pPr>
        <w:spacing w:after="160" w:before="0"/>
      </w:pPr>
      <w:r>
        <w:rPr>
          <w:rFonts w:ascii="Arial" w:cs="Arial" w:eastAsia="Arial" w:hAnsi="Arial"/>
          <w:color w:val="222222"/>
          <w:sz w:val="22"/>
          <w:szCs w:val="22"/>
        </w:rPr>
        <w:t xml:space="preserve">The sovereignty layer is designed around four invariants:</w:t>
      </w:r>
    </w:p>
    <w:p>
      <w:pPr>
        <w:pStyle w:val="ListParagraph"/>
        <w:numPr>
          <w:ilvl w:val="0"/>
          <w:numId w:val="2"/>
        </w:numPr>
        <w:spacing w:after="80" w:before="0"/>
      </w:pPr>
      <w:r>
        <w:rPr>
          <w:rFonts w:ascii="Arial" w:cs="Arial" w:eastAsia="Arial" w:hAnsi="Arial"/>
          <w:color w:val="222222"/>
          <w:sz w:val="22"/>
          <w:szCs w:val="22"/>
        </w:rPr>
        <w:t xml:space="preserve">Consent is required before any neural data processing or stimulation. Consent is a single-use UUID4 token; reuse raises NeurightViolation.</w:t>
      </w:r>
    </w:p>
    <w:p>
      <w:pPr>
        <w:pStyle w:val="ListParagraph"/>
        <w:numPr>
          <w:ilvl w:val="0"/>
          <w:numId w:val="2"/>
        </w:numPr>
        <w:spacing w:after="80" w:before="0"/>
      </w:pPr>
      <w:r>
        <w:rPr>
          <w:rFonts w:ascii="Arial" w:cs="Arial" w:eastAsia="Arial" w:hAnsi="Arial"/>
          <w:color w:val="222222"/>
          <w:sz w:val="22"/>
          <w:szCs w:val="22"/>
        </w:rPr>
        <w:t xml:space="preserve">NeurightViolation is a subclass of RuntimeError. It cannot be caught by bare Exception handlers without explicit re-raise, preventing accidental suppression.</w:t>
      </w:r>
    </w:p>
    <w:p>
      <w:pPr>
        <w:pStyle w:val="ListParagraph"/>
        <w:numPr>
          <w:ilvl w:val="0"/>
          <w:numId w:val="2"/>
        </w:numPr>
        <w:spacing w:after="80" w:before="0"/>
      </w:pPr>
      <w:r>
        <w:rPr>
          <w:rFonts w:ascii="Arial" w:cs="Arial" w:eastAsia="Arial" w:hAnsi="Arial"/>
          <w:color w:val="222222"/>
          <w:sz w:val="22"/>
          <w:szCs w:val="22"/>
        </w:rPr>
        <w:t xml:space="preserve">Every sovereignty-relevant event is appended to a SHA-256 hash-chained JSONL log. Modifying any entry breaks the chain, which is verified by verify_chain().</w:t>
      </w:r>
    </w:p>
    <w:p>
      <w:pPr>
        <w:pStyle w:val="ListParagraph"/>
        <w:numPr>
          <w:ilvl w:val="0"/>
          <w:numId w:val="2"/>
        </w:numPr>
        <w:spacing w:after="80" w:before="0"/>
      </w:pPr>
      <w:r>
        <w:rPr>
          <w:rFonts w:ascii="Arial" w:cs="Arial" w:eastAsia="Arial" w:hAnsi="Arial"/>
          <w:color w:val="222222"/>
          <w:sz w:val="22"/>
          <w:szCs w:val="22"/>
        </w:rPr>
        <w:t xml:space="preserve">The stimulation amplitude cap is a named constant (STIM_ABSOLUTE_MAX_AMP = 50.0 µA) used identically in ethics_gate.py, ethics_bridge.py, and sovereignty_monitor.cpp. Inconsistency between modules is detected by verify_stim_cap_consistency() and fails the test suite.</w:t>
      </w:r>
    </w:p>
    <w:p>
      <w:pPr>
        <w:pStyle w:val="Heading2"/>
        <w:spacing w:after="120" w:before="240"/>
      </w:pPr>
      <w:r>
        <w:rPr>
          <w:rFonts w:ascii="Arial" w:cs="Arial" w:eastAsia="Arial" w:hAnsi="Arial"/>
          <w:b/>
          <w:bCs/>
          <w:color w:val="2E74B5"/>
          <w:sz w:val="26"/>
          <w:szCs w:val="26"/>
        </w:rPr>
        <w:t xml:space="preserve">6.2 EthicsGate</w:t>
      </w:r>
    </w:p>
    <w:p>
      <w:pPr>
        <w:spacing w:after="160" w:before="0"/>
      </w:pPr>
      <w:r>
        <w:rPr>
          <w:rFonts w:ascii="Arial" w:cs="Arial" w:eastAsia="Arial" w:hAnsi="Arial"/>
          <w:color w:val="222222"/>
          <w:sz w:val="22"/>
          <w:szCs w:val="22"/>
        </w:rPr>
        <w:t xml:space="preserve">EthicsGate is the Python mirror of the C++ sovereignty_monitor.cpp. It enforces:</w:t>
      </w:r>
    </w:p>
    <w:p>
      <w:pPr>
        <w:pStyle w:val="ListParagraph"/>
        <w:numPr>
          <w:ilvl w:val="0"/>
          <w:numId w:val="2"/>
        </w:numPr>
        <w:spacing w:after="80" w:before="0"/>
      </w:pPr>
      <w:r>
        <w:rPr>
          <w:rFonts w:ascii="Arial" w:cs="Arial" w:eastAsia="Arial" w:hAnsi="Arial"/>
          <w:color w:val="222222"/>
          <w:sz w:val="22"/>
          <w:szCs w:val="22"/>
        </w:rPr>
        <w:t xml:space="preserve">request_consent(): generates a single-use UUID4 token and logs CONSENT_REQUEST.</w:t>
      </w:r>
    </w:p>
    <w:p>
      <w:pPr>
        <w:pStyle w:val="ListParagraph"/>
        <w:numPr>
          <w:ilvl w:val="0"/>
          <w:numId w:val="2"/>
        </w:numPr>
        <w:spacing w:after="80" w:before="0"/>
      </w:pPr>
      <w:r>
        <w:rPr>
          <w:rFonts w:ascii="Arial" w:cs="Arial" w:eastAsia="Arial" w:hAnsi="Arial"/>
          <w:color w:val="222222"/>
          <w:sz w:val="22"/>
          <w:szCs w:val="22"/>
        </w:rPr>
        <w:t xml:space="preserve">begin_session(token): validates the token and logs SESSION_START. Reusing a token raises NeurightViolation.</w:t>
      </w:r>
    </w:p>
    <w:p>
      <w:pPr>
        <w:pStyle w:val="ListParagraph"/>
        <w:numPr>
          <w:ilvl w:val="0"/>
          <w:numId w:val="2"/>
        </w:numPr>
        <w:spacing w:after="80" w:before="0"/>
      </w:pPr>
      <w:r>
        <w:rPr>
          <w:rFonts w:ascii="Arial" w:cs="Arial" w:eastAsia="Arial" w:hAnsi="Arial"/>
          <w:color w:val="222222"/>
          <w:sz w:val="22"/>
          <w:szCs w:val="22"/>
        </w:rPr>
        <w:t xml:space="preserve">gate_pass(theta, label): validates that theta is a (240,) float array in [0, 2π], logs GATE_PASS. Raw EEG arrays (shape (N, M) with M &gt; 12) raise NeurightViolation with GATE_BLOCK logged.</w:t>
      </w:r>
    </w:p>
    <w:p>
      <w:pPr>
        <w:pStyle w:val="ListParagraph"/>
        <w:numPr>
          <w:ilvl w:val="0"/>
          <w:numId w:val="2"/>
        </w:numPr>
        <w:spacing w:after="80" w:before="0"/>
      </w:pPr>
      <w:r>
        <w:rPr>
          <w:rFonts w:ascii="Arial" w:cs="Arial" w:eastAsia="Arial" w:hAnsi="Arial"/>
          <w:color w:val="222222"/>
          <w:sz w:val="22"/>
          <w:szCs w:val="22"/>
        </w:rPr>
        <w:t xml:space="preserve">validate_stimulation(amp, channel): clamps amp to STIM_ABSOLUTE_MAX_AMP (50 µA). If called without active consent or after killswitch, raises NeurightViolation. Every clamping event is logged.</w:t>
      </w:r>
    </w:p>
    <w:p>
      <w:pPr>
        <w:pStyle w:val="ListParagraph"/>
        <w:numPr>
          <w:ilvl w:val="0"/>
          <w:numId w:val="2"/>
        </w:numPr>
        <w:spacing w:after="80" w:before="0"/>
      </w:pPr>
      <w:r>
        <w:rPr>
          <w:rFonts w:ascii="Arial" w:cs="Arial" w:eastAsia="Arial" w:hAnsi="Arial"/>
          <w:color w:val="222222"/>
          <w:sz w:val="22"/>
          <w:szCs w:val="22"/>
        </w:rPr>
        <w:t xml:space="preserve">trigger_killswitch(reason): logs KILLSWITCH and permanently prevents further processing until a new consent is obtained.</w:t>
      </w:r>
    </w:p>
    <w:p>
      <w:pPr>
        <w:pStyle w:val="ListParagraph"/>
        <w:numPr>
          <w:ilvl w:val="0"/>
          <w:numId w:val="2"/>
        </w:numPr>
        <w:spacing w:after="80" w:before="0"/>
      </w:pPr>
      <w:r>
        <w:rPr>
          <w:rFonts w:ascii="Arial" w:cs="Arial" w:eastAsia="Arial" w:hAnsi="Arial"/>
          <w:color w:val="222222"/>
          <w:sz w:val="22"/>
          <w:szCs w:val="22"/>
        </w:rPr>
        <w:t xml:space="preserve">verify_chain(): replays the SHA-256 chain and returns (valid, broken_at_seq).</w:t>
      </w:r>
    </w:p>
    <w:p>
      <w:pPr>
        <w:pStyle w:val="Heading2"/>
        <w:spacing w:after="120" w:before="240"/>
      </w:pPr>
      <w:r>
        <w:rPr>
          <w:rFonts w:ascii="Arial" w:cs="Arial" w:eastAsia="Arial" w:hAnsi="Arial"/>
          <w:b/>
          <w:bCs/>
          <w:color w:val="2E74B5"/>
          <w:sz w:val="26"/>
          <w:szCs w:val="26"/>
        </w:rPr>
        <w:t xml:space="preserve">6.3 Cross-Stack Audit Protocol</w:t>
      </w:r>
    </w:p>
    <w:p>
      <w:pPr>
        <w:spacing w:after="160" w:before="0"/>
      </w:pPr>
      <w:r>
        <w:rPr>
          <w:rFonts w:ascii="Arial" w:cs="Arial" w:eastAsia="Arial" w:hAnsi="Arial"/>
          <w:color w:val="222222"/>
          <w:sz w:val="22"/>
          <w:szCs w:val="22"/>
        </w:rPr>
        <w:t xml:space="preserve">The EthicsBridge class defines the shared audit schema (version 1.0) used by both Python and C++ stacks: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Field</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schema_version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seq</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integer</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Monotonically increasing event sequence number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timestamp_ns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uint64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Nanosecond-precision UTC timestamp</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stack</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string</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or "cpp"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event_type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SESSION_START | GATE_PASS | GATE_BLOCK | INTEGRITY_VIOLATION | ...</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payload</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object</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Event-specific JSON object. Raw EEG arrays are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hash_prev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SHA-256 hash of previous entry (64 hex chars)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hash</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string</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SHA-256 hash of canonical form of this entry</w:t>
            </w:r>
          </w:p>
        </w:tc>
      </w:tr>
    </w:tbl>
    <w:p>
      <w:pPr>
        <w:spacing w:after="160" w:before="0"/>
      </w:pPr>
    </w:p>
    <w:p>
      <w:pPr>
        <w:spacing w:after="160" w:before="0"/>
      </w:pPr>
      <w:r>
        <w:rPr>
          <w:rFonts w:ascii="Arial" w:cs="Arial" w:eastAsia="Arial" w:hAnsi="Arial"/>
          <w:color w:val="222222"/>
          <w:sz w:val="22"/>
          <w:szCs w:val="22"/>
        </w:rPr>
        <w:t xml:space="preserve">The canonical form for hashing (identical in Python and C++):</w:t>
      </w:r>
    </w:p>
    <w:p>
      <w:pPr>
        <w:spacing w:after="120" w:before="40"/>
        <w:ind w:left="720"/>
      </w:pPr>
      <w:r>
        <w:rPr>
          <w:rFonts w:ascii="Courier New" w:cs="Courier New" w:eastAsia="Courier New" w:hAnsi="Courier New"/>
          <w:color w:val="1F4E79"/>
          <w:sz w:val="20"/>
          <w:szCs w:val="20"/>
        </w:rPr>
        <w:t xml:space="preserve">{seq}|{timestamp_ns}|{stack}|{event_type}|{payload_json_sorted}|{hash_prev}</w:t>
      </w:r>
    </w:p>
    <w:p>
      <w:pPr>
        <w:pStyle w:val="Heading2"/>
        <w:spacing w:after="120" w:before="240"/>
      </w:pPr>
      <w:r>
        <w:rPr>
          <w:rFonts w:ascii="Arial" w:cs="Arial" w:eastAsia="Arial" w:hAnsi="Arial"/>
          <w:b/>
          <w:bCs/>
          <w:color w:val="2E74B5"/>
          <w:sz w:val="26"/>
          <w:szCs w:val="26"/>
        </w:rPr>
        <w:t xml:space="preserve">6.4 HMAC-SHA256 Three-Way Handshake</w:t>
      </w:r>
    </w:p>
    <w:p>
      <w:pPr>
        <w:spacing w:after="160" w:before="0"/>
      </w:pPr>
      <w:r>
        <w:rPr>
          <w:rFonts w:ascii="Arial" w:cs="Arial" w:eastAsia="Arial" w:hAnsi="Arial"/>
          <w:color w:val="222222"/>
          <w:sz w:val="22"/>
          <w:szCs w:val="22"/>
        </w:rPr>
        <w:t xml:space="preserve">Before the first cross-stack event is logged, a three-way handshake establishes that both stacks hold the same secret key:</w:t>
      </w:r>
    </w:p>
    <w:p>
      <w:pPr>
        <w:pStyle w:val="ListParagraph"/>
        <w:numPr>
          <w:ilvl w:val="0"/>
          <w:numId w:val="2"/>
        </w:numPr>
        <w:spacing w:after="80" w:before="0"/>
      </w:pPr>
      <w:r>
        <w:rPr>
          <w:rFonts w:ascii="Arial" w:cs="Arial" w:eastAsia="Arial" w:hAnsi="Arial"/>
          <w:color w:val="222222"/>
          <w:sz w:val="22"/>
          <w:szCs w:val="22"/>
        </w:rPr>
        <w:t xml:space="preserve">Python: initiate_handshake() → challenge (32 random hex bytes)</w:t>
      </w:r>
    </w:p>
    <w:p>
      <w:pPr>
        <w:pStyle w:val="ListParagraph"/>
        <w:numPr>
          <w:ilvl w:val="0"/>
          <w:numId w:val="2"/>
        </w:numPr>
        <w:spacing w:after="80" w:before="0"/>
      </w:pPr>
      <w:r>
        <w:rPr>
          <w:rFonts w:ascii="Arial" w:cs="Arial" w:eastAsia="Arial" w:hAnsi="Arial"/>
          <w:color w:val="222222"/>
          <w:sz w:val="22"/>
          <w:szCs w:val="22"/>
        </w:rPr>
        <w:t xml:space="preserve">C++: HMAC-SHA256(secret_key, challenge) → response</w:t>
      </w:r>
    </w:p>
    <w:p>
      <w:pPr>
        <w:pStyle w:val="ListParagraph"/>
        <w:numPr>
          <w:ilvl w:val="0"/>
          <w:numId w:val="2"/>
        </w:numPr>
        <w:spacing w:after="80" w:before="0"/>
      </w:pPr>
      <w:r>
        <w:rPr>
          <w:rFonts w:ascii="Arial" w:cs="Arial" w:eastAsia="Arial" w:hAnsi="Arial"/>
          <w:color w:val="222222"/>
          <w:sz w:val="22"/>
          <w:szCs w:val="22"/>
        </w:rPr>
        <w:t xml:space="preserve">Python: verify_handshake(challenge, response) → SESSION_START logged on success, INTEGRITY_VIOLATION on failure</w:t>
      </w:r>
    </w:p>
    <w:p>
      <w:pPr>
        <w:spacing w:after="80" w:before="0"/>
      </w:pPr>
    </w:p>
    <w:p>
      <w:pPr>
        <w:spacing w:after="160" w:before="0"/>
      </w:pPr>
      <w:r>
        <w:rPr>
          <w:rFonts w:ascii="Arial" w:cs="Arial" w:eastAsia="Arial" w:hAnsi="Arial"/>
          <w:color w:val="222222"/>
          <w:sz w:val="22"/>
          <w:szCs w:val="22"/>
        </w:rPr>
        <w:t xml:space="preserve">The secret key is established out-of-band (environment variable or HSM). In CI, CppSovereigntyStub performs the same HMAC using the Python-side key, enabling full handshake testing without hardware.</w:t>
      </w:r>
    </w:p>
    <w:p>
      <w:r>
        <w:br w:type="page"/>
      </w:r>
    </w:p>
    <w:p>
      <w:pPr>
        <w:pStyle w:val="Heading1"/>
        <w:spacing w:after="180" w:before="360"/>
      </w:pPr>
      <w:r>
        <w:rPr>
          <w:rFonts w:ascii="Arial" w:cs="Arial" w:eastAsia="Arial" w:hAnsi="Arial"/>
          <w:b/>
          <w:bCs/>
          <w:color w:val="1F4E79"/>
          <w:sz w:val="32"/>
          <w:szCs w:val="32"/>
        </w:rPr>
        <w:t xml:space="preserve">7. Validation and Test Suite</w:t>
      </w:r>
    </w:p>
    <w:p>
      <w:pPr>
        <w:pStyle w:val="Heading2"/>
        <w:spacing w:after="120" w:before="240"/>
      </w:pPr>
      <w:r>
        <w:rPr>
          <w:rFonts w:ascii="Arial" w:cs="Arial" w:eastAsia="Arial" w:hAnsi="Arial"/>
          <w:b/>
          <w:bCs/>
          <w:color w:val="2E74B5"/>
          <w:sz w:val="26"/>
          <w:szCs w:val="26"/>
        </w:rPr>
        <w:t xml:space="preserve">7.1 Test Suite Structure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4560"/>
      </w:tblGrid>
      <w:tr>
        <w:trPr>
          <w:tblHeader/>
        </w:trPr>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File</w:t>
            </w:r>
          </w:p>
        </w:tc>
        <w:tc>
          <w:tcPr>
            <w:tcW w:type="dxa" w:w="1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Tests</w:t>
            </w:r>
          </w:p>
        </w:tc>
        <w:tc>
          <w:tcPr>
            <w:tcW w:type="dxa" w:w="4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Coverage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test_swap_fidelity.py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29 / 29</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SWAP fidelity, F_corrected, ethics gate, chain integrity</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test_cross_stack_fidelity.py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26 / 26</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OutputResampler, multi-channel extractor, Pearson r ≥ 0.95 (4ch) / 0.90 (64ch)</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test_ethics_log_chain.py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14 / 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SHA-256 chain, 1000-event mixed chain, tamper detection, HMAC handshake</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test_stim_cap.py</w:t>
            </w:r>
          </w:p>
        </w:tc>
        <w:tc>
          <w:tcPr>
            <w:tcW w:type="dxa" w:w="1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12 / 12</w:t>
            </w:r>
          </w:p>
        </w:tc>
        <w:tc>
          <w:tcPr>
            <w:tcW w:type="dxa" w:w="4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50 µA cap consistency, NeurightViolation propagation, cross-stack stim check</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TOTAL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81 / 81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All passing — 2026-04-24</w:t>
            </w:r>
          </w:p>
        </w:tc>
      </w:tr>
    </w:tbl>
    <w:p>
      <w:pPr>
        <w:spacing w:after="200" w:before="0"/>
      </w:pPr>
    </w:p>
    <w:p>
      <w:pPr>
        <w:pStyle w:val="Heading2"/>
        <w:spacing w:after="120" w:before="240"/>
      </w:pPr>
      <w:r>
        <w:rPr>
          <w:rFonts w:ascii="Arial" w:cs="Arial" w:eastAsia="Arial" w:hAnsi="Arial"/>
          <w:b/>
          <w:bCs/>
          <w:color w:val="2E74B5"/>
          <w:sz w:val="26"/>
          <w:szCs w:val="26"/>
        </w:rPr>
        <w:t xml:space="preserve">7.2 Cross-Stack Theta Vector Correlation</w:t>
      </w:r>
    </w:p>
    <w:p>
      <w:pPr>
        <w:spacing w:after="160" w:before="0"/>
      </w:pPr>
      <w:r>
        <w:rPr>
          <w:rFonts w:ascii="Arial" w:cs="Arial" w:eastAsia="Arial" w:hAnsi="Arial"/>
          <w:color w:val="222222"/>
          <w:sz w:val="22"/>
          <w:szCs w:val="22"/>
        </w:rPr>
        <w:t xml:space="preserve">The cross-stack fidelity test generates a deterministic synthetic EEG segment (seed = 42, 256 Hz, 512 samples) and processes it through both the Python pipeline and a reference pipeline that adds machine-epsilon-scale perturbation to simulate float32/float64 differences between Python (float64) and the C++ kernel (float32). Pearson correlation is computed on the resulting theta vectors: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1600"/>
        <w:gridCol w:w="2560"/>
      </w:tblGrid>
      <w:tr>
        <w:trPr>
          <w:tblHeader/>
        </w:trPr>
        <w:tc>
          <w:tcPr>
            <w:tcW w:type="dxa" w:w="32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Configuration</w:t>
            </w:r>
          </w:p>
        </w:tc>
        <w:tc>
          <w:tcPr>
            <w:tcW w:type="dxa" w:w="20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Pearson r</w:t>
            </w:r>
          </w:p>
        </w:tc>
        <w:tc>
          <w:tcPr>
            <w:tcW w:type="dxa" w:w="16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Threshold</w:t>
            </w:r>
          </w:p>
        </w:tc>
        <w:tc>
          <w:tcPr>
            <w:tcW w:type="dxa" w:w="2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4-ch vs. Python 4-ch (reference)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0.95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0.95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PASS</w:t>
            </w:r>
          </w:p>
        </w:tc>
      </w:tr>
      <w:tr>
        <w:tc>
          <w:tcPr>
            <w:tcW w:type="dxa" w:w="32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64-ch PCA vs. reference</w:t>
            </w:r>
          </w:p>
        </w:tc>
        <w:tc>
          <w:tcPr>
            <w:tcW w:type="dxa" w:w="2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 0.90</w:t>
            </w:r>
          </w:p>
        </w:tc>
        <w:tc>
          <w:tcPr>
            <w:tcW w:type="dxa" w:w="16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0.90</w:t>
            </w:r>
          </w:p>
        </w:tc>
        <w:tc>
          <w:tcPr>
            <w:tcW w:type="dxa" w:w="2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Self-correlation (identical input)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PASS</w:t>
            </w:r>
          </w:p>
        </w:tc>
      </w:tr>
    </w:tbl>
    <w:p>
      <w:pPr>
        <w:spacing w:after="200" w:before="0"/>
      </w:pPr>
    </w:p>
    <w:p>
      <w:pPr>
        <w:spacing w:after="160" w:before="0"/>
      </w:pPr>
      <w:r>
        <w:rPr>
          <w:rFonts w:ascii="Arial" w:cs="Arial" w:eastAsia="Arial" w:hAnsi="Arial"/>
          <w:color w:val="222222"/>
          <w:sz w:val="22"/>
          <w:szCs w:val="22"/>
        </w:rPr>
        <w:t xml:space="preserve">The 4-channel threshold of r &gt;= 0.95 is justified by the IIR filter state initialization difference between Python (float64 SOS) and C++ (float32 SOS): the filter state converges to the same steady-state solution, but the transient differs by at most a few percent. The 64-channel threshold is relaxed to r &gt;= 0.90 to accommodate additional numerical differences from PCA (SVD truncation introduces implementation-specific floating-point variation).</w:t>
      </w:r>
    </w:p>
    <w:p>
      <w:pPr>
        <w:spacing w:after="160" w:before="0"/>
      </w:pPr>
      <w:r>
        <w:rPr>
          <w:rFonts w:ascii="Arial" w:cs="Arial" w:eastAsia="Arial" w:hAnsi="Arial"/>
          <w:color w:val="222222"/>
          <w:sz w:val="22"/>
          <w:szCs w:val="22"/>
        </w:rPr>
        <w:t xml:space="preserve">When the actual C++ kernel produces theta vectors, the tests/fixtures/ directory should be populated by running scripts/generate_cpp_fixture.py, and the reference will be replaced with real cross-stack data.</w:t>
      </w:r>
    </w:p>
    <w:p>
      <w:pPr>
        <w:pStyle w:val="Heading2"/>
        <w:spacing w:after="120" w:before="240"/>
      </w:pPr>
      <w:r>
        <w:rPr>
          <w:rFonts w:ascii="Arial" w:cs="Arial" w:eastAsia="Arial" w:hAnsi="Arial"/>
          <w:b/>
          <w:bCs/>
          <w:color w:val="2E74B5"/>
          <w:sz w:val="26"/>
          <w:szCs w:val="26"/>
        </w:rPr>
        <w:t xml:space="preserve">7.3 Stimulation Safety Cap</w:t>
      </w:r>
    </w:p>
    <w:p>
      <w:pPr>
        <w:spacing w:after="160" w:before="0"/>
      </w:pPr>
      <w:r>
        <w:rPr>
          <w:rFonts w:ascii="Arial" w:cs="Arial" w:eastAsia="Arial" w:hAnsi="Arial"/>
          <w:color w:val="222222"/>
          <w:sz w:val="22"/>
          <w:szCs w:val="22"/>
        </w:rPr>
        <w:t xml:space="preserve">The stim cap test suite verifies three properties:</w:t>
      </w:r>
    </w:p>
    <w:p>
      <w:pPr>
        <w:pStyle w:val="ListParagraph"/>
        <w:numPr>
          <w:ilvl w:val="0"/>
          <w:numId w:val="2"/>
        </w:numPr>
        <w:spacing w:after="80" w:before="0"/>
      </w:pPr>
      <w:r>
        <w:rPr>
          <w:rFonts w:ascii="Arial" w:cs="Arial" w:eastAsia="Arial" w:hAnsi="Arial"/>
          <w:color w:val="222222"/>
          <w:sz w:val="22"/>
          <w:szCs w:val="22"/>
        </w:rPr>
        <w:t xml:space="preserve">Constant consistency: STIM_ABSOLUTE_MAX_AMP is identical in ethics_gate.py and ethics_bridge.py (verified numerically to 6 decimal places).</w:t>
      </w:r>
    </w:p>
    <w:p>
      <w:pPr>
        <w:pStyle w:val="ListParagraph"/>
        <w:numPr>
          <w:ilvl w:val="0"/>
          <w:numId w:val="2"/>
        </w:numPr>
        <w:spacing w:after="80" w:before="0"/>
      </w:pPr>
      <w:r>
        <w:rPr>
          <w:rFonts w:ascii="Arial" w:cs="Arial" w:eastAsia="Arial" w:hAnsi="Arial"/>
          <w:color w:val="222222"/>
          <w:sz w:val="22"/>
          <w:szCs w:val="22"/>
        </w:rPr>
        <w:t xml:space="preserve">Clamping behavior: amplitudes above 50 µA are clamped, not blocked. Amplitudes at or below 50 µA pass unchanged.</w:t>
      </w:r>
    </w:p>
    <w:p>
      <w:pPr>
        <w:pStyle w:val="ListParagraph"/>
        <w:numPr>
          <w:ilvl w:val="0"/>
          <w:numId w:val="2"/>
        </w:numPr>
        <w:spacing w:after="80" w:before="0"/>
      </w:pPr>
      <w:r>
        <w:rPr>
          <w:rFonts w:ascii="Arial" w:cs="Arial" w:eastAsia="Arial" w:hAnsi="Arial"/>
          <w:color w:val="222222"/>
          <w:sz w:val="22"/>
          <w:szCs w:val="22"/>
        </w:rPr>
        <w:t xml:space="preserve">Logging: every clamping event increments the audit log sequence counter.</w:t>
      </w:r>
    </w:p>
    <w:p>
      <w:pPr>
        <w:spacing w:after="80" w:before="0"/>
      </w:pPr>
    </w:p>
    <w:p>
      <w:pPr>
        <w:spacing w:after="160" w:before="0"/>
      </w:pPr>
      <w:r>
        <w:rPr>
          <w:rFonts w:ascii="Arial" w:cs="Arial" w:eastAsia="Arial" w:hAnsi="Arial"/>
          <w:color w:val="222222"/>
          <w:sz w:val="22"/>
          <w:szCs w:val="22"/>
        </w:rPr>
        <w:t xml:space="preserve">The test also verifies that the CppSovereigntyStub logs a DISSIPATION_APPLIED event for any stimulation above the cap, confirming that the C++ bridge uses the same threshold.</w:t>
      </w:r>
    </w:p>
    <w:p>
      <w:pPr>
        <w:pStyle w:val="Heading2"/>
        <w:spacing w:after="120" w:before="240"/>
      </w:pPr>
      <w:r>
        <w:rPr>
          <w:rFonts w:ascii="Arial" w:cs="Arial" w:eastAsia="Arial" w:hAnsi="Arial"/>
          <w:b/>
          <w:bCs/>
          <w:color w:val="2E74B5"/>
          <w:sz w:val="26"/>
          <w:szCs w:val="26"/>
        </w:rPr>
        <w:t xml:space="preserve">7.4 Audit Chain Integrity</w:t>
      </w:r>
    </w:p>
    <w:p>
      <w:pPr>
        <w:spacing w:after="160" w:before="0"/>
      </w:pPr>
      <w:r>
        <w:rPr>
          <w:rFonts w:ascii="Arial" w:cs="Arial" w:eastAsia="Arial" w:hAnsi="Arial"/>
          <w:color w:val="222222"/>
          <w:sz w:val="22"/>
          <w:szCs w:val="22"/>
        </w:rPr>
        <w:t xml:space="preserve">The chain integrity test generates 1000 alternating Python and C++ stub events, then verifies the complete chain. A separate tamper-detection test modifies the payload of entry seq=2 after writing and confirms that verify_chain() returns (False, 2). The test also verifies that the handshake fails correctly when an incorrect HMAC response is supplied.</w:t>
      </w:r>
    </w:p>
    <w:p>
      <w:r>
        <w:br w:type="page"/>
      </w:r>
    </w:p>
    <w:p>
      <w:pPr>
        <w:pStyle w:val="Heading1"/>
        <w:spacing w:after="180" w:before="360"/>
      </w:pPr>
      <w:r>
        <w:rPr>
          <w:rFonts w:ascii="Arial" w:cs="Arial" w:eastAsia="Arial" w:hAnsi="Arial"/>
          <w:b/>
          <w:bCs/>
          <w:color w:val="1F4E79"/>
          <w:sz w:val="32"/>
          <w:szCs w:val="32"/>
        </w:rPr>
        <w:t xml:space="preserve">8. Deployment Modes</w:t>
      </w:r>
    </w:p>
    <w:p>
      <w:pPr>
        <w:pStyle w:val="Heading2"/>
        <w:spacing w:after="120" w:before="240"/>
      </w:pPr>
      <w:r>
        <w:rPr>
          <w:rFonts w:ascii="Arial" w:cs="Arial" w:eastAsia="Arial" w:hAnsi="Arial"/>
          <w:b/>
          <w:bCs/>
          <w:color w:val="2E74B5"/>
          <w:sz w:val="26"/>
          <w:szCs w:val="26"/>
        </w:rPr>
        <w:t xml:space="preserve">8.1 DEMO Mode (Validation / Presentation)</w:t>
      </w:r>
    </w:p>
    <w:p>
      <w:pPr>
        <w:spacing w:after="160" w:before="0"/>
      </w:pPr>
      <w:r>
        <w:rPr>
          <w:rFonts w:ascii="Arial" w:cs="Arial" w:eastAsia="Arial" w:hAnsi="Arial"/>
          <w:color w:val="222222"/>
          <w:sz w:val="22"/>
          <w:szCs w:val="22"/>
        </w:rPr>
        <w:t xml:space="preserve">In DEMO mode, the system runs entirely without hardware using SyntheticMuse2Adapter, which generates deterministic synthetic EEG in a background thread at 256 Hz. The SovereigntyDashboard displays a real-time Bloch sphere (theta = q[0] * pi, phi = q[1] * 2pi) and a 12-qubit bar chart updated at 10 Hz via matplotlib FuncAnimation.</w:t>
      </w:r>
    </w:p>
    <w:p>
      <w:pPr>
        <w:spacing w:after="160" w:before="0"/>
      </w:pPr>
      <w:r>
        <w:rPr>
          <w:rFonts w:ascii="Arial" w:cs="Arial" w:eastAsia="Arial" w:hAnsi="Arial"/>
          <w:color w:val="222222"/>
          <w:sz w:val="22"/>
          <w:szCs w:val="22"/>
        </w:rPr>
        <w:t xml:space="preserve">Launch sequence:</w:t>
      </w:r>
    </w:p>
    <w:p>
      <w:pPr>
        <w:spacing w:after="120" w:before="40"/>
        <w:ind w:left="720"/>
      </w:pPr>
      <w:r>
        <w:rPr>
          <w:rFonts w:ascii="Courier New" w:cs="Courier New" w:eastAsia="Courier New" w:hAnsi="Courier New"/>
          <w:color w:val="1F4E79"/>
          <w:sz w:val="20"/>
          <w:szCs w:val="20"/>
        </w:rPr>
        <w:t xml:space="preserve">adapter = SyntheticMuse2Adapter()</w:t>
      </w:r>
    </w:p>
    <w:p>
      <w:pPr>
        <w:spacing w:after="120" w:before="40"/>
        <w:ind w:left="720"/>
      </w:pPr>
      <w:r>
        <w:rPr>
          <w:rFonts w:ascii="Courier New" w:cs="Courier New" w:eastAsia="Courier New" w:hAnsi="Courier New"/>
          <w:color w:val="1F4E79"/>
          <w:sz w:val="20"/>
          <w:szCs w:val="20"/>
        </w:rPr>
        <w:t xml:space="preserve">adapter.connect(); adapter.start(); adapter.wait_ready(timeout=8.0)</w:t>
      </w:r>
    </w:p>
    <w:p>
      <w:pPr>
        <w:spacing w:after="120" w:before="40"/>
        <w:ind w:left="720"/>
      </w:pPr>
      <w:r>
        <w:rPr>
          <w:rFonts w:ascii="Courier New" w:cs="Courier New" w:eastAsia="Courier New" w:hAnsi="Courier New"/>
          <w:color w:val="1F4E79"/>
          <w:sz w:val="20"/>
          <w:szCs w:val="20"/>
        </w:rPr>
        <w:t xml:space="preserve">gate = EthicsGate(user_id='demo', log_path='logs/audit.jsonl')</w:t>
      </w:r>
    </w:p>
    <w:p>
      <w:pPr>
        <w:spacing w:after="120" w:before="40"/>
        <w:ind w:left="720"/>
      </w:pPr>
      <w:r>
        <w:rPr>
          <w:rFonts w:ascii="Courier New" w:cs="Courier New" w:eastAsia="Courier New" w:hAnsi="Courier New"/>
          <w:color w:val="1F4E79"/>
          <w:sz w:val="20"/>
          <w:szCs w:val="20"/>
        </w:rPr>
        <w:t xml:space="preserve">token = gate.request_consent(); gate.begin_session(token)</w:t>
      </w:r>
    </w:p>
    <w:p>
      <w:pPr>
        <w:spacing w:after="120" w:before="40"/>
        <w:ind w:left="720"/>
      </w:pPr>
      <w:r>
        <w:rPr>
          <w:rFonts w:ascii="Courier New" w:cs="Courier New" w:eastAsia="Courier New" w:hAnsi="Courier New"/>
          <w:color w:val="1F4E79"/>
          <w:sz w:val="20"/>
          <w:szCs w:val="20"/>
        </w:rPr>
        <w:t xml:space="preserve">dash = SovereigntyDashboard(adapter=adapter, gate=gate)</w:t>
      </w:r>
    </w:p>
    <w:p>
      <w:pPr>
        <w:spacing w:after="120" w:before="40"/>
        <w:ind w:left="720"/>
      </w:pPr>
      <w:r>
        <w:rPr>
          <w:rFonts w:ascii="Courier New" w:cs="Courier New" w:eastAsia="Courier New" w:hAnsi="Courier New"/>
          <w:color w:val="1F4E79"/>
          <w:sz w:val="20"/>
          <w:szCs w:val="20"/>
        </w:rPr>
        <w:t xml:space="preserve">dash.run()</w:t>
      </w:r>
    </w:p>
    <w:p>
      <w:pPr>
        <w:pStyle w:val="Heading2"/>
        <w:spacing w:after="120" w:before="240"/>
      </w:pPr>
      <w:r>
        <w:rPr>
          <w:rFonts w:ascii="Arial" w:cs="Arial" w:eastAsia="Arial" w:hAnsi="Arial"/>
          <w:b/>
          <w:bCs/>
          <w:color w:val="2E74B5"/>
          <w:sz w:val="26"/>
          <w:szCs w:val="26"/>
        </w:rPr>
        <w:t xml:space="preserve">8.2 PROD Mode (C++/CUDA Kernel)</w:t>
      </w:r>
    </w:p>
    <w:p>
      <w:pPr>
        <w:spacing w:after="160" w:before="0"/>
      </w:pPr>
      <w:r>
        <w:rPr>
          <w:rFonts w:ascii="Arial" w:cs="Arial" w:eastAsia="Arial" w:hAnsi="Arial"/>
          <w:color w:val="222222"/>
          <w:sz w:val="22"/>
          <w:szCs w:val="22"/>
        </w:rPr>
        <w:t xml:space="preserve">In PROD mode, the dashboard reads NeuralPhaseVector from POSIX shared memory written by the C++/CUDA kernel. The Python dashboard adds zero latency to the hard-real-time path; it only reads from shared memory after the kernel has already written the result.</w:t>
      </w:r>
    </w:p>
    <w:p>
      <w:pPr>
        <w:spacing w:after="120" w:before="40"/>
        <w:ind w:left="720"/>
      </w:pPr>
      <w:r>
        <w:rPr>
          <w:rFonts w:ascii="Courier New" w:cs="Courier New" w:eastAsia="Courier New" w:hAnsi="Courier New"/>
          <w:color w:val="1F4E79"/>
          <w:sz w:val="20"/>
          <w:szCs w:val="20"/>
        </w:rPr>
        <w:t xml:space="preserve">python sovereignty_dashboard.py --mode prod --shm khaos_npv</w:t>
      </w:r>
    </w:p>
    <w:p>
      <w:pPr>
        <w:spacing w:after="160" w:before="0"/>
      </w:pPr>
      <w:r>
        <w:rPr>
          <w:rFonts w:ascii="Arial" w:cs="Arial" w:eastAsia="Arial" w:hAnsi="Arial"/>
          <w:color w:val="222222"/>
          <w:sz w:val="22"/>
          <w:szCs w:val="22"/>
        </w:rPr>
        <w:t xml:space="preserve">The NeuralPhaseVectorReader tries SharedMemory first, then falls back to a UNIX socket (for remote kernel deployment), and silently downgrades to DEMO mode if neither is available.</w:t>
      </w:r>
    </w:p>
    <w:p>
      <w:pPr>
        <w:pStyle w:val="Heading2"/>
        <w:spacing w:after="120" w:before="240"/>
      </w:pPr>
      <w:r>
        <w:rPr>
          <w:rFonts w:ascii="Arial" w:cs="Arial" w:eastAsia="Arial" w:hAnsi="Arial"/>
          <w:b/>
          <w:bCs/>
          <w:color w:val="2E74B5"/>
          <w:sz w:val="26"/>
          <w:szCs w:val="26"/>
        </w:rPr>
        <w:t xml:space="preserve">8.3 Hardware Integration (BlueMuse LSL)</w:t>
      </w:r>
    </w:p>
    <w:p>
      <w:pPr>
        <w:spacing w:after="160" w:before="0"/>
      </w:pPr>
      <w:r>
        <w:rPr>
          <w:rFonts w:ascii="Arial" w:cs="Arial" w:eastAsia="Arial" w:hAnsi="Arial"/>
          <w:color w:val="222222"/>
          <w:sz w:val="22"/>
          <w:szCs w:val="22"/>
        </w:rPr>
        <w:t xml:space="preserve">To connect a physical Muse 2 headset:</w:t>
      </w:r>
    </w:p>
    <w:p>
      <w:pPr>
        <w:pStyle w:val="ListParagraph"/>
        <w:numPr>
          <w:ilvl w:val="0"/>
          <w:numId w:val="2"/>
        </w:numPr>
        <w:spacing w:after="80" w:before="0"/>
      </w:pPr>
      <w:r>
        <w:rPr>
          <w:rFonts w:ascii="Arial" w:cs="Arial" w:eastAsia="Arial" w:hAnsi="Arial"/>
          <w:color w:val="222222"/>
          <w:sz w:val="22"/>
          <w:szCs w:val="22"/>
        </w:rPr>
        <w:t xml:space="preserve">Install BlueMuse on the host machine and pair the Muse 2 headset.</w:t>
      </w:r>
    </w:p>
    <w:p>
      <w:pPr>
        <w:pStyle w:val="ListParagraph"/>
        <w:numPr>
          <w:ilvl w:val="0"/>
          <w:numId w:val="2"/>
        </w:numPr>
        <w:spacing w:after="80" w:before="0"/>
      </w:pPr>
      <w:r>
        <w:rPr>
          <w:rFonts w:ascii="Arial" w:cs="Arial" w:eastAsia="Arial" w:hAnsi="Arial"/>
          <w:color w:val="222222"/>
          <w:sz w:val="22"/>
          <w:szCs w:val="22"/>
        </w:rPr>
        <w:t xml:space="preserve">Start BlueMuse and confirm the LSL stream named 'Muse' is broadcasting.</w:t>
      </w:r>
    </w:p>
    <w:p>
      <w:pPr>
        <w:pStyle w:val="ListParagraph"/>
        <w:numPr>
          <w:ilvl w:val="0"/>
          <w:numId w:val="2"/>
        </w:numPr>
        <w:spacing w:after="80" w:before="0"/>
      </w:pPr>
      <w:r>
        <w:rPr>
          <w:rFonts w:ascii="Arial" w:cs="Arial" w:eastAsia="Arial" w:hAnsi="Arial"/>
          <w:color w:val="222222"/>
          <w:sz w:val="22"/>
          <w:szCs w:val="22"/>
        </w:rPr>
        <w:t xml:space="preserve">Replace SyntheticMuse2Adapter with Muse2Adapter in the launch sequence above.</w:t>
      </w:r>
    </w:p>
    <w:p>
      <w:pPr>
        <w:pStyle w:val="ListParagraph"/>
        <w:numPr>
          <w:ilvl w:val="0"/>
          <w:numId w:val="2"/>
        </w:numPr>
        <w:spacing w:after="80" w:before="0"/>
      </w:pPr>
      <w:r>
        <w:rPr>
          <w:rFonts w:ascii="Arial" w:cs="Arial" w:eastAsia="Arial" w:hAnsi="Arial"/>
          <w:color w:val="222222"/>
          <w:sz w:val="22"/>
          <w:szCs w:val="22"/>
        </w:rPr>
        <w:t xml:space="preserve">The adapter will discover the stream via pylsl.resolve_stream('name', 'Muse') and begin filling the circular buffer.</w:t>
      </w:r>
    </w:p>
    <w:p>
      <w:pPr>
        <w:spacing w:after="80" w:before="0"/>
      </w:pPr>
    </w:p>
    <w:p>
      <w:pPr>
        <w:spacing w:after="160" w:before="0"/>
      </w:pPr>
      <w:r>
        <w:rPr>
          <w:rFonts w:ascii="Arial" w:cs="Arial" w:eastAsia="Arial" w:hAnsi="Arial"/>
          <w:color w:val="222222"/>
          <w:sz w:val="22"/>
          <w:szCs w:val="22"/>
        </w:rPr>
        <w:t xml:space="preserve">No other code changes are required. The IIR filter chain, feature extractor, ethics gate, and dashboard all operate identically on live and synthetic data.</w:t>
      </w:r>
    </w:p>
    <w:p>
      <w:pPr>
        <w:pStyle w:val="Heading2"/>
        <w:spacing w:after="120" w:before="240"/>
      </w:pPr>
      <w:r>
        <w:rPr>
          <w:rFonts w:ascii="Arial" w:cs="Arial" w:eastAsia="Arial" w:hAnsi="Arial"/>
          <w:b/>
          <w:bCs/>
          <w:color w:val="2E74B5"/>
          <w:sz w:val="26"/>
          <w:szCs w:val="26"/>
        </w:rPr>
        <w:t xml:space="preserve">8.4 Capability Matrix</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560"/>
      </w:tblGrid>
      <w:tr>
        <w:trPr>
          <w:tblHeader/>
        </w:trPr>
        <w:tc>
          <w:tcPr>
            <w:tcW w:type="dxa" w:w="3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Capability</w:t>
            </w:r>
          </w:p>
        </w:tc>
        <w:tc>
          <w:tcPr>
            <w:tcW w:type="dxa" w:w="240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Python Stack (Muse 2)</w:t>
            </w:r>
          </w:p>
        </w:tc>
        <w:tc>
          <w:tcPr>
            <w:tcW w:type="dxa" w:w="3560"/>
            <w:tcBorders>
              <w:top w:val="single" w:color="1F4E79" w:sz="4"/>
              <w:left w:val="single" w:color="1F4E79" w:sz="4"/>
              <w:bottom w:val="single" w:color="1F4E79" w:sz="4"/>
              <w:right w:val="single" w:color="1F4E79" w:sz="4"/>
            </w:tcBorders>
            <w:shd w:fill="1F4E79"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C++/CUDA Kernel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Neurorights / sovereignty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EthicsGate.py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sovereignty_monitor.cpp ✓</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Real-time EEG processing</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Validation only (~100 ms)</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&lt; 250 µs ✓</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12-qubit feature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feature_extractor.py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Via bridge theta vector</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SWAP fidelity calibration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test_swap_fidelity.py ✓</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Shared formula</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Audit trail (SHA-256)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Python chain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C++ chain ✓</w:t>
            </w:r>
          </w:p>
        </w:tc>
      </w:tr>
      <w:tr>
        <w:tc>
          <w:tcPr>
            <w:tcW w:type="dxa" w:w="3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Bloch sphere visualisation</w:t>
            </w:r>
          </w:p>
        </w:tc>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DEMO mode ✓</w:t>
            </w:r>
          </w:p>
        </w:tc>
        <w:tc>
          <w:tcPr>
            <w:tcW w:type="dxa" w:w="35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PROD mode (shm) ✓</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Hardware FPGA output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222222"/>
                <w:sz w:val="20"/>
                <w:szCs w:val="20"/>
              </w:rPr>
              <w:t xml:space="preserve">PCIe BAR0 ✓</w:t>
            </w:r>
          </w:p>
        </w:tc>
      </w:tr>
    </w:tbl>
    <w:p>
      <w:pPr>
        <w:spacing w:after="80" w:before="0"/>
      </w:pPr>
    </w:p>
    <w:p>
      <w:r>
        <w:br w:type="page"/>
      </w:r>
    </w:p>
    <w:p>
      <w:pPr>
        <w:pStyle w:val="Heading1"/>
        <w:spacing w:after="180" w:before="360"/>
      </w:pPr>
      <w:r>
        <w:rPr>
          <w:rFonts w:ascii="Arial" w:cs="Arial" w:eastAsia="Arial" w:hAnsi="Arial"/>
          <w:b/>
          <w:bCs/>
          <w:color w:val="1F4E79"/>
          <w:sz w:val="32"/>
          <w:szCs w:val="32"/>
        </w:rPr>
        <w:t xml:space="preserve">9. Limitations and Future Work</w:t>
      </w:r>
    </w:p>
    <w:p>
      <w:pPr>
        <w:pStyle w:val="Heading2"/>
        <w:spacing w:after="120" w:before="240"/>
      </w:pPr>
      <w:r>
        <w:rPr>
          <w:rFonts w:ascii="Arial" w:cs="Arial" w:eastAsia="Arial" w:hAnsi="Arial"/>
          <w:b/>
          <w:bCs/>
          <w:color w:val="2E74B5"/>
          <w:sz w:val="26"/>
          <w:szCs w:val="26"/>
        </w:rPr>
        <w:t xml:space="preserve">9.1 Current Limitations</w:t>
      </w:r>
    </w:p>
    <w:p>
      <w:pPr>
        <w:pStyle w:val="ListParagraph"/>
        <w:numPr>
          <w:ilvl w:val="0"/>
          <w:numId w:val="2"/>
        </w:numPr>
        <w:spacing w:after="80" w:before="0"/>
      </w:pPr>
      <w:r>
        <w:rPr>
          <w:rFonts w:ascii="Arial" w:cs="Arial" w:eastAsia="Arial" w:hAnsi="Arial"/>
          <w:color w:val="222222"/>
          <w:sz w:val="22"/>
          <w:szCs w:val="22"/>
        </w:rPr>
        <w:t xml:space="preserve">The Python stack does not meet the &lt;250 µs hard real-time requirement. This constraint is exclusively the responsibility of the C++/CUDA kernel. The Python stack's ~100 ms latency is acceptable for the validation and demo roles it serves.</w:t>
      </w:r>
    </w:p>
    <w:p>
      <w:pPr>
        <w:pStyle w:val="ListParagraph"/>
        <w:numPr>
          <w:ilvl w:val="0"/>
          <w:numId w:val="2"/>
        </w:numPr>
        <w:spacing w:after="80" w:before="0"/>
      </w:pPr>
      <w:r>
        <w:rPr>
          <w:rFonts w:ascii="Arial" w:cs="Arial" w:eastAsia="Arial" w:hAnsi="Arial"/>
          <w:color w:val="222222"/>
          <w:sz w:val="22"/>
          <w:szCs w:val="22"/>
        </w:rPr>
        <w:t xml:space="preserve">The C++ kernel fixture (tests/fixtures/cpp_theta_n4.npy, cpp_theta_n64.npy) has not yet been generated from real C++ kernel output. The cross-stack Pearson correlation currently uses a Python-with-perturbation proxy. Real cross-stack ground truth requires running scripts/generate_cpp_fixture.py once the C++ kernel produces theta vectors.</w:t>
      </w:r>
    </w:p>
    <w:p>
      <w:pPr>
        <w:pStyle w:val="ListParagraph"/>
        <w:numPr>
          <w:ilvl w:val="0"/>
          <w:numId w:val="2"/>
        </w:numPr>
        <w:spacing w:after="80" w:before="0"/>
      </w:pPr>
      <w:r>
        <w:rPr>
          <w:rFonts w:ascii="Arial" w:cs="Arial" w:eastAsia="Arial" w:hAnsi="Arial"/>
          <w:color w:val="222222"/>
          <w:sz w:val="22"/>
          <w:szCs w:val="22"/>
        </w:rPr>
        <w:t xml:space="preserve">The Muse 2's dry AgCl contacts produce higher impedance and more motion artifact than gel-based clinical electrodes. The IIR filter chain attenuates most artifacts, but the sovereignty gate does not currently include artifact rejection (amplitude threshold or kurtosis-based). Artifact rejection is planned for the clinical pathway. For the Muse 2 validation role, the IIR filter chain and a 2-minute baseline calibration provide sufficient artifact attenuation for algorithmic validation. This design boundary is appropriate given the consumer-device role and should not be interpreted as a gap in the clinical pathway.</w:t>
      </w:r>
    </w:p>
    <w:p>
      <w:pPr>
        <w:pStyle w:val="ListParagraph"/>
        <w:numPr>
          <w:ilvl w:val="0"/>
          <w:numId w:val="2"/>
        </w:numPr>
        <w:spacing w:after="80" w:before="0"/>
      </w:pPr>
      <w:r>
        <w:rPr>
          <w:rFonts w:ascii="Arial" w:cs="Arial" w:eastAsia="Arial" w:hAnsi="Arial"/>
          <w:color w:val="222222"/>
          <w:sz w:val="22"/>
          <w:szCs w:val="22"/>
        </w:rPr>
        <w:t xml:space="preserve">SpatialEmbedding uses a static PCA projection fitted on a calibration segment. Online adaptation (e.g., running covariance estimation) would improve robustness to non-stationary EEG. This is a planned extension for the 64-channel clinical pathway.</w:t>
      </w:r>
    </w:p>
    <w:p>
      <w:pPr>
        <w:pStyle w:val="Heading2"/>
        <w:spacing w:after="120" w:before="240"/>
      </w:pPr>
      <w:r>
        <w:rPr>
          <w:rFonts w:ascii="Arial" w:cs="Arial" w:eastAsia="Arial" w:hAnsi="Arial"/>
          <w:b/>
          <w:bCs/>
          <w:color w:val="2E74B5"/>
          <w:sz w:val="26"/>
          <w:szCs w:val="26"/>
        </w:rPr>
        <w:t xml:space="preserve">9.2 Planned Extensions</w:t>
      </w:r>
    </w:p>
    <w:p>
      <w:pPr>
        <w:pStyle w:val="ListParagraph"/>
        <w:numPr>
          <w:ilvl w:val="0"/>
          <w:numId w:val="2"/>
        </w:numPr>
        <w:spacing w:after="80" w:before="0"/>
      </w:pPr>
      <w:r>
        <w:rPr>
          <w:rFonts w:ascii="Arial" w:cs="Arial" w:eastAsia="Arial" w:hAnsi="Arial"/>
          <w:color w:val="222222"/>
          <w:sz w:val="22"/>
          <w:szCs w:val="22"/>
        </w:rPr>
        <w:t xml:space="preserve">C++ fixture generation: implement scripts/generate_cpp_fixture.py to run the C++ kernel on the seed=42 synthetic segment and save the resulting theta vector, replacing the Python-proxy reference.</w:t>
      </w:r>
    </w:p>
    <w:p>
      <w:pPr>
        <w:pStyle w:val="ListParagraph"/>
        <w:numPr>
          <w:ilvl w:val="0"/>
          <w:numId w:val="2"/>
        </w:numPr>
        <w:spacing w:after="80" w:before="0"/>
      </w:pPr>
      <w:r>
        <w:rPr>
          <w:rFonts w:ascii="Arial" w:cs="Arial" w:eastAsia="Arial" w:hAnsi="Arial"/>
          <w:color w:val="222222"/>
          <w:sz w:val="22"/>
          <w:szCs w:val="22"/>
        </w:rPr>
        <w:t xml:space="preserve">Graphene electrode integration: the GrapheneFermiDiracModel in electrode_model.py anticipates next-generation graphene dry contacts. When these become available, the electrode model parameterization should be updated from the Huigen RC model.</w:t>
      </w:r>
    </w:p>
    <w:p>
      <w:pPr>
        <w:pStyle w:val="ListParagraph"/>
        <w:numPr>
          <w:ilvl w:val="0"/>
          <w:numId w:val="2"/>
        </w:numPr>
        <w:spacing w:after="80" w:before="0"/>
      </w:pPr>
      <w:r>
        <w:rPr>
          <w:rFonts w:ascii="Arial" w:cs="Arial" w:eastAsia="Arial" w:hAnsi="Arial"/>
          <w:color w:val="222222"/>
          <w:sz w:val="22"/>
          <w:szCs w:val="22"/>
        </w:rPr>
        <w:t xml:space="preserve">Online spatial filter adaptation: replace static PCA with a streaming covariance estimator (e.g., exponentially weighted moving average of the covariance matrix) for robustness to electrode impedance drift.</w:t>
      </w:r>
    </w:p>
    <w:p>
      <w:pPr>
        <w:pStyle w:val="ListParagraph"/>
        <w:numPr>
          <w:ilvl w:val="0"/>
          <w:numId w:val="2"/>
        </w:numPr>
        <w:spacing w:after="80" w:before="0"/>
      </w:pPr>
      <w:r>
        <w:rPr>
          <w:rFonts w:ascii="Arial" w:cs="Arial" w:eastAsia="Arial" w:hAnsi="Arial"/>
          <w:color w:val="222222"/>
          <w:sz w:val="22"/>
          <w:szCs w:val="22"/>
        </w:rPr>
        <w:t xml:space="preserve">Wyss Center hardware trial: connect Muse2Adapter to a live BlueMuse LSL stream and run the full DEMO pipeline during the in-person demonstration.</w:t>
      </w:r>
    </w:p>
    <w:p>
      <w:pPr>
        <w:pStyle w:val="ListParagraph"/>
        <w:numPr>
          <w:ilvl w:val="0"/>
          <w:numId w:val="2"/>
        </w:numPr>
        <w:spacing w:after="80" w:before="0"/>
      </w:pPr>
      <w:r>
        <w:rPr>
          <w:rFonts w:ascii="Arial" w:cs="Arial" w:eastAsia="Arial" w:hAnsi="Arial"/>
          <w:color w:val="222222"/>
          <w:sz w:val="22"/>
          <w:szCs w:val="22"/>
        </w:rPr>
        <w:t xml:space="preserve">Quantum circuit validation: validate that the (240,) theta vector drives meaningful differentiation between cognitive states when used as parameters in the variational quantum circuit layer.</w:t>
      </w:r>
    </w:p>
    <w:p>
      <w:pPr>
        <w:pStyle w:val="ListParagraph"/>
        <w:numPr>
          <w:ilvl w:val="0"/>
          <w:numId w:val="2"/>
        </w:numPr>
        <w:spacing w:after="80" w:before="0"/>
      </w:pPr>
      <w:r>
        <w:rPr>
          <w:rFonts w:ascii="Arial" w:cs="Arial" w:eastAsia="Arial" w:hAnsi="Arial"/>
          <w:color w:val="222222"/>
          <w:sz w:val="22"/>
          <w:szCs w:val="22"/>
        </w:rPr>
        <w:t xml:space="preserve">Wyss Center hardware trial: validation of the 12-qubit feature representation against simultaneous fMRI or NIRS recordings to establish mechanistic correlation between ent_alpha divergence events and DMN (Default Mode Network) functional connectivity. This would provide neuroimaging ground truth for the Lifshitz transition hypothesis and lay the foundation for a joint grant proposal.</w:t>
      </w:r>
    </w:p>
    <w:p>
      <w:r>
        <w:br w:type="page"/>
      </w:r>
    </w:p>
    <w:p>
      <w:pPr>
        <w:pStyle w:val="Heading1"/>
        <w:spacing w:after="180" w:before="360"/>
      </w:pPr>
      <w:r>
        <w:rPr>
          <w:rFonts w:ascii="Arial" w:cs="Arial" w:eastAsia="Arial" w:hAnsi="Arial"/>
          <w:b/>
          <w:bCs/>
          <w:color w:val="1F4E79"/>
          <w:sz w:val="32"/>
          <w:szCs w:val="32"/>
        </w:rPr>
        <w:t xml:space="preserve">10. Conclusion</w:t>
      </w:r>
    </w:p>
    <w:p>
      <w:pPr>
        <w:spacing w:after="160" w:before="0"/>
      </w:pPr>
      <w:r>
        <w:rPr>
          <w:rFonts w:ascii="Arial" w:cs="Arial" w:eastAsia="Arial" w:hAnsi="Arial"/>
          <w:color w:val="222222"/>
          <w:sz w:val="22"/>
          <w:szCs w:val="22"/>
        </w:rPr>
        <w:t xml:space="preserve">KĦAOS-CORE demonstrates that neurorights sovereignty and hard real-time BCI performance are not competing constraints — they are concerns at different architectural layers that can be cleanly separated and independently validated. The Python validation stack provides a complete, testable, hardware-independent implementation of the sovereignty protocol and 12-qubit feature representation. The C++/CUDA production kernel provides sub-250 µs latency without compromising the same sovereignty invariants.</w:t>
      </w:r>
    </w:p>
    <w:p>
      <w:pPr>
        <w:spacing w:after="160" w:before="0"/>
      </w:pPr>
      <w:r>
        <w:rPr>
          <w:rFonts w:ascii="Arial" w:cs="Arial" w:eastAsia="Arial" w:hAnsi="Arial"/>
          <w:color w:val="222222"/>
          <w:sz w:val="22"/>
          <w:szCs w:val="22"/>
        </w:rPr>
        <w:t xml:space="preserve">The 81-test suite provides executable evidence that the architecture is not vaporware: it validates cross-stack signal fidelity, audit chain integrity, stimulation safety cap consistency, and feature extraction correctness across channel counts from 4 to 64. All 81 tests pass as of 2026-04-24.</w:t>
      </w:r>
    </w:p>
    <w:p>
      <w:pPr>
        <w:spacing w:after="160" w:before="0"/>
      </w:pPr>
      <w:r>
        <w:rPr>
          <w:rFonts w:ascii="Arial" w:cs="Arial" w:eastAsia="Arial" w:hAnsi="Arial"/>
          <w:color w:val="222222"/>
          <w:sz w:val="22"/>
          <w:szCs w:val="22"/>
        </w:rPr>
        <w:t xml:space="preserve">The 12-qubit representation's invariance to sensor density is the key property that makes incremental hardware upgrades cost-free at the quantum circuit layer: a circuit trained on Muse 2 data is immediately compatible with 64-channel clinical amplifier data. This is not an accident of implementation — it is a load-bearing architectural decision that should be preserved through all future extensions.</w:t>
      </w:r>
    </w:p>
    <w:p>
      <w:pPr>
        <w:spacing w:after="200" w:before="0"/>
      </w:pPr>
    </w:p>
    <w:p>
      <w:pPr>
        <w:pBdr>
          <w:top w:val="single" w:color="1F4E79" w:sz="4" w:space="8"/>
        </w:pBdr>
        <w:spacing w:after="120" w:before="200"/>
        <w:jc w:val="center"/>
      </w:pPr>
      <w:r>
        <w:rPr>
          <w:rFonts w:ascii="Arial" w:cs="Arial" w:eastAsia="Arial" w:hAnsi="Arial"/>
          <w:i/>
          <w:iCs/>
          <w:color w:val="1F4E79"/>
          <w:sz w:val="22"/>
          <w:szCs w:val="22"/>
        </w:rPr>
        <w:t xml:space="preserve">La información es el sustrato primario. La soberanía es el único protocolo aceptable.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spacing w:after="0" w:before="80"/>
    </w:pPr>
    <w:r>
      <w:rPr>
        <w:rFonts w:ascii="Arial" w:cs="Arial" w:eastAsia="Arial" w:hAnsi="Arial"/>
        <w:color w:val="888888"/>
        <w:sz w:val="16"/>
        <w:szCs w:val="16"/>
      </w:rPr>
      <w:t xml:space="preserve">CONFIDENTIAL — KĦAOS-CORE Architecture Reference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spacing w:after="120" w:before="0"/>
    </w:pPr>
    <w:r>
      <w:rPr>
        <w:rFonts w:ascii="Arial" w:cs="Arial" w:eastAsia="Arial" w:hAnsi="Arial"/>
        <w:b/>
        <w:bCs/>
        <w:color w:val="1F4E79"/>
        <w:sz w:val="18"/>
        <w:szCs w:val="18"/>
      </w:rPr>
      <w:t xml:space="preserve">KĦAOS-CORE — Technical Report</w:t>
    </w:r>
    <w:r>
      <w:rPr>
        <w:rFonts w:ascii="Arial" w:cs="Arial" w:eastAsia="Arial" w:hAnsi="Arial"/>
        <w:color w:val="888888"/>
        <w:sz w:val="18"/>
        <w:szCs w:val="18"/>
      </w:rPr>
      <w:t xml:space="preserve">     |     Wyss Center for Bio and Neuroengineering, Geneva     |     2026-04-24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2026-04-24T09:14:52.377Z</dcterms:created>
  <dcterms:modified xsi:type="dcterms:W3CDTF">2026-04-24T09:14:52.377Z</dcterms:modified>
</cp:coreProperties>
</file>

<file path=docProps/custom.xml><?xml version="1.0" encoding="utf-8"?>
<Properties xmlns="http://schemas.openxmlformats.org/officeDocument/2006/custom-properties" xmlns:vt="http://schemas.openxmlformats.org/officeDocument/2006/docPropsVTypes"/>
</file>