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1vdma4o31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TEMPLATE OFICIAL — HITO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(Para eventos, lanzamientos, colaboraciones o avances de QuantumHub)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6269cei5d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Título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Debe ser claro y directo. Formato recomendado: Acción + iniciativa / evento. 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Lanzamiento del primer curso de computación cuántica para escolares</w:t>
      </w:r>
    </w:p>
    <w:p w:rsidR="00000000" w:rsidDel="00000000" w:rsidP="00000000" w:rsidRDefault="00000000" w:rsidRPr="00000000" w14:paraId="00000007">
      <w:pPr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Fecha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Mes y año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frledbxi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Resumen corto (máx. 2–3 líneas)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texto aparecerá como preview en la web. 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 – Inicio QuantumHub: </w:t>
      </w:r>
      <w:r w:rsidDel="00000000" w:rsidR="00000000" w:rsidRPr="00000000">
        <w:rPr>
          <w:rtl w:val="0"/>
        </w:rPr>
        <w:t xml:space="preserve">QuantumHub Perú inicia oficialmente sus actividades con la misión de democratizar la educación en computación cuántica en el país y formar un ecosistema cuántico en Perú.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gimqs83q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Desarrollo (300–500+ palabras)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Descripción clara del evento / lanzamiento / colaboración. Incluir alcance/impacto institucional si aplica.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2oty4obe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Enlace oficial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Instagram / LinkedIn / Web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