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6437E" w14:textId="77777777" w:rsidR="005829CB" w:rsidRPr="005829CB" w:rsidRDefault="005829CB" w:rsidP="005829CB">
      <w:pPr>
        <w:spacing w:line="360" w:lineRule="auto"/>
        <w:contextualSpacing/>
        <w:rPr>
          <w:b/>
          <w:bCs/>
        </w:rPr>
      </w:pPr>
      <w:r w:rsidRPr="005829CB">
        <w:rPr>
          <w:b/>
          <w:bCs/>
        </w:rPr>
        <w:t xml:space="preserve">The </w:t>
      </w:r>
      <w:proofErr w:type="spellStart"/>
      <w:r w:rsidRPr="005829CB">
        <w:rPr>
          <w:b/>
          <w:bCs/>
        </w:rPr>
        <w:t>CryptoTrace</w:t>
      </w:r>
      <w:proofErr w:type="spellEnd"/>
      <w:r w:rsidRPr="005829CB">
        <w:rPr>
          <w:b/>
          <w:bCs/>
        </w:rPr>
        <w:t xml:space="preserve"> Forensic Analyzer: Revolutionizing Blockchain Investigations Through Computational Intelligence</w:t>
      </w:r>
    </w:p>
    <w:p w14:paraId="74E824E4" w14:textId="77777777" w:rsidR="005829CB" w:rsidRPr="005829CB" w:rsidRDefault="005829CB" w:rsidP="005829CB">
      <w:pPr>
        <w:spacing w:line="360" w:lineRule="auto"/>
        <w:contextualSpacing/>
      </w:pPr>
      <w:r w:rsidRPr="005829CB">
        <w:t xml:space="preserve">The advent of blockchain technology has fundamentally transformed financial systems worldwide, offering unprecedented transparency through immutable public ledgers while simultaneously creating new avenues for financial crime that challenge traditional investigative methodologies. As cryptocurrency transactions soar into the trillions annually, the very transparency that makes blockchain revolutionary also produces overwhelming data volumes that obscure rather than reveal illicit activities. This paradox has created an urgent need for advanced forensic tools capable of navigating decentralized networks where traditional jurisdictional boundaries dissolve and pseudonymous addresses complicate attribution. The </w:t>
      </w:r>
      <w:proofErr w:type="spellStart"/>
      <w:r w:rsidRPr="005829CB">
        <w:t>CryptoTrace</w:t>
      </w:r>
      <w:proofErr w:type="spellEnd"/>
      <w:r w:rsidRPr="005829CB">
        <w:t xml:space="preserve"> Forensic Analyzer represents a paradigm-shifting response to this challenge, integrating multiple analytical methodologies into a unified platform that transforms raw blockchain data into actionable intelligence for financial investigators and regulatory agencies.</w:t>
      </w:r>
    </w:p>
    <w:p w14:paraId="08DC4328" w14:textId="77777777" w:rsidR="005829CB" w:rsidRPr="005829CB" w:rsidRDefault="005829CB" w:rsidP="005829CB">
      <w:pPr>
        <w:spacing w:line="360" w:lineRule="auto"/>
        <w:ind w:firstLine="720"/>
        <w:contextualSpacing/>
      </w:pPr>
      <w:r w:rsidRPr="005829CB">
        <w:t xml:space="preserve">At the core of this sophisticated analytical engine lies a comprehensive forensic rubric that quantifies risk through five distinct mathematical lenses, each addressing a different dimension of suspicious activity. Network centrality metrics identify potential transaction hubs or mixing services by measuring how connected an address is within the transaction graph, recognizing that money laundering operations often route funds through central coordination points. Proximity analysis calculates the shortest path distances between target addresses and known illicit entities, acknowledging that even indirect connections can signal contamination risk in complex financial networks. Transaction volume statistics examine monetary flow patterns, flagging unusual spikes or consistent large transfers that deviate from normal behavior, while clustering coefficients detect tightly-knit groups of addresses that might indicate coordinated laundering operations. Finally, </w:t>
      </w:r>
      <w:proofErr w:type="spellStart"/>
      <w:r w:rsidRPr="005829CB">
        <w:t>assortativity</w:t>
      </w:r>
      <w:proofErr w:type="spellEnd"/>
      <w:r w:rsidRPr="005829CB">
        <w:t xml:space="preserve"> measurements analyze non-random connection patterns that often emerge in structured illicit networks. Together, these metrics transform subjective suspicion into objective, quantifiable risk scores ranging from 0-100, providing investigators with standardized assessment frameworks that maintain consistency across cases and jurisdictions.</w:t>
      </w:r>
    </w:p>
    <w:p w14:paraId="0509009E" w14:textId="77777777" w:rsidR="005829CB" w:rsidRPr="005829CB" w:rsidRDefault="005829CB" w:rsidP="005829CB">
      <w:pPr>
        <w:spacing w:line="360" w:lineRule="auto"/>
        <w:contextualSpacing/>
      </w:pPr>
      <w:r w:rsidRPr="005829CB">
        <w:lastRenderedPageBreak/>
        <w:t xml:space="preserve">The system's pattern recognition capabilities demonstrate remarkable sophistication through the </w:t>
      </w:r>
      <w:proofErr w:type="spellStart"/>
      <w:r w:rsidRPr="005829CB">
        <w:t>ForensicHeuristics</w:t>
      </w:r>
      <w:proofErr w:type="spellEnd"/>
      <w:r w:rsidRPr="005829CB">
        <w:t xml:space="preserve"> class, which implements algorithmic detection of common money laundering typologies with mathematical precision. Peeling chain detection identifies structured transactions where identical amounts are sent to multiple addresses—a classic layering technique designed to obscure fund origins. </w:t>
      </w:r>
      <w:proofErr w:type="spellStart"/>
      <w:r w:rsidRPr="005829CB">
        <w:t>CoinJoin</w:t>
      </w:r>
      <w:proofErr w:type="spellEnd"/>
      <w:r w:rsidRPr="005829CB">
        <w:t xml:space="preserve"> pattern recognition analyzes privacy-enhancing transaction structures that combine multiple inputs and outputs, while mixer interaction tracking monitors connections to known anonymization services like Tornado Cash. Rapid movement detection flags unusual transaction velocities that may indicate structuring or smurfing operations, and round-trip analysis identifies circular fund flows through intermediate addresses designed to create false transaction histories. Each detection algorithm incorporates configurable thresholds and weighted risk scoring that adapts to evolving money laundering techniques, ensuring the system remains effective against sophisticated adversaries who constantly modify their operational patterns.</w:t>
      </w:r>
    </w:p>
    <w:p w14:paraId="456971E2" w14:textId="77777777" w:rsidR="005829CB" w:rsidRPr="005829CB" w:rsidRDefault="005829CB" w:rsidP="005829CB">
      <w:pPr>
        <w:spacing w:line="360" w:lineRule="auto"/>
        <w:ind w:firstLine="720"/>
        <w:contextualSpacing/>
      </w:pPr>
      <w:r w:rsidRPr="005829CB">
        <w:t xml:space="preserve">Data acquisition and processing form the foundation of the analyzer's capabilities, with the </w:t>
      </w:r>
      <w:proofErr w:type="spellStart"/>
      <w:r w:rsidRPr="005829CB">
        <w:t>BlockchainService</w:t>
      </w:r>
      <w:proofErr w:type="spellEnd"/>
      <w:r w:rsidRPr="005829CB">
        <w:t xml:space="preserve"> class demonstrating elegant engineering through its multi-provider architecture and resilient design. By integrating both Alchemy and </w:t>
      </w:r>
      <w:proofErr w:type="spellStart"/>
      <w:r w:rsidRPr="005829CB">
        <w:t>Infura</w:t>
      </w:r>
      <w:proofErr w:type="spellEnd"/>
      <w:r w:rsidRPr="005829CB">
        <w:t xml:space="preserve"> APIs, the system maintains operational continuity even if one service experiences downtime—a critical feature for time-sensitive investigations where delays could allow illicit funds to be moved beyond recovery. The transaction data acquisition component pragmatically leverages </w:t>
      </w:r>
      <w:proofErr w:type="spellStart"/>
      <w:r w:rsidRPr="005829CB">
        <w:t>Etherscan's</w:t>
      </w:r>
      <w:proofErr w:type="spellEnd"/>
      <w:r w:rsidRPr="005829CB">
        <w:t xml:space="preserve"> public API to retrieve historical data while respecting rate limits and cost constraints, balancing comprehensive data collection with practical deployment considerations that make the tool accessible to organizations with varying resource levels. Advanced metadata collection includes contract detection, balance verification, and transaction count analysis, providing crucial contextual information that transforms raw addresses into </w:t>
      </w:r>
      <w:proofErr w:type="spellStart"/>
      <w:r w:rsidRPr="005829CB">
        <w:t>investigatively</w:t>
      </w:r>
      <w:proofErr w:type="spellEnd"/>
      <w:r w:rsidRPr="005829CB">
        <w:t xml:space="preserve"> meaningful entities while maintaining compatibility with multiple blockchain networks beyond Ethereum.</w:t>
      </w:r>
    </w:p>
    <w:p w14:paraId="7942C5B0" w14:textId="77777777" w:rsidR="005829CB" w:rsidRPr="005829CB" w:rsidRDefault="005829CB" w:rsidP="005829CB">
      <w:pPr>
        <w:spacing w:line="360" w:lineRule="auto"/>
        <w:contextualSpacing/>
      </w:pPr>
      <w:r w:rsidRPr="005829CB">
        <w:t xml:space="preserve">The </w:t>
      </w:r>
      <w:proofErr w:type="spellStart"/>
      <w:r w:rsidRPr="005829CB">
        <w:t>ForensicScanner</w:t>
      </w:r>
      <w:proofErr w:type="spellEnd"/>
      <w:r w:rsidRPr="005829CB">
        <w:t xml:space="preserve"> class orchestrates the comprehensive investigative workflow, integrating disparate detection methods into a cohesive analytical framework that mirrors established forensic methodologies while dramatically accelerating each step. This component performs systematic scans that examine addresses through multiple investigative lenses simultaneously, </w:t>
      </w:r>
      <w:r w:rsidRPr="005829CB">
        <w:lastRenderedPageBreak/>
        <w:t>aggregating findings into unified risk assessments that account for both individual pattern detections and their collective significance. The scanner's weighted scoring system incorporates configurable thresholds that allow investigators to prioritize the most critical alerts while maintaining awareness of developing suspicious patterns, and its automated Suspicious Activity Report (SAR) generation transforms complex technical findings into regulatory-compliant narratives ready for submission to financial intelligence units. This integration of detection, assessment, and reporting within a single automated workflow addresses one of the most significant bottlenecks in financial crime investigations—the manual compilation of evidence into actionable intelligence for decision-makers.</w:t>
      </w:r>
    </w:p>
    <w:p w14:paraId="11A6E1EF" w14:textId="77777777" w:rsidR="005829CB" w:rsidRPr="005829CB" w:rsidRDefault="005829CB" w:rsidP="005829CB">
      <w:pPr>
        <w:spacing w:line="360" w:lineRule="auto"/>
        <w:ind w:firstLine="720"/>
        <w:contextualSpacing/>
      </w:pPr>
      <w:r w:rsidRPr="005829CB">
        <w:t xml:space="preserve">Visual analytics represent another crucial innovation, with the system's interactive network graph capabilities transforming abstract transaction data into intuitive visual representations that accelerate pattern recognition and hypothesis generation. The </w:t>
      </w:r>
      <w:proofErr w:type="spellStart"/>
      <w:r w:rsidRPr="005829CB">
        <w:t>NetworkX</w:t>
      </w:r>
      <w:proofErr w:type="spellEnd"/>
      <w:r w:rsidRPr="005829CB">
        <w:t xml:space="preserve"> and </w:t>
      </w:r>
      <w:proofErr w:type="spellStart"/>
      <w:r w:rsidRPr="005829CB">
        <w:t>PyVis</w:t>
      </w:r>
      <w:proofErr w:type="spellEnd"/>
      <w:r w:rsidRPr="005829CB">
        <w:t xml:space="preserve"> integration creates dynamic visualizations where investigators can explore connections that might be missed in tabular data, with automated node coloring highlighting target addresses, known bad entities, and normal counterparts for immediate visual differentiation. Transaction values influence edge thickness, allowing high-value flows to stand out visually, while interactive tooltips provide detailed metadata without cluttering the visualization. This visual interface reduces the cognitive load on investigators by presenting complex relational data in intuitive formats, enabling faster identification of suspicious clusters, unusual connection patterns, and potential coordination networks that might require deeper investigation.</w:t>
      </w:r>
    </w:p>
    <w:p w14:paraId="4A363E01" w14:textId="77777777" w:rsidR="005829CB" w:rsidRPr="005829CB" w:rsidRDefault="005829CB" w:rsidP="005829CB">
      <w:pPr>
        <w:spacing w:line="360" w:lineRule="auto"/>
        <w:ind w:firstLine="720"/>
        <w:contextualSpacing/>
      </w:pPr>
      <w:r w:rsidRPr="005829CB">
        <w:t xml:space="preserve">The user interface, built with </w:t>
      </w:r>
      <w:proofErr w:type="spellStart"/>
      <w:r w:rsidRPr="005829CB">
        <w:t>Streamlit</w:t>
      </w:r>
      <w:proofErr w:type="spellEnd"/>
      <w:r w:rsidRPr="005829CB">
        <w:t xml:space="preserve">, exemplifies modern investigative tool design through its emphasis on workflow integration and progressive disclosure of complexity. The multi-tab interface organizes findings into logical categories—Overview, Risk Assessment, Forensic Findings, Network Graph, and SAR Report—mirroring the natural progression of financial investigations while allowing investigators to dive deep into specific areas of interest without losing contextual awareness. Real-time progress tracking provides transparency into the analytical process, building investigator confidence in automated findings, while configurable analysis options allow customization based on case priorities and resource constraints. The </w:t>
      </w:r>
      <w:r w:rsidRPr="005829CB">
        <w:lastRenderedPageBreak/>
        <w:t>sidebar configuration panel maintains accessibility for novice users while preserving advanced functionality for experienced investigators, demonstrating thoughtful user experience design that accommodates varying skill levels within investigative teams.</w:t>
      </w:r>
    </w:p>
    <w:p w14:paraId="1DF57E56" w14:textId="77777777" w:rsidR="005829CB" w:rsidRPr="005829CB" w:rsidRDefault="005829CB" w:rsidP="005829CB">
      <w:pPr>
        <w:spacing w:line="360" w:lineRule="auto"/>
        <w:ind w:firstLine="720"/>
        <w:contextualSpacing/>
      </w:pPr>
      <w:r w:rsidRPr="005829CB">
        <w:t xml:space="preserve">Looking forward, the </w:t>
      </w:r>
      <w:proofErr w:type="spellStart"/>
      <w:r w:rsidRPr="005829CB">
        <w:t>CryptoTrace</w:t>
      </w:r>
      <w:proofErr w:type="spellEnd"/>
      <w:r w:rsidRPr="005829CB">
        <w:t xml:space="preserve"> Forensic Analyzer represents not merely a tool but a methodological framework for the next generation of financial surveillance, with an architecture designed for extensibility and continuous improvement. The modular design allows straightforward integration of new detection algorithms as money laundering techniques evolve, while its open architecture facilitates connection to additional data sources including traditional banking transaction monitoring systems and international sanctions databases. Future enhancements could incorporate machine learning models that adapt to emerging patterns through continuous training, collaborative features allowing multiple agencies to securely share intelligence, and integration with real-time blockchain monitoring for proactive detection of suspicious activities as they occur. This forward-looking design ensures the platform can evolve alongside both technological advancements and regulatory developments in the rapidly changing landscape of digital finance.</w:t>
      </w:r>
    </w:p>
    <w:p w14:paraId="6DFC7824" w14:textId="77777777" w:rsidR="005829CB" w:rsidRPr="005829CB" w:rsidRDefault="005829CB" w:rsidP="005829CB">
      <w:pPr>
        <w:spacing w:line="360" w:lineRule="auto"/>
        <w:ind w:firstLine="720"/>
        <w:contextualSpacing/>
      </w:pPr>
      <w:r w:rsidRPr="005829CB">
        <w:t xml:space="preserve">In conclusion, the </w:t>
      </w:r>
      <w:proofErr w:type="spellStart"/>
      <w:r w:rsidRPr="005829CB">
        <w:t>CryptoTrace</w:t>
      </w:r>
      <w:proofErr w:type="spellEnd"/>
      <w:r w:rsidRPr="005829CB">
        <w:t xml:space="preserve"> Forensic Analyzer embodies a transformative approach to blockchain forensics that addresses the fundamental challenges of scale, complexity, and sophistication facing modern financial crime investigators. By combining mathematical rigor with practical engineering and user-centered design, this platform demonstrates how computational intelligence can empower rather than overwhelm human investigators, augmenting human judgment with algorithmic precision while maintaining the crucial role of investigator experience and intuition. As cryptocurrency adoption continues to expand and regulatory scrutiny intensifies globally, such systems will become increasingly essential for maintaining financial system integrity, protecting legitimate users, and ensuring that blockchain technology fulfills its promise of transparent, secure financial infrastructure for the digital age.</w:t>
      </w:r>
    </w:p>
    <w:p w14:paraId="1E7C5973" w14:textId="77777777" w:rsidR="002E09DF" w:rsidRDefault="002E09DF" w:rsidP="00CF2AC3">
      <w:pPr>
        <w:spacing w:line="360" w:lineRule="auto"/>
        <w:contextualSpacing/>
      </w:pPr>
    </w:p>
    <w:sectPr w:rsidR="002E09DF">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8D95D" w14:textId="77777777" w:rsidR="0097090F" w:rsidRDefault="0097090F" w:rsidP="00CF2AC3">
      <w:pPr>
        <w:spacing w:after="0" w:line="240" w:lineRule="auto"/>
      </w:pPr>
      <w:r>
        <w:separator/>
      </w:r>
    </w:p>
  </w:endnote>
  <w:endnote w:type="continuationSeparator" w:id="0">
    <w:p w14:paraId="68B7E408" w14:textId="77777777" w:rsidR="0097090F" w:rsidRDefault="0097090F" w:rsidP="00CF2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543034"/>
      <w:docPartObj>
        <w:docPartGallery w:val="Page Numbers (Bottom of Page)"/>
        <w:docPartUnique/>
      </w:docPartObj>
    </w:sdtPr>
    <w:sdtContent>
      <w:sdt>
        <w:sdtPr>
          <w:id w:val="1728636285"/>
          <w:docPartObj>
            <w:docPartGallery w:val="Page Numbers (Top of Page)"/>
            <w:docPartUnique/>
          </w:docPartObj>
        </w:sdtPr>
        <w:sdtContent>
          <w:p w14:paraId="18936022" w14:textId="50F9778E" w:rsidR="00CF2AC3" w:rsidRDefault="00CF2AC3">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D37E75E" w14:textId="77777777" w:rsidR="00CF2AC3" w:rsidRDefault="00CF2A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29D84" w14:textId="77777777" w:rsidR="0097090F" w:rsidRDefault="0097090F" w:rsidP="00CF2AC3">
      <w:pPr>
        <w:spacing w:after="0" w:line="240" w:lineRule="auto"/>
      </w:pPr>
      <w:r>
        <w:separator/>
      </w:r>
    </w:p>
  </w:footnote>
  <w:footnote w:type="continuationSeparator" w:id="0">
    <w:p w14:paraId="19CF1F8D" w14:textId="77777777" w:rsidR="0097090F" w:rsidRDefault="0097090F" w:rsidP="00CF2A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CA1"/>
    <w:rsid w:val="00122A73"/>
    <w:rsid w:val="002E09DF"/>
    <w:rsid w:val="003D2C44"/>
    <w:rsid w:val="005829CB"/>
    <w:rsid w:val="007A45D7"/>
    <w:rsid w:val="00800CA1"/>
    <w:rsid w:val="0097090F"/>
    <w:rsid w:val="00BF6880"/>
    <w:rsid w:val="00CF2AC3"/>
    <w:rsid w:val="00D65433"/>
    <w:rsid w:val="00F33F26"/>
    <w:rsid w:val="00FD3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14F45"/>
  <w15:chartTrackingRefBased/>
  <w15:docId w15:val="{176FAAD6-F542-4343-9B0E-C7F19906F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C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C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C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C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C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C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C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C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C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C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CA1"/>
    <w:rPr>
      <w:rFonts w:eastAsiaTheme="majorEastAsia" w:cstheme="majorBidi"/>
      <w:color w:val="272727" w:themeColor="text1" w:themeTint="D8"/>
    </w:rPr>
  </w:style>
  <w:style w:type="paragraph" w:styleId="Title">
    <w:name w:val="Title"/>
    <w:basedOn w:val="Normal"/>
    <w:next w:val="Normal"/>
    <w:link w:val="TitleChar"/>
    <w:uiPriority w:val="10"/>
    <w:qFormat/>
    <w:rsid w:val="0080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CA1"/>
    <w:pPr>
      <w:spacing w:before="160"/>
      <w:jc w:val="center"/>
    </w:pPr>
    <w:rPr>
      <w:i/>
      <w:iCs/>
      <w:color w:val="404040" w:themeColor="text1" w:themeTint="BF"/>
    </w:rPr>
  </w:style>
  <w:style w:type="character" w:customStyle="1" w:styleId="QuoteChar">
    <w:name w:val="Quote Char"/>
    <w:basedOn w:val="DefaultParagraphFont"/>
    <w:link w:val="Quote"/>
    <w:uiPriority w:val="29"/>
    <w:rsid w:val="00800CA1"/>
    <w:rPr>
      <w:i/>
      <w:iCs/>
      <w:color w:val="404040" w:themeColor="text1" w:themeTint="BF"/>
    </w:rPr>
  </w:style>
  <w:style w:type="paragraph" w:styleId="ListParagraph">
    <w:name w:val="List Paragraph"/>
    <w:basedOn w:val="Normal"/>
    <w:uiPriority w:val="34"/>
    <w:qFormat/>
    <w:rsid w:val="00800CA1"/>
    <w:pPr>
      <w:ind w:left="720"/>
      <w:contextualSpacing/>
    </w:pPr>
  </w:style>
  <w:style w:type="character" w:styleId="IntenseEmphasis">
    <w:name w:val="Intense Emphasis"/>
    <w:basedOn w:val="DefaultParagraphFont"/>
    <w:uiPriority w:val="21"/>
    <w:qFormat/>
    <w:rsid w:val="00800CA1"/>
    <w:rPr>
      <w:i/>
      <w:iCs/>
      <w:color w:val="2F5496" w:themeColor="accent1" w:themeShade="BF"/>
    </w:rPr>
  </w:style>
  <w:style w:type="paragraph" w:styleId="IntenseQuote">
    <w:name w:val="Intense Quote"/>
    <w:basedOn w:val="Normal"/>
    <w:next w:val="Normal"/>
    <w:link w:val="IntenseQuoteChar"/>
    <w:uiPriority w:val="30"/>
    <w:qFormat/>
    <w:rsid w:val="00800C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CA1"/>
    <w:rPr>
      <w:i/>
      <w:iCs/>
      <w:color w:val="2F5496" w:themeColor="accent1" w:themeShade="BF"/>
    </w:rPr>
  </w:style>
  <w:style w:type="character" w:styleId="IntenseReference">
    <w:name w:val="Intense Reference"/>
    <w:basedOn w:val="DefaultParagraphFont"/>
    <w:uiPriority w:val="32"/>
    <w:qFormat/>
    <w:rsid w:val="00800CA1"/>
    <w:rPr>
      <w:b/>
      <w:bCs/>
      <w:smallCaps/>
      <w:color w:val="2F5496" w:themeColor="accent1" w:themeShade="BF"/>
      <w:spacing w:val="5"/>
    </w:rPr>
  </w:style>
  <w:style w:type="character" w:styleId="Hyperlink">
    <w:name w:val="Hyperlink"/>
    <w:basedOn w:val="DefaultParagraphFont"/>
    <w:uiPriority w:val="99"/>
    <w:unhideWhenUsed/>
    <w:rsid w:val="00CF2AC3"/>
    <w:rPr>
      <w:color w:val="0563C1" w:themeColor="hyperlink"/>
      <w:u w:val="single"/>
    </w:rPr>
  </w:style>
  <w:style w:type="character" w:styleId="UnresolvedMention">
    <w:name w:val="Unresolved Mention"/>
    <w:basedOn w:val="DefaultParagraphFont"/>
    <w:uiPriority w:val="99"/>
    <w:semiHidden/>
    <w:unhideWhenUsed/>
    <w:rsid w:val="00CF2AC3"/>
    <w:rPr>
      <w:color w:val="605E5C"/>
      <w:shd w:val="clear" w:color="auto" w:fill="E1DFDD"/>
    </w:rPr>
  </w:style>
  <w:style w:type="paragraph" w:styleId="Header">
    <w:name w:val="header"/>
    <w:basedOn w:val="Normal"/>
    <w:link w:val="HeaderChar"/>
    <w:uiPriority w:val="99"/>
    <w:unhideWhenUsed/>
    <w:rsid w:val="00CF2A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AC3"/>
  </w:style>
  <w:style w:type="paragraph" w:styleId="Footer">
    <w:name w:val="footer"/>
    <w:basedOn w:val="Normal"/>
    <w:link w:val="FooterChar"/>
    <w:uiPriority w:val="99"/>
    <w:unhideWhenUsed/>
    <w:rsid w:val="00CF2A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1461</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Antwi</dc:creator>
  <cp:keywords/>
  <dc:description/>
  <cp:lastModifiedBy>Ernest Antwi</cp:lastModifiedBy>
  <cp:revision>2</cp:revision>
  <dcterms:created xsi:type="dcterms:W3CDTF">2025-12-04T19:23:00Z</dcterms:created>
  <dcterms:modified xsi:type="dcterms:W3CDTF">2025-12-04T20:41:00Z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62348c5d-6c03-4ec9-9607-83b0270a0172</vt:lpwstr>
  </property>
</Properties>
</file>