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1B3A5C"/>
          <w:sz w:val="72"/>
          <w:szCs w:val="72"/>
        </w:rPr>
        <w:t xml:space="preserve">QUANTUMIND SENTINEL</w:t>
      </w:r>
    </w:p>
    <w:p>
      <w:pPr>
        <w:spacing w:before="160" w:after="0"/>
      </w:pPr>
      <w:r>
        <w:rPr>
          <w:rFonts w:ascii="Arial" w:cs="Arial" w:eastAsia="Arial" w:hAnsi="Arial"/>
          <w:color w:val="0E7C7B"/>
          <w:sz w:val="32"/>
          <w:szCs w:val="32"/>
        </w:rPr>
        <w:t xml:space="preserve">Enterprise-Grade Post-Quantum Secure Communications Platform</w:t>
      </w:r>
    </w:p>
    <w:p>
      <w:pPr>
        <w:pBdr>
          <w:bottom w:val="single" w:color="1B3A5C"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1B3A5C"/>
                <w:sz w:val="20"/>
                <w:szCs w:val="20"/>
              </w:rPr>
              <w:t xml:space="preserve">Classification:</w:t>
            </w:r>
            <w:r>
              <w:rPr>
                <w:rFonts w:ascii="Arial" w:cs="Arial" w:eastAsia="Arial" w:hAnsi="Arial"/>
                <w:sz w:val="20"/>
                <w:szCs w:val="20"/>
              </w:rPr>
              <w:t xml:space="preserve">  Commercial in Confidence</w:t>
            </w:r>
          </w:p>
          <w:p>
            <w:r>
              <w:rPr>
                <w:rFonts w:ascii="Arial" w:cs="Arial" w:eastAsia="Arial" w:hAnsi="Arial"/>
                <w:b/>
                <w:bCs/>
                <w:color w:val="1B3A5C"/>
                <w:sz w:val="20"/>
                <w:szCs w:val="20"/>
              </w:rPr>
              <w:t xml:space="preserve">Document Type:</w:t>
            </w:r>
            <w:r>
              <w:rPr>
                <w:rFonts w:ascii="Arial" w:cs="Arial" w:eastAsia="Arial" w:hAnsi="Arial"/>
                <w:sz w:val="20"/>
                <w:szCs w:val="20"/>
              </w:rPr>
              <w:t xml:space="preserve">  Technical Plan &amp; Investment Brief</w:t>
            </w:r>
          </w:p>
          <w:p>
            <w:r>
              <w:rPr>
                <w:rFonts w:ascii="Arial" w:cs="Arial" w:eastAsia="Arial" w:hAnsi="Arial"/>
                <w:b/>
                <w:bCs/>
                <w:color w:val="1B3A5C"/>
                <w:sz w:val="20"/>
                <w:szCs w:val="20"/>
              </w:rPr>
              <w:t xml:space="preserve">Version:</w:t>
            </w:r>
            <w:r>
              <w:rPr>
                <w:rFonts w:ascii="Arial" w:cs="Arial" w:eastAsia="Arial" w:hAnsi="Arial"/>
                <w:sz w:val="20"/>
                <w:szCs w:val="20"/>
              </w:rPr>
              <w:t xml:space="preserve">  1.0 — March 2026</w:t>
            </w:r>
          </w:p>
        </w:tc>
        <w:tc>
          <w:tcPr>
            <w:tcW w:type="dxa" w:w="4760"/>
            <w:tcBorders>
              <w:top w:val="none" w:color="FFFFFF" w:sz="0"/>
              <w:left w:val="none" w:color="FFFFFF" w:sz="0"/>
              <w:bottom w:val="none" w:color="FFFFFF" w:sz="0"/>
              <w:right w:val="none" w:color="FFFFFF" w:sz="0"/>
            </w:tcBorders>
            <w:tcMar>
              <w:top w:type="dxa" w:w="0"/>
              <w:left w:type="dxa" w:w="240"/>
              <w:bottom w:type="dxa" w:w="0"/>
              <w:right w:type="dxa" w:w="0"/>
            </w:tcMar>
          </w:tcPr>
          <w:p>
            <w:r>
              <w:rPr>
                <w:rFonts w:ascii="Arial" w:cs="Arial" w:eastAsia="Arial" w:hAnsi="Arial"/>
                <w:b/>
                <w:bCs/>
                <w:color w:val="1B3A5C"/>
                <w:sz w:val="20"/>
                <w:szCs w:val="20"/>
              </w:rPr>
              <w:t xml:space="preserve">Intended Audiences:</w:t>
            </w:r>
          </w:p>
          <w:p>
            <w:pPr>
              <w:pStyle w:val="ListParagraph"/>
              <w:numPr>
                <w:ilvl w:val="0"/>
                <w:numId w:val="2"/>
              </w:numPr>
            </w:pPr>
            <w:r>
              <w:rPr>
                <w:rFonts w:ascii="Arial" w:cs="Arial" w:eastAsia="Arial" w:hAnsi="Arial"/>
                <w:sz w:val="20"/>
                <w:szCs w:val="20"/>
              </w:rPr>
              <w:t xml:space="preserve">Innovate UK / UKRI Grant Assessors</w:t>
            </w:r>
          </w:p>
          <w:p>
            <w:pPr>
              <w:pStyle w:val="ListParagraph"/>
              <w:numPr>
                <w:ilvl w:val="0"/>
                <w:numId w:val="2"/>
              </w:numPr>
            </w:pPr>
            <w:r>
              <w:rPr>
                <w:rFonts w:ascii="Arial" w:cs="Arial" w:eastAsia="Arial" w:hAnsi="Arial"/>
                <w:sz w:val="20"/>
                <w:szCs w:val="20"/>
              </w:rPr>
              <w:t xml:space="preserve">Seed &amp; Series A Investors</w:t>
            </w:r>
          </w:p>
          <w:p>
            <w:pPr>
              <w:pStyle w:val="ListParagraph"/>
              <w:numPr>
                <w:ilvl w:val="0"/>
                <w:numId w:val="2"/>
              </w:numPr>
            </w:pPr>
            <w:r>
              <w:rPr>
                <w:rFonts w:ascii="Arial" w:cs="Arial" w:eastAsia="Arial" w:hAnsi="Arial"/>
                <w:sz w:val="20"/>
                <w:szCs w:val="20"/>
              </w:rPr>
              <w:t xml:space="preserve">Strategic Enterprise Partners</w:t>
            </w:r>
          </w:p>
        </w:tc>
      </w:tr>
    </w:tbl>
    <w:p>
      <w:r>
        <w:br w:type="page"/>
      </w:r>
    </w:p>
    <w:p>
      <w:pPr>
        <w:pStyle w:val="Heading1"/>
        <w:spacing w:before="360" w:after="160"/>
      </w:pPr>
      <w:r>
        <w:rPr>
          <w:rFonts w:ascii="Arial" w:cs="Arial" w:eastAsia="Arial" w:hAnsi="Arial"/>
          <w:b/>
          <w:bCs/>
          <w:color w:val="1B3A5C"/>
          <w:sz w:val="36"/>
          <w:szCs w:val="36"/>
        </w:rPr>
        <w:t xml:space="preserve">1. Executive Summary</w:t>
      </w:r>
    </w:p>
    <w:p>
      <w:pPr>
        <w:pBdr>
          <w:bottom w:val="single" w:color="0E7C7B"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40"/>
              <w:bottom w:type="dxa" w:w="160"/>
              <w:right w:type="dxa" w:w="240"/>
            </w:tcMar>
          </w:tcPr>
          <w:p>
            <w:r>
              <w:rPr>
                <w:rFonts w:ascii="Arial" w:cs="Arial" w:eastAsia="Arial" w:hAnsi="Arial"/>
                <w:b/>
                <w:bCs/>
                <w:color w:val="1B3A5C"/>
                <w:sz w:val="22"/>
                <w:szCs w:val="22"/>
              </w:rPr>
              <w:t xml:space="preserve">Investment Thesis: </w:t>
            </w:r>
            <w:r>
              <w:rPr>
                <w:rFonts w:ascii="Arial" w:cs="Arial" w:eastAsia="Arial" w:hAnsi="Arial"/>
                <w:color w:val="1A1A2E"/>
                <w:sz w:val="22"/>
                <w:szCs w:val="22"/>
              </w:rPr>
              <w:t xml:space="preserve">Quantumind Sentinel addresses a £12.4B and growing enterprise secure communications market at the precise inflection point where quantum computing threatens legacy VPN and TLS infrastructure — and where nation-state level traffic analysis is becoming accessible to a broader range of threat actors.</w:t>
            </w:r>
          </w:p>
        </w:tc>
      </w:tr>
    </w:tbl>
    <w:p>
      <w:pPr>
        <w:spacing w:before="100" w:after="100"/>
      </w:pPr>
    </w:p>
    <w:p>
      <w:pPr>
        <w:spacing w:before="80" w:after="80"/>
      </w:pPr>
      <w:r>
        <w:rPr>
          <w:rFonts w:ascii="Arial" w:cs="Arial" w:eastAsia="Arial" w:hAnsi="Arial"/>
          <w:color w:val="1A1A2E"/>
          <w:sz w:val="22"/>
          <w:szCs w:val="22"/>
        </w:rPr>
        <w:t xml:space="preserve">Quantumind Sentinel (Q-Sentinel) is a next-generation secure communications platform built for enterprises, government contractors, and critical national infrastructure operators who require verifiable, provably anonymous, and quantum-resistant network communications.</w:t>
      </w:r>
    </w:p>
    <w:p>
      <w:pPr>
        <w:spacing w:before="100" w:after="100"/>
      </w:pPr>
    </w:p>
    <w:p>
      <w:pPr>
        <w:spacing w:before="80" w:after="80"/>
      </w:pPr>
      <w:r>
        <w:rPr>
          <w:rFonts w:ascii="Arial" w:cs="Arial" w:eastAsia="Arial" w:hAnsi="Arial"/>
          <w:color w:val="1A1A2E"/>
          <w:sz w:val="22"/>
          <w:szCs w:val="22"/>
        </w:rPr>
        <w:t xml:space="preserve">Unlike legacy VPN products that rely on the provider's honesty and pre-quantum cryptographic assumptions, Q-Sentinel delivers three core innovations:</w:t>
      </w:r>
    </w:p>
    <w:p>
      <w:pPr>
        <w:pStyle w:val="ListParagraph"/>
        <w:numPr>
          <w:ilvl w:val="0"/>
          <w:numId w:val="2"/>
        </w:numPr>
        <w:spacing w:before="60" w:after="60"/>
      </w:pPr>
      <w:r>
        <w:rPr>
          <w:rFonts w:ascii="Arial" w:cs="Arial" w:eastAsia="Arial" w:hAnsi="Arial"/>
          <w:color w:val="1A1A2E"/>
          <w:sz w:val="22"/>
          <w:szCs w:val="22"/>
        </w:rPr>
        <w:t xml:space="preserve">Zero-Knowledge Orchestration (ZKO): users authenticate and access the network without the platform ever storing or transmitting identity-linked credentials — eliminating the 'single point of failure' inherent in all current VPN architectures.</w:t>
      </w:r>
    </w:p>
    <w:p>
      <w:pPr>
        <w:pStyle w:val="ListParagraph"/>
        <w:numPr>
          <w:ilvl w:val="0"/>
          <w:numId w:val="2"/>
        </w:numPr>
        <w:spacing w:before="60" w:after="60"/>
      </w:pPr>
      <w:r>
        <w:rPr>
          <w:rFonts w:ascii="Arial" w:cs="Arial" w:eastAsia="Arial" w:hAnsi="Arial"/>
          <w:color w:val="1A1A2E"/>
          <w:sz w:val="22"/>
          <w:szCs w:val="22"/>
        </w:rPr>
        <w:t xml:space="preserve">Post-Quantum Cryptographic Infrastructure (PQC): NIST-standardised CRYSTALS-Kyber and CRYSTALS-Dilithium primitives are integrated at the protocol layer, future-proofing enterprise communications against cryptographically relevant quantum computers (CRQCs).</w:t>
      </w:r>
    </w:p>
    <w:p>
      <w:pPr>
        <w:pStyle w:val="ListParagraph"/>
        <w:numPr>
          <w:ilvl w:val="0"/>
          <w:numId w:val="2"/>
        </w:numPr>
        <w:spacing w:before="60" w:after="60"/>
      </w:pPr>
      <w:r>
        <w:rPr>
          <w:rFonts w:ascii="Arial" w:cs="Arial" w:eastAsia="Arial" w:hAnsi="Arial"/>
          <w:color w:val="1A1A2E"/>
          <w:sz w:val="22"/>
          <w:szCs w:val="22"/>
        </w:rPr>
        <w:t xml:space="preserve">AI-Driven Adaptive Traffic Obfuscation: a Variational Autoencoder (VAE) and GAN-based system dynamically morphs enterprise traffic signatures to be statistically indistinguishable from benign residential traffic, defeating Deep Packet Inspection (DPI) and advanced traffic correlation attacks.</w:t>
      </w:r>
    </w:p>
    <w:p>
      <w:pPr>
        <w:spacing w:before="100" w:after="100"/>
      </w:pPr>
    </w:p>
    <w:p>
      <w:pPr>
        <w:spacing w:before="80" w:after="80"/>
      </w:pPr>
      <w:r>
        <w:rPr>
          <w:rFonts w:ascii="Arial" w:cs="Arial" w:eastAsia="Arial" w:hAnsi="Arial"/>
          <w:color w:val="1A1A2E"/>
          <w:sz w:val="22"/>
          <w:szCs w:val="22"/>
        </w:rPr>
        <w:t xml:space="preserve">The platform is architected for a multi-revenue B2B2C model spanning enterprise SaaS licensing, managed service contracts for defence contractors, dedicated CNI deployments, and a premium B2C tier — targeting £11.5M ARR by Year 3.</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40"/>
              <w:bottom w:type="dxa" w:w="160"/>
              <w:right w:type="dxa" w:w="240"/>
            </w:tcMar>
          </w:tcPr>
          <w:p>
            <w:r>
              <w:rPr>
                <w:rFonts w:ascii="Arial" w:cs="Arial" w:eastAsia="Arial" w:hAnsi="Arial"/>
                <w:b/>
                <w:bCs/>
                <w:color w:val="1B3A5C"/>
                <w:sz w:val="22"/>
                <w:szCs w:val="22"/>
              </w:rPr>
              <w:t xml:space="preserve">Innovate UK Relevance: </w:t>
            </w:r>
            <w:r>
              <w:rPr>
                <w:rFonts w:ascii="Arial" w:cs="Arial" w:eastAsia="Arial" w:hAnsi="Arial"/>
                <w:color w:val="1A1A2E"/>
                <w:sz w:val="22"/>
                <w:szCs w:val="22"/>
              </w:rPr>
              <w:t xml:space="preserve">Q-Sentinel directly addresses the NCSC's identified priority gap in quantum-resistant communications infrastructure, and contributes to the UK's National Cyber Strategy 2022 objective of becoming a leading cyber power by 2030. The platform's novel application of latent space machine learning to network traffic obfuscation constitutes original UK R&amp;D with strong IP protection potential.</w:t>
            </w:r>
          </w:p>
        </w:tc>
      </w:tr>
    </w:tbl>
    <w:p>
      <w:r>
        <w:br w:type="page"/>
      </w:r>
    </w:p>
    <w:p>
      <w:pPr>
        <w:pStyle w:val="Heading1"/>
        <w:spacing w:before="360" w:after="160"/>
      </w:pPr>
      <w:r>
        <w:rPr>
          <w:rFonts w:ascii="Arial" w:cs="Arial" w:eastAsia="Arial" w:hAnsi="Arial"/>
          <w:b/>
          <w:bCs/>
          <w:color w:val="1B3A5C"/>
          <w:sz w:val="36"/>
          <w:szCs w:val="36"/>
        </w:rPr>
        <w:t xml:space="preserve">2. The Problem: Why Existing Enterprise VPNs Are Failing</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Enterprise network security is facing three converging crises that existing VPN and secure communications tools are architecturally incapable of addressing:</w:t>
      </w:r>
    </w:p>
    <w:p>
      <w:pPr>
        <w:spacing w:before="100" w:after="100"/>
      </w:pPr>
    </w:p>
    <w:p>
      <w:pPr>
        <w:spacing w:before="200" w:after="100"/>
      </w:pPr>
      <w:r>
        <w:rPr>
          <w:rFonts w:ascii="Arial" w:cs="Arial" w:eastAsia="Arial" w:hAnsi="Arial"/>
          <w:b/>
          <w:bCs/>
          <w:color w:val="1B3A5C"/>
          <w:sz w:val="24"/>
          <w:szCs w:val="24"/>
        </w:rPr>
        <w:t xml:space="preserve">2.1 The Quantum Decryption Horizon</w:t>
      </w:r>
    </w:p>
    <w:p>
      <w:pPr>
        <w:spacing w:before="80" w:after="80"/>
      </w:pPr>
      <w:r>
        <w:rPr>
          <w:rFonts w:ascii="Arial" w:cs="Arial" w:eastAsia="Arial" w:hAnsi="Arial"/>
          <w:color w:val="1A1A2E"/>
          <w:sz w:val="22"/>
          <w:szCs w:val="22"/>
        </w:rPr>
        <w:t xml:space="preserve">Cryptographically relevant quantum computers (CRQCs) capable of breaking RSA-2048 and ECDH — the foundations of all current VPN protocols — are projected within 7–15 years. State-level adversaries are actively pursuing 'harvest now, decrypt later' strategies, intercepting and storing today's encrypted enterprise traffic for future decryption. Organisations with long-duration confidential communications (legal, financial, defence, R&amp;D) face an existential data exposure risk they have not yet priced.</w:t>
      </w:r>
    </w:p>
    <w:p>
      <w:pPr>
        <w:spacing w:before="100" w:after="100"/>
      </w:pPr>
    </w:p>
    <w:p>
      <w:pPr>
        <w:spacing w:before="200" w:after="100"/>
      </w:pPr>
      <w:r>
        <w:rPr>
          <w:rFonts w:ascii="Arial" w:cs="Arial" w:eastAsia="Arial" w:hAnsi="Arial"/>
          <w:b/>
          <w:bCs/>
          <w:color w:val="1B3A5C"/>
          <w:sz w:val="24"/>
          <w:szCs w:val="24"/>
        </w:rPr>
        <w:t xml:space="preserve">2.2 Advanced Traffic Analysis Without Decryption</w:t>
      </w:r>
    </w:p>
    <w:p>
      <w:pPr>
        <w:spacing w:before="80" w:after="80"/>
      </w:pPr>
      <w:r>
        <w:rPr>
          <w:rFonts w:ascii="Arial" w:cs="Arial" w:eastAsia="Arial" w:hAnsi="Arial"/>
          <w:color w:val="1A1A2E"/>
          <w:sz w:val="22"/>
          <w:szCs w:val="22"/>
        </w:rPr>
        <w:t xml:space="preserve">Nation-state and advanced persistent threat (APT) actors no longer need to decrypt traffic to extract intelligence value. Traffic metadata analysis — packet timing, volume patterns, protocol fingerprints, and IP correlation — can reveal communication patterns, organisational structure, and operational intent with high confidence. Current enterprise VPNs do nothing to address traffic analysis at this layer.</w:t>
      </w:r>
    </w:p>
    <w:p>
      <w:pPr>
        <w:spacing w:before="100" w:after="100"/>
      </w:pPr>
    </w:p>
    <w:p>
      <w:pPr>
        <w:spacing w:before="200" w:after="100"/>
      </w:pPr>
      <w:r>
        <w:rPr>
          <w:rFonts w:ascii="Arial" w:cs="Arial" w:eastAsia="Arial" w:hAnsi="Arial"/>
          <w:b/>
          <w:bCs/>
          <w:color w:val="1B3A5C"/>
          <w:sz w:val="24"/>
          <w:szCs w:val="24"/>
        </w:rPr>
        <w:t xml:space="preserve">2.3 Centralised Trust Architecture</w:t>
      </w:r>
    </w:p>
    <w:p>
      <w:pPr>
        <w:spacing w:before="80" w:after="80"/>
      </w:pPr>
      <w:r>
        <w:rPr>
          <w:rFonts w:ascii="Arial" w:cs="Arial" w:eastAsia="Arial" w:hAnsi="Arial"/>
          <w:color w:val="1A1A2E"/>
          <w:sz w:val="22"/>
          <w:szCs w:val="22"/>
        </w:rPr>
        <w:t xml:space="preserve">Every current VPN product requires enterprises to trust the provider's infrastructure. Even 'no-logs' claims are unverifiable and legally compellable. A single server compromise, insider threat, or lawful interception notice exposes the entire user base. There is no cryptographic mechanism to prevent this — it is a structural flaw in the architecture.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40"/>
              <w:bottom w:type="dxa" w:w="160"/>
              <w:right w:type="dxa" w:w="240"/>
            </w:tcMar>
          </w:tcPr>
          <w:p>
            <w:r>
              <w:rPr>
                <w:rFonts w:ascii="Arial" w:cs="Arial" w:eastAsia="Arial" w:hAnsi="Arial"/>
                <w:b/>
                <w:bCs/>
                <w:color w:val="1B3A5C"/>
                <w:sz w:val="22"/>
                <w:szCs w:val="22"/>
              </w:rPr>
              <w:t xml:space="preserve">Market Gap: </w:t>
            </w:r>
            <w:r>
              <w:rPr>
                <w:rFonts w:ascii="Arial" w:cs="Arial" w:eastAsia="Arial" w:hAnsi="Arial"/>
                <w:color w:val="1A1A2E"/>
                <w:sz w:val="22"/>
                <w:szCs w:val="22"/>
              </w:rPr>
              <w:t xml:space="preserve">No commercially available enterprise product simultaneously addresses post-quantum cryptography, traffic analysis resistance, and zero-knowledge identity decoupling in a single, integrated platform. Q-Sentinel is purpose-built to fill this gap.</w:t>
            </w:r>
          </w:p>
        </w:tc>
      </w:tr>
    </w:tbl>
    <w:p>
      <w:r>
        <w:br w:type="page"/>
      </w:r>
    </w:p>
    <w:p>
      <w:pPr>
        <w:pStyle w:val="Heading1"/>
        <w:spacing w:before="360" w:after="160"/>
      </w:pPr>
      <w:r>
        <w:rPr>
          <w:rFonts w:ascii="Arial" w:cs="Arial" w:eastAsia="Arial" w:hAnsi="Arial"/>
          <w:b/>
          <w:bCs/>
          <w:color w:val="1B3A5C"/>
          <w:sz w:val="36"/>
          <w:szCs w:val="36"/>
        </w:rPr>
        <w:t xml:space="preserve">3. The Solution: Quantumind Sentinel Architecture</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Q-Sentinel is a modular, five-layer secure communications platform. Each layer is independently novel and collectively delivers a defence-in-depth system that exceeds any current commercially available product.</w:t>
      </w:r>
    </w:p>
    <w:p>
      <w:pPr>
        <w:spacing w:before="100" w:after="100"/>
      </w:pPr>
    </w:p>
    <w:p>
      <w:pPr>
        <w:pStyle w:val="Heading2"/>
        <w:spacing w:before="280" w:after="120"/>
      </w:pPr>
      <w:r>
        <w:rPr>
          <w:rFonts w:ascii="Arial" w:cs="Arial" w:eastAsia="Arial" w:hAnsi="Arial"/>
          <w:b/>
          <w:bCs/>
          <w:color w:val="0E7C7B"/>
          <w:sz w:val="28"/>
          <w:szCs w:val="28"/>
        </w:rPr>
        <w:t xml:space="preserve">3.1 Client-Side Obfuscation Layer (COL)</w:t>
      </w:r>
    </w:p>
    <w:p>
      <w:pPr>
        <w:spacing w:before="80" w:after="80"/>
      </w:pPr>
      <w:r>
        <w:rPr>
          <w:rFonts w:ascii="Arial" w:cs="Arial" w:eastAsia="Arial" w:hAnsi="Arial"/>
          <w:color w:val="1A1A2E"/>
          <w:sz w:val="22"/>
          <w:szCs w:val="22"/>
        </w:rPr>
        <w:t xml:space="preserve">Deployed on the enterprise endpoint, the COL applies AI-driven traffic morphing before any data leaves the device. Using a trained Variational Autoencoder (VAE) architecture, the COL projects outgoing traffic packets into a learned latent space derived from a large corpus of benign residential internet traffic. Reconstructed packets are statistically indistinguishable from ordinary web browsing or streaming traffic, neutralising Deep Packet Inspection at source.</w:t>
      </w:r>
    </w:p>
    <w:p>
      <w:pPr>
        <w:pStyle w:val="ListParagraph"/>
        <w:numPr>
          <w:ilvl w:val="0"/>
          <w:numId w:val="2"/>
        </w:numPr>
        <w:spacing w:before="60" w:after="60"/>
      </w:pPr>
      <w:r>
        <w:rPr>
          <w:rFonts w:ascii="Arial" w:cs="Arial" w:eastAsia="Arial" w:hAnsi="Arial"/>
          <w:color w:val="1A1A2E"/>
          <w:sz w:val="22"/>
          <w:szCs w:val="22"/>
        </w:rPr>
        <w:t xml:space="preserve">Technology: VAE-GAN hybrid model trained on residential traffic corpus</w:t>
      </w:r>
    </w:p>
    <w:p>
      <w:pPr>
        <w:pStyle w:val="ListParagraph"/>
        <w:numPr>
          <w:ilvl w:val="0"/>
          <w:numId w:val="2"/>
        </w:numPr>
        <w:spacing w:before="60" w:after="60"/>
      </w:pPr>
      <w:r>
        <w:rPr>
          <w:rFonts w:ascii="Arial" w:cs="Arial" w:eastAsia="Arial" w:hAnsi="Arial"/>
          <w:color w:val="1A1A2E"/>
          <w:sz w:val="22"/>
          <w:szCs w:val="22"/>
        </w:rPr>
        <w:t xml:space="preserve">Innovation: Novel application of generative AI to enterprise network packet morphing</w:t>
      </w:r>
    </w:p>
    <w:p>
      <w:pPr>
        <w:pStyle w:val="ListParagraph"/>
        <w:numPr>
          <w:ilvl w:val="0"/>
          <w:numId w:val="2"/>
        </w:numPr>
        <w:spacing w:before="60" w:after="60"/>
      </w:pPr>
      <w:r>
        <w:rPr>
          <w:rFonts w:ascii="Arial" w:cs="Arial" w:eastAsia="Arial" w:hAnsi="Arial"/>
          <w:color w:val="1A1A2E"/>
          <w:sz w:val="22"/>
          <w:szCs w:val="22"/>
        </w:rPr>
        <w:t xml:space="preserve">Regulatory Alignment: Operates entirely on client hardware; no traffic content is transmitted to Q-Sentinel infrastructure</w:t>
      </w:r>
    </w:p>
    <w:p>
      <w:pPr>
        <w:spacing w:before="100" w:after="100"/>
      </w:pPr>
    </w:p>
    <w:p>
      <w:pPr>
        <w:pStyle w:val="Heading2"/>
        <w:spacing w:before="280" w:after="120"/>
      </w:pPr>
      <w:r>
        <w:rPr>
          <w:rFonts w:ascii="Arial" w:cs="Arial" w:eastAsia="Arial" w:hAnsi="Arial"/>
          <w:b/>
          <w:bCs/>
          <w:color w:val="0E7C7B"/>
          <w:sz w:val="28"/>
          <w:szCs w:val="28"/>
        </w:rPr>
        <w:t xml:space="preserve">3.2 Dynamic Proxy Chain Orchestrator (DPCO)</w:t>
      </w:r>
    </w:p>
    <w:p>
      <w:pPr>
        <w:spacing w:before="80" w:after="80"/>
      </w:pPr>
      <w:r>
        <w:rPr>
          <w:rFonts w:ascii="Arial" w:cs="Arial" w:eastAsia="Arial" w:hAnsi="Arial"/>
          <w:color w:val="1A1A2E"/>
          <w:sz w:val="22"/>
          <w:szCs w:val="22"/>
        </w:rPr>
        <w:t xml:space="preserve">The DPCO manages routing of obfuscated enterprise traffic through a dynamically selected, multi-hop proxy chain. Path selection is governed by real-time intelligence from the Global Intelligence Mesh (see 3.5), incorporating node reliability, jurisdictional risk, and adversarial pattern data. Zero-Knowledge Proofs govern the DPCO's access control layer — the orchestrator confirms a valid user is present without learning who they are.</w:t>
      </w:r>
    </w:p>
    <w:p>
      <w:pPr>
        <w:pStyle w:val="ListParagraph"/>
        <w:numPr>
          <w:ilvl w:val="0"/>
          <w:numId w:val="2"/>
        </w:numPr>
        <w:spacing w:before="60" w:after="60"/>
      </w:pPr>
      <w:r>
        <w:rPr>
          <w:rFonts w:ascii="Arial" w:cs="Arial" w:eastAsia="Arial" w:hAnsi="Arial"/>
          <w:color w:val="1A1A2E"/>
          <w:sz w:val="22"/>
          <w:szCs w:val="22"/>
        </w:rPr>
        <w:t xml:space="preserve">Technology: Adapted proxychains logic with AI-driven path selection</w:t>
      </w:r>
    </w:p>
    <w:p>
      <w:pPr>
        <w:pStyle w:val="ListParagraph"/>
        <w:numPr>
          <w:ilvl w:val="0"/>
          <w:numId w:val="2"/>
        </w:numPr>
        <w:spacing w:before="60" w:after="60"/>
      </w:pPr>
      <w:r>
        <w:rPr>
          <w:rFonts w:ascii="Arial" w:cs="Arial" w:eastAsia="Arial" w:hAnsi="Arial"/>
          <w:color w:val="1A1A2E"/>
          <w:sz w:val="22"/>
          <w:szCs w:val="22"/>
        </w:rPr>
        <w:t xml:space="preserve">Innovation: ZKP-governed proxy orchestration — a novel integration of ZKP into routing infrastructure</w:t>
      </w:r>
    </w:p>
    <w:p>
      <w:pPr>
        <w:spacing w:before="100" w:after="100"/>
      </w:pPr>
    </w:p>
    <w:p>
      <w:pPr>
        <w:pStyle w:val="Heading2"/>
        <w:spacing w:before="280" w:after="120"/>
      </w:pPr>
      <w:r>
        <w:rPr>
          <w:rFonts w:ascii="Arial" w:cs="Arial" w:eastAsia="Arial" w:hAnsi="Arial"/>
          <w:b/>
          <w:bCs/>
          <w:color w:val="0E7C7B"/>
          <w:sz w:val="28"/>
          <w:szCs w:val="28"/>
        </w:rPr>
        <w:t xml:space="preserve">3.3 Quantum-Secure VPN Gateway (QSVG)</w:t>
      </w:r>
    </w:p>
    <w:p>
      <w:pPr>
        <w:spacing w:before="80" w:after="80"/>
      </w:pPr>
      <w:r>
        <w:rPr>
          <w:rFonts w:ascii="Arial" w:cs="Arial" w:eastAsia="Arial" w:hAnsi="Arial"/>
          <w:color w:val="1A1A2E"/>
          <w:sz w:val="22"/>
          <w:szCs w:val="22"/>
        </w:rPr>
        <w:t xml:space="preserve">The final exit point to the public internet. The QSVG implements a hybrid TLS handshake combining legacy ECDH/RSA (for interoperability) with NIST-standardised CRYSTALS-Kyber (key encapsulation) and CRYSTALS-Dilithium (digital signatures). This provides immediate quantum resistance while maintaining backward compatibility with existing enterprise infrastructure.</w:t>
      </w:r>
    </w:p>
    <w:p>
      <w:pPr>
        <w:pStyle w:val="ListParagraph"/>
        <w:numPr>
          <w:ilvl w:val="0"/>
          <w:numId w:val="2"/>
        </w:numPr>
        <w:spacing w:before="60" w:after="60"/>
      </w:pPr>
      <w:r>
        <w:rPr>
          <w:rFonts w:ascii="Arial" w:cs="Arial" w:eastAsia="Arial" w:hAnsi="Arial"/>
          <w:color w:val="1A1A2E"/>
          <w:sz w:val="22"/>
          <w:szCs w:val="22"/>
        </w:rPr>
        <w:t xml:space="preserve">Technology: CRYSTALS-Kyber + CRYSTALS-Dilithium (NIST PQC Standards, 2024)</w:t>
      </w:r>
    </w:p>
    <w:p>
      <w:pPr>
        <w:pStyle w:val="ListParagraph"/>
        <w:numPr>
          <w:ilvl w:val="0"/>
          <w:numId w:val="2"/>
        </w:numPr>
        <w:spacing w:before="60" w:after="60"/>
      </w:pPr>
      <w:r>
        <w:rPr>
          <w:rFonts w:ascii="Arial" w:cs="Arial" w:eastAsia="Arial" w:hAnsi="Arial"/>
          <w:color w:val="1A1A2E"/>
          <w:sz w:val="22"/>
          <w:szCs w:val="22"/>
        </w:rPr>
        <w:t xml:space="preserve">Innovation: Hybrid PQC handshake integrated at the VPN gateway layer — applicable to existing enterprise toolchains without endpoint re-engineering</w:t>
      </w:r>
    </w:p>
    <w:p>
      <w:pPr>
        <w:spacing w:before="100" w:after="100"/>
      </w:pPr>
    </w:p>
    <w:p>
      <w:pPr>
        <w:pStyle w:val="Heading2"/>
        <w:spacing w:before="280" w:after="120"/>
      </w:pPr>
      <w:r>
        <w:rPr>
          <w:rFonts w:ascii="Arial" w:cs="Arial" w:eastAsia="Arial" w:hAnsi="Arial"/>
          <w:b/>
          <w:bCs/>
          <w:color w:val="0E7C7B"/>
          <w:sz w:val="28"/>
          <w:szCs w:val="28"/>
        </w:rPr>
        <w:t xml:space="preserve">3.4 Zero-Knowledge Orchestration (ZKO) Authentication</w:t>
      </w:r>
    </w:p>
    <w:p>
      <w:pPr>
        <w:spacing w:before="80" w:after="80"/>
      </w:pPr>
      <w:r>
        <w:rPr>
          <w:rFonts w:ascii="Arial" w:cs="Arial" w:eastAsia="Arial" w:hAnsi="Arial"/>
          <w:color w:val="1A1A2E"/>
          <w:sz w:val="22"/>
          <w:szCs w:val="22"/>
        </w:rPr>
        <w:t xml:space="preserve">Users generate Zero-Knowledge Proofs confirming active subscription status and access rights without transmitting any identity-linked credential to Q-Sentinel's infrastructure. The platform verifiably cannot link any user to their traffic, even under legal compulsion — not as a policy claim, but as a mathematical property of the system.</w:t>
      </w:r>
    </w:p>
    <w:p>
      <w:pPr>
        <w:pStyle w:val="ListParagraph"/>
        <w:numPr>
          <w:ilvl w:val="0"/>
          <w:numId w:val="2"/>
        </w:numPr>
        <w:spacing w:before="60" w:after="60"/>
      </w:pPr>
      <w:r>
        <w:rPr>
          <w:rFonts w:ascii="Arial" w:cs="Arial" w:eastAsia="Arial" w:hAnsi="Arial"/>
          <w:color w:val="1A1A2E"/>
          <w:sz w:val="22"/>
          <w:szCs w:val="22"/>
        </w:rPr>
        <w:t xml:space="preserve">Technology: ZKP implementation using bulletproofs cryptographic framework</w:t>
      </w:r>
    </w:p>
    <w:p>
      <w:pPr>
        <w:pStyle w:val="ListParagraph"/>
        <w:numPr>
          <w:ilvl w:val="0"/>
          <w:numId w:val="2"/>
        </w:numPr>
        <w:spacing w:before="60" w:after="60"/>
      </w:pPr>
      <w:r>
        <w:rPr>
          <w:rFonts w:ascii="Arial" w:cs="Arial" w:eastAsia="Arial" w:hAnsi="Arial"/>
          <w:color w:val="1A1A2E"/>
          <w:sz w:val="22"/>
          <w:szCs w:val="22"/>
        </w:rPr>
        <w:t xml:space="preserve">Innovation: First enterprise VPN to make 'no-logs' a cryptographic guarantee rather than a policy statement</w:t>
      </w:r>
    </w:p>
    <w:p>
      <w:pPr>
        <w:spacing w:before="100" w:after="100"/>
      </w:pPr>
    </w:p>
    <w:p>
      <w:pPr>
        <w:pStyle w:val="Heading2"/>
        <w:spacing w:before="280" w:after="120"/>
      </w:pPr>
      <w:r>
        <w:rPr>
          <w:rFonts w:ascii="Arial" w:cs="Arial" w:eastAsia="Arial" w:hAnsi="Arial"/>
          <w:b/>
          <w:bCs/>
          <w:color w:val="0E7C7B"/>
          <w:sz w:val="28"/>
          <w:szCs w:val="28"/>
        </w:rPr>
        <w:t xml:space="preserve">3.5 Global Intelligence Mesh (GIM)</w:t>
      </w:r>
    </w:p>
    <w:p>
      <w:pPr>
        <w:spacing w:before="80" w:after="80"/>
      </w:pPr>
      <w:r>
        <w:rPr>
          <w:rFonts w:ascii="Arial" w:cs="Arial" w:eastAsia="Arial" w:hAnsi="Arial"/>
          <w:color w:val="1A1A2E"/>
          <w:sz w:val="22"/>
          <w:szCs w:val="22"/>
        </w:rPr>
        <w:t xml:space="preserve">A distributed AI/ML system that continuously monitors global censorship techniques, DPI signatures, adversarial traffic analysis patterns, and threat actor tooling. The GIM feeds real-time intelligence to the COL and DPCO, enabling Q-Sentinel to autonomously adapt obfuscation and routing strategies as adversary capabilities evolve.</w:t>
      </w:r>
    </w:p>
    <w:p>
      <w:pPr>
        <w:pStyle w:val="ListParagraph"/>
        <w:numPr>
          <w:ilvl w:val="0"/>
          <w:numId w:val="2"/>
        </w:numPr>
        <w:spacing w:before="60" w:after="60"/>
      </w:pPr>
      <w:r>
        <w:rPr>
          <w:rFonts w:ascii="Arial" w:cs="Arial" w:eastAsia="Arial" w:hAnsi="Arial"/>
          <w:color w:val="1A1A2E"/>
          <w:sz w:val="22"/>
          <w:szCs w:val="22"/>
        </w:rPr>
        <w:t xml:space="preserve">Technology: Distributed ML inference on anonymised network telemetry</w:t>
      </w:r>
    </w:p>
    <w:p>
      <w:pPr>
        <w:pStyle w:val="ListParagraph"/>
        <w:numPr>
          <w:ilvl w:val="0"/>
          <w:numId w:val="2"/>
        </w:numPr>
        <w:spacing w:before="60" w:after="60"/>
      </w:pPr>
      <w:r>
        <w:rPr>
          <w:rFonts w:ascii="Arial" w:cs="Arial" w:eastAsia="Arial" w:hAnsi="Arial"/>
          <w:color w:val="1A1A2E"/>
          <w:sz w:val="22"/>
          <w:szCs w:val="22"/>
        </w:rPr>
        <w:t xml:space="preserve">Innovation: Self-adapting threat response — the platform's security posture improves continuously without software updates or human intervention</w:t>
      </w:r>
    </w:p>
    <w:p>
      <w:r>
        <w:br w:type="page"/>
      </w:r>
    </w:p>
    <w:p>
      <w:pPr>
        <w:pStyle w:val="Heading1"/>
        <w:spacing w:before="360" w:after="160"/>
      </w:pPr>
      <w:r>
        <w:rPr>
          <w:rFonts w:ascii="Arial" w:cs="Arial" w:eastAsia="Arial" w:hAnsi="Arial"/>
          <w:b/>
          <w:bCs/>
          <w:color w:val="1B3A5C"/>
          <w:sz w:val="36"/>
          <w:szCs w:val="36"/>
        </w:rPr>
        <w:t xml:space="preserve">4. Technical Integration Roadmap</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Q-Sentinel is developed across four structured phases spanning 18 months from initial protocol integration to full adaptive intelligence deployment.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Technical Approach</w:t>
            </w:r>
          </w:p>
        </w:tc>
        <w:tc>
          <w:tcPr>
            <w:tcW w:type="dxa" w:w="24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Strategic 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Months 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VPN Tunnel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WireGuard-go integration; key exchange and session management; basic routing configuration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High-performance encrypted tunnel foundation; sub-5ms latency overhead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Phase 1
Months 1–3</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Initial Obfuscation</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XTLS/Xray-core REALITY protocol integration; TLS handshake mimicry; wg-obfuscator for packet-level disguise</w:t>
            </w:r>
          </w:p>
        </w:tc>
        <w:tc>
          <w:tcPr>
            <w:tcW w:type="dxa" w:w="2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Traffic appears as standard HTTPS; evades commodity DPI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Months 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Traffic Morphing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VAE-GAN model training on residential traffic corpus; client-side latent space projection module; packet reconstruction pipeline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Traffic statistically indistinguishable from benign residential activity; defeats advanced fingerprinting</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Phase 2
Months 4–8</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Synthetic Noise Injection</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GAN-based packet generation (SyNIG / SPATGAN architectures); client-side injection module for high-entropy background noise</w:t>
            </w:r>
          </w:p>
        </w:tc>
        <w:tc>
          <w:tcPr>
            <w:tcW w:type="dxa" w:w="2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Adversarial signal-to-noise ratio degraded; traffic isolation attack cost increases by orders of magnitude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Months 9–12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Dark Network Transport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I2P/Tor encapsulation layer for extreme-sensitivity deployments; multi-hop garlic routing integration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enterprise comms routed via decentralised anonymous network for maximum adversarial resistance</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Phase 3
Months 9–12</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ZKP Authentication</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Bulletproofs ZKP library integration; subscription verification without identity transmission; ZKP-governed proxy chain access</w:t>
            </w:r>
          </w:p>
        </w:tc>
        <w:tc>
          <w:tcPr>
            <w:tcW w:type="dxa" w:w="2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Cryptographically verified no-logs: provider cannot link users to traffic even under compulsion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Months 13–18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Post-Quantum Gateway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CRYSTALS-Kyber + Dilithium hybrid TLS handshake; GIM-triggered PQC enforcement mechanism; backward-compatible rollout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Quantum-resistant from day one; automatic upgrade to full PQC suite when quantum threat indicators detected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Phase 4
Months 13–18</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Global Intelligence Mesh</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Distributed AI inference on anonymised telemetry; real-time threat classification; adaptive strategy deployment to COL and DPCO</w:t>
            </w:r>
          </w:p>
        </w:tc>
        <w:tc>
          <w:tcPr>
            <w:tcW w:type="dxa" w:w="2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Self-adapting platform: threat response time reduced from weeks (manual) to seconds (autonomous)</w:t>
            </w:r>
          </w:p>
        </w:tc>
      </w:tr>
    </w:tbl>
    <w:p>
      <w:r>
        <w:br w:type="page"/>
      </w:r>
    </w:p>
    <w:p>
      <w:pPr>
        <w:pStyle w:val="Heading1"/>
        <w:spacing w:before="360" w:after="160"/>
      </w:pPr>
      <w:r>
        <w:rPr>
          <w:rFonts w:ascii="Arial" w:cs="Arial" w:eastAsia="Arial" w:hAnsi="Arial"/>
          <w:b/>
          <w:bCs/>
          <w:color w:val="1B3A5C"/>
          <w:sz w:val="36"/>
          <w:szCs w:val="36"/>
        </w:rPr>
        <w:t xml:space="preserve">5. Market Opportunity &amp; Revenue Model</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Q-Sentinel addresses a segmented enterprise secure communications market with distinct buyer profiles and purchasing behaviours. The multi-revenue architecture is designed to reduce concentration risk and maximise capital efficiency.</w:t>
      </w:r>
    </w:p>
    <w:p>
      <w:pPr>
        <w:spacing w:before="100" w:after="100"/>
      </w:pPr>
    </w:p>
    <w:p>
      <w:pPr>
        <w:pStyle w:val="Heading2"/>
        <w:spacing w:before="280" w:after="120"/>
      </w:pPr>
      <w:r>
        <w:rPr>
          <w:rFonts w:ascii="Arial" w:cs="Arial" w:eastAsia="Arial" w:hAnsi="Arial"/>
          <w:b/>
          <w:bCs/>
          <w:color w:val="0E7C7B"/>
          <w:sz w:val="28"/>
          <w:szCs w:val="28"/>
        </w:rPr>
        <w:t xml:space="preserve">5.1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100"/>
            </w:pPr>
            <w:r>
              <w:rPr>
                <w:rFonts w:ascii="Arial" w:cs="Arial" w:eastAsia="Arial" w:hAnsi="Arial"/>
                <w:b/>
                <w:bCs/>
                <w:color w:val="1B3A5C"/>
                <w:sz w:val="24"/>
                <w:szCs w:val="24"/>
              </w:rPr>
              <w:t xml:space="preserve">Global Enterprise VPN Market</w:t>
            </w:r>
          </w:p>
          <w:p>
            <w:pPr>
              <w:spacing w:before="80" w:after="80"/>
            </w:pPr>
            <w:r>
              <w:rPr>
                <w:rFonts w:ascii="Arial" w:cs="Arial" w:eastAsia="Arial" w:hAnsi="Arial"/>
                <w:color w:val="1A1A2E"/>
                <w:sz w:val="22"/>
                <w:szCs w:val="22"/>
              </w:rPr>
              <w:t xml:space="preserve">£44.6B globally (2025), growing at 14.3% CAGR. UK enterprise segment: ~£2.1B. Post-quantum security uplift expected to expand total addressable market significantly as quantum timelines tighten.</w:t>
            </w:r>
          </w:p>
          <w:p>
            <w:pPr>
              <w:spacing w:before="100" w:after="100"/>
            </w:pPr>
          </w:p>
          <w:p>
            <w:pPr>
              <w:spacing w:before="200" w:after="100"/>
            </w:pPr>
            <w:r>
              <w:rPr>
                <w:rFonts w:ascii="Arial" w:cs="Arial" w:eastAsia="Arial" w:hAnsi="Arial"/>
                <w:b/>
                <w:bCs/>
                <w:color w:val="1B3A5C"/>
                <w:sz w:val="24"/>
                <w:szCs w:val="24"/>
              </w:rPr>
              <w:t xml:space="preserve">UK Cyber Security Services</w:t>
            </w:r>
          </w:p>
          <w:p>
            <w:pPr>
              <w:spacing w:before="80" w:after="80"/>
            </w:pPr>
            <w:r>
              <w:rPr>
                <w:rFonts w:ascii="Arial" w:cs="Arial" w:eastAsia="Arial" w:hAnsi="Arial"/>
                <w:color w:val="1A1A2E"/>
                <w:sz w:val="22"/>
                <w:szCs w:val="22"/>
              </w:rPr>
              <w:t xml:space="preserve">£10.5B UK market (DCMS, 2024). Government procurement via Crown Commercial Service and NCSC-aligned supplier frameworks represents a structured route to public sector and CNI contracts.</w:t>
            </w:r>
          </w:p>
        </w:tc>
        <w:tc>
          <w:tcPr>
            <w:tcW w:type="dxa" w:w="476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100"/>
            </w:pPr>
            <w:r>
              <w:rPr>
                <w:rFonts w:ascii="Arial" w:cs="Arial" w:eastAsia="Arial" w:hAnsi="Arial"/>
                <w:b/>
                <w:bCs/>
                <w:color w:val="1B3A5C"/>
                <w:sz w:val="24"/>
                <w:szCs w:val="24"/>
              </w:rPr>
              <w:t xml:space="preserve">Defence &amp; CNI Procurement</w:t>
            </w:r>
          </w:p>
          <w:p>
            <w:pPr>
              <w:spacing w:before="80" w:after="80"/>
            </w:pPr>
            <w:r>
              <w:rPr>
                <w:rFonts w:ascii="Arial" w:cs="Arial" w:eastAsia="Arial" w:hAnsi="Arial"/>
                <w:color w:val="1A1A2E"/>
                <w:sz w:val="22"/>
                <w:szCs w:val="22"/>
              </w:rPr>
              <w:t xml:space="preserve">UK defence and CNI operators face mandatory secure communications upgrades under the Telecommunications (Security) Act 2021 and NIS2 transposition. Q-Sentinel's architecture directly addresses NCSC Category 1 and Category 2 compliance requirements.</w:t>
            </w:r>
          </w:p>
          <w:p>
            <w:pPr>
              <w:spacing w:before="100" w:after="100"/>
            </w:pPr>
          </w:p>
          <w:p>
            <w:pPr>
              <w:spacing w:before="200" w:after="100"/>
            </w:pPr>
            <w:r>
              <w:rPr>
                <w:rFonts w:ascii="Arial" w:cs="Arial" w:eastAsia="Arial" w:hAnsi="Arial"/>
                <w:b/>
                <w:bCs/>
                <w:color w:val="1B3A5C"/>
                <w:sz w:val="24"/>
                <w:szCs w:val="24"/>
              </w:rPr>
              <w:t xml:space="preserve">B2C Premium Segment</w:t>
            </w:r>
          </w:p>
          <w:p>
            <w:pPr>
              <w:spacing w:before="80" w:after="80"/>
            </w:pPr>
            <w:r>
              <w:rPr>
                <w:rFonts w:ascii="Arial" w:cs="Arial" w:eastAsia="Arial" w:hAnsi="Arial"/>
                <w:color w:val="1A1A2E"/>
                <w:sz w:val="22"/>
                <w:szCs w:val="22"/>
              </w:rPr>
              <w:t xml:space="preserve">Growing demand from legal professionals, journalists, financial advisors, and HNW individuals for verifiably private communications. GDPR enforcement has elevated enterprise and consumer awareness of metadata exposure risks.</w:t>
            </w:r>
          </w:p>
        </w:tc>
      </w:tr>
    </w:tbl>
    <w:p>
      <w:pPr>
        <w:spacing w:before="100" w:after="100"/>
      </w:pPr>
    </w:p>
    <w:p>
      <w:pPr>
        <w:pStyle w:val="Heading2"/>
        <w:spacing w:before="280" w:after="120"/>
      </w:pPr>
      <w:r>
        <w:rPr>
          <w:rFonts w:ascii="Arial" w:cs="Arial" w:eastAsia="Arial" w:hAnsi="Arial"/>
          <w:b/>
          <w:bCs/>
          <w:color w:val="0E7C7B"/>
          <w:sz w:val="28"/>
          <w:szCs w:val="28"/>
        </w:rPr>
        <w:t xml:space="preserve">5.2 Revenue Streams — Year 3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r>
              <w:rPr>
                <w:rFonts w:ascii="Arial" w:cs="Arial" w:eastAsia="Arial" w:hAnsi="Arial"/>
                <w:b/>
                <w:bCs/>
                <w:color w:val="FFFFFF"/>
                <w:sz w:val="20"/>
                <w:szCs w:val="20"/>
              </w:rPr>
              <w:t xml:space="preserve">Target ARR (Yr 3)</w:t>
            </w:r>
          </w:p>
        </w:tc>
        <w:tc>
          <w:tcPr>
            <w:tcW w:type="dxa" w:w="316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r>
              <w:rPr>
                <w:rFonts w:ascii="Arial" w:cs="Arial" w:eastAsia="Arial" w:hAnsi="Arial"/>
                <w:b/>
                <w:bCs/>
                <w:color w:val="FFFFFF"/>
                <w:sz w:val="20"/>
                <w:szCs w:val="20"/>
              </w:rPr>
              <w:t xml:space="preserve">Value Proposition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 CISO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SaaS Annual Licence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£4.2M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Post-quantum secure comms, zero-knowledge access control for hybrid workforce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Defence &amp; Gov Contractors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Managed Service + NRE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£3.1M</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NCSC-aligned secure operations layer; classified-environment compatibility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National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Dedicated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£2.8M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Air-gapped comms resilience for energy, finance, telecoms operators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B2C Privacy (Premium)</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Subscription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£1.4M</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Consumer-grade intelligence-grade anonymity for high-net-worth / journalist / legal verticals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40"/>
              <w:bottom w:type="dxa" w:w="160"/>
              <w:right w:type="dxa" w:w="240"/>
            </w:tcMar>
          </w:tcPr>
          <w:p>
            <w:r>
              <w:rPr>
                <w:rFonts w:ascii="Arial" w:cs="Arial" w:eastAsia="Arial" w:hAnsi="Arial"/>
                <w:b/>
                <w:bCs/>
                <w:color w:val="1B3A5C"/>
                <w:sz w:val="22"/>
                <w:szCs w:val="22"/>
              </w:rPr>
              <w:t xml:space="preserve">Total Year 3 ARR Target: </w:t>
            </w:r>
            <w:r>
              <w:rPr>
                <w:rFonts w:ascii="Arial" w:cs="Arial" w:eastAsia="Arial" w:hAnsi="Arial"/>
                <w:color w:val="1A1A2E"/>
                <w:sz w:val="22"/>
                <w:szCs w:val="22"/>
              </w:rPr>
              <w:t xml:space="preserve">£11.5M across all segments, with gross margins of 74–81% on SaaS and subscription tiers. Defence and CNI managed service contracts carry lower margins (52–58%) but provide long-duration, high-certainty revenue.</w:t>
            </w:r>
          </w:p>
        </w:tc>
      </w:tr>
    </w:tbl>
    <w:p>
      <w:r>
        <w:br w:type="page"/>
      </w:r>
    </w:p>
    <w:p>
      <w:pPr>
        <w:pStyle w:val="Heading1"/>
        <w:spacing w:before="360" w:after="160"/>
      </w:pPr>
      <w:r>
        <w:rPr>
          <w:rFonts w:ascii="Arial" w:cs="Arial" w:eastAsia="Arial" w:hAnsi="Arial"/>
          <w:b/>
          <w:bCs/>
          <w:color w:val="1B3A5C"/>
          <w:sz w:val="36"/>
          <w:szCs w:val="36"/>
        </w:rPr>
        <w:t xml:space="preserve">6. Innovate UK Alignment &amp; R&amp;D Justification</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Q-Sentinel's development programme constitutes substantive applied R&amp;D that aligns with multiple Innovate UK and UKRI priority areas. The following research challenges are novel and require original investigation beyond the current state of the art.</w:t>
      </w:r>
    </w:p>
    <w:p>
      <w:pPr>
        <w:spacing w:before="100" w:after="100"/>
      </w:pPr>
    </w:p>
    <w:p>
      <w:pPr>
        <w:spacing w:before="200" w:after="100"/>
      </w:pPr>
      <w:r>
        <w:rPr>
          <w:rFonts w:ascii="Arial" w:cs="Arial" w:eastAsia="Arial" w:hAnsi="Arial"/>
          <w:b/>
          <w:bCs/>
          <w:color w:val="1B3A5C"/>
          <w:sz w:val="24"/>
          <w:szCs w:val="24"/>
        </w:rPr>
        <w:t xml:space="preserve">6.1 Research Challenge: Latent Space Traffic Morphing</w:t>
      </w:r>
    </w:p>
    <w:p>
      <w:pPr>
        <w:spacing w:before="80" w:after="80"/>
      </w:pPr>
      <w:r>
        <w:rPr>
          <w:rFonts w:ascii="Arial" w:cs="Arial" w:eastAsia="Arial" w:hAnsi="Arial"/>
          <w:color w:val="1A1A2E"/>
          <w:sz w:val="22"/>
          <w:szCs w:val="22"/>
        </w:rPr>
        <w:t xml:space="preserve">The application of Variational Autoencoder (VAE) and GAN architectures to enterprise network packet morphing is a novel research area. Existing academic literature addresses traffic classification (the adversary's problem) but not the inverse problem of adversarially-guided generation of indistinguishable traffic at enterprise scale with sub-10ms latency constraints. This requires original model architecture research, novel training data curation methodology, and new inference optimisation techniques suitable for deployment on standard enterprise endpoints.</w:t>
      </w:r>
    </w:p>
    <w:p>
      <w:pPr>
        <w:pStyle w:val="ListParagraph"/>
        <w:numPr>
          <w:ilvl w:val="0"/>
          <w:numId w:val="2"/>
        </w:numPr>
        <w:spacing w:before="60" w:after="60"/>
      </w:pPr>
      <w:r>
        <w:rPr>
          <w:rFonts w:ascii="Arial" w:cs="Arial" w:eastAsia="Arial" w:hAnsi="Arial"/>
          <w:color w:val="1A1A2E"/>
          <w:sz w:val="22"/>
          <w:szCs w:val="22"/>
        </w:rPr>
        <w:t xml:space="preserve">Research gap: No published work addresses real-time, low-latency VAE-based packet morphing for enterprise VPN traffic</w:t>
      </w:r>
    </w:p>
    <w:p>
      <w:pPr>
        <w:pStyle w:val="ListParagraph"/>
        <w:numPr>
          <w:ilvl w:val="0"/>
          <w:numId w:val="2"/>
        </w:numPr>
        <w:spacing w:before="60" w:after="60"/>
      </w:pPr>
      <w:r>
        <w:rPr>
          <w:rFonts w:ascii="Arial" w:cs="Arial" w:eastAsia="Arial" w:hAnsi="Arial"/>
          <w:color w:val="1A1A2E"/>
          <w:sz w:val="22"/>
          <w:szCs w:val="22"/>
        </w:rPr>
        <w:t xml:space="preserve">IP potential: Novel model architecture, training methodology, and inference pipeline are all independently patentable</w:t>
      </w:r>
    </w:p>
    <w:p>
      <w:pPr>
        <w:spacing w:before="100" w:after="100"/>
      </w:pPr>
    </w:p>
    <w:p>
      <w:pPr>
        <w:spacing w:before="200" w:after="100"/>
      </w:pPr>
      <w:r>
        <w:rPr>
          <w:rFonts w:ascii="Arial" w:cs="Arial" w:eastAsia="Arial" w:hAnsi="Arial"/>
          <w:b/>
          <w:bCs/>
          <w:color w:val="1B3A5C"/>
          <w:sz w:val="24"/>
          <w:szCs w:val="24"/>
        </w:rPr>
        <w:t xml:space="preserve">6.2 Research Challenge: ZKP-Governed Network Orchestration</w:t>
      </w:r>
    </w:p>
    <w:p>
      <w:pPr>
        <w:spacing w:before="80" w:after="80"/>
      </w:pPr>
      <w:r>
        <w:rPr>
          <w:rFonts w:ascii="Arial" w:cs="Arial" w:eastAsia="Arial" w:hAnsi="Arial"/>
          <w:color w:val="1A1A2E"/>
          <w:sz w:val="22"/>
          <w:szCs w:val="22"/>
        </w:rPr>
        <w:t xml:space="preserve">Zero-Knowledge Proofs have been applied to identity verification and blockchain protocols, but their integration as the access control and routing governance layer for a dynamic proxy chain is a novel application. The research challenge involves adapting ZKP proof generation to operate within acceptable latency budgets for enterprise communications (&lt;50ms proof generation on standard hardware) and designing a proof schema that encodes access rights without encoding any identity-linkable attribute.</w:t>
      </w:r>
    </w:p>
    <w:p>
      <w:pPr>
        <w:pStyle w:val="ListParagraph"/>
        <w:numPr>
          <w:ilvl w:val="0"/>
          <w:numId w:val="2"/>
        </w:numPr>
        <w:spacing w:before="60" w:after="60"/>
      </w:pPr>
      <w:r>
        <w:rPr>
          <w:rFonts w:ascii="Arial" w:cs="Arial" w:eastAsia="Arial" w:hAnsi="Arial"/>
          <w:color w:val="1A1A2E"/>
          <w:sz w:val="22"/>
          <w:szCs w:val="22"/>
        </w:rPr>
        <w:t xml:space="preserve">Research gap: No commercial or academic system has deployed ZKP as the sole authentication mechanism for multi-hop proxy orchestration</w:t>
      </w:r>
    </w:p>
    <w:p>
      <w:pPr>
        <w:pStyle w:val="ListParagraph"/>
        <w:numPr>
          <w:ilvl w:val="0"/>
          <w:numId w:val="2"/>
        </w:numPr>
        <w:spacing w:before="60" w:after="60"/>
      </w:pPr>
      <w:r>
        <w:rPr>
          <w:rFonts w:ascii="Arial" w:cs="Arial" w:eastAsia="Arial" w:hAnsi="Arial"/>
          <w:color w:val="1A1A2E"/>
          <w:sz w:val="22"/>
          <w:szCs w:val="22"/>
        </w:rPr>
        <w:t xml:space="preserve">IP potential: ZKP proof schema design and optimised implementation are patentable; trade secret protection for the proof generation protocol</w:t>
      </w:r>
    </w:p>
    <w:p>
      <w:pPr>
        <w:spacing w:before="100" w:after="100"/>
      </w:pPr>
    </w:p>
    <w:p>
      <w:pPr>
        <w:spacing w:before="200" w:after="100"/>
      </w:pPr>
      <w:r>
        <w:rPr>
          <w:rFonts w:ascii="Arial" w:cs="Arial" w:eastAsia="Arial" w:hAnsi="Arial"/>
          <w:b/>
          <w:bCs/>
          <w:color w:val="1B3A5C"/>
          <w:sz w:val="24"/>
          <w:szCs w:val="24"/>
        </w:rPr>
        <w:t xml:space="preserve">6.3 Research Challenge: Manifold-Constrained IP Rotation</w:t>
      </w:r>
    </w:p>
    <w:p>
      <w:pPr>
        <w:spacing w:before="80" w:after="80"/>
      </w:pPr>
      <w:r>
        <w:rPr>
          <w:rFonts w:ascii="Arial" w:cs="Arial" w:eastAsia="Arial" w:hAnsi="Arial"/>
          <w:color w:val="1A1A2E"/>
          <w:sz w:val="22"/>
          <w:szCs w:val="22"/>
        </w:rPr>
        <w:t xml:space="preserve">Correlation attacks on proxy chains exploit predictable patterns in IP address transitions. Q-Sentinel's Manifold-Constrained IP Hopping (MCIH) algorithm draws on differential geometry and manifold learning to select IP rotation sequences whose transition statistics are indistinguishable from natural IP change distributions observed in residential internet traffic. This is an original application of manifold learning to adversarial network routing.</w:t>
      </w:r>
    </w:p>
    <w:p>
      <w:pPr>
        <w:pStyle w:val="ListParagraph"/>
        <w:numPr>
          <w:ilvl w:val="0"/>
          <w:numId w:val="2"/>
        </w:numPr>
        <w:spacing w:before="60" w:after="60"/>
      </w:pPr>
      <w:r>
        <w:rPr>
          <w:rFonts w:ascii="Arial" w:cs="Arial" w:eastAsia="Arial" w:hAnsi="Arial"/>
          <w:color w:val="1A1A2E"/>
          <w:sz w:val="22"/>
          <w:szCs w:val="22"/>
        </w:rPr>
        <w:t xml:space="preserve">Research gap: Current IP rotation strategies are either random (exploitable via timing correlation) or rule-based (fingerprintable). No manifold-constrained approach exists.</w:t>
      </w:r>
    </w:p>
    <w:p>
      <w:pPr>
        <w:spacing w:before="100" w:after="100"/>
      </w:pPr>
    </w:p>
    <w:p>
      <w:pPr>
        <w:spacing w:before="200" w:after="100"/>
      </w:pPr>
      <w:r>
        <w:rPr>
          <w:rFonts w:ascii="Arial" w:cs="Arial" w:eastAsia="Arial" w:hAnsi="Arial"/>
          <w:b/>
          <w:bCs/>
          <w:color w:val="1B3A5C"/>
          <w:sz w:val="24"/>
          <w:szCs w:val="24"/>
        </w:rPr>
        <w:t xml:space="preserve">6.4 UK Economic and Strategic Impact</w:t>
      </w:r>
    </w:p>
    <w:p>
      <w:pPr>
        <w:pStyle w:val="ListParagraph"/>
        <w:numPr>
          <w:ilvl w:val="0"/>
          <w:numId w:val="2"/>
        </w:numPr>
        <w:spacing w:before="60" w:after="60"/>
      </w:pPr>
      <w:r>
        <w:rPr>
          <w:rFonts w:ascii="Arial" w:cs="Arial" w:eastAsia="Arial" w:hAnsi="Arial"/>
          <w:color w:val="1A1A2E"/>
          <w:sz w:val="22"/>
          <w:szCs w:val="22"/>
        </w:rPr>
        <w:t xml:space="preserve">Direct employment: 12–18 highly skilled R&amp;D and engineering roles in the UK within 24 months</w:t>
      </w:r>
    </w:p>
    <w:p>
      <w:pPr>
        <w:pStyle w:val="ListParagraph"/>
        <w:numPr>
          <w:ilvl w:val="0"/>
          <w:numId w:val="2"/>
        </w:numPr>
        <w:spacing w:before="60" w:after="60"/>
      </w:pPr>
      <w:r>
        <w:rPr>
          <w:rFonts w:ascii="Arial" w:cs="Arial" w:eastAsia="Arial" w:hAnsi="Arial"/>
          <w:color w:val="1A1A2E"/>
          <w:sz w:val="22"/>
          <w:szCs w:val="22"/>
        </w:rPr>
        <w:t xml:space="preserve">Export potential: Enterprise and defence markets in Five Eyes partner nations (US, CA, AU, NZ) represent a natural export pathway for NCSC-aligned security products</w:t>
      </w:r>
    </w:p>
    <w:p>
      <w:pPr>
        <w:pStyle w:val="ListParagraph"/>
        <w:numPr>
          <w:ilvl w:val="0"/>
          <w:numId w:val="2"/>
        </w:numPr>
        <w:spacing w:before="60" w:after="60"/>
      </w:pPr>
      <w:r>
        <w:rPr>
          <w:rFonts w:ascii="Arial" w:cs="Arial" w:eastAsia="Arial" w:hAnsi="Arial"/>
          <w:color w:val="1A1A2E"/>
          <w:sz w:val="22"/>
          <w:szCs w:val="22"/>
        </w:rPr>
        <w:t xml:space="preserve">National security contribution: Q-Sentinel's PQC and ZKO capabilities directly address NCSC-identified infrastructure vulnerabilities, contributing to the UK National Cyber Strategy 2022 objective of becoming a Tier 1 cyber power</w:t>
      </w:r>
    </w:p>
    <w:p>
      <w:pPr>
        <w:pStyle w:val="ListParagraph"/>
        <w:numPr>
          <w:ilvl w:val="0"/>
          <w:numId w:val="2"/>
        </w:numPr>
        <w:spacing w:before="60" w:after="60"/>
      </w:pPr>
      <w:r>
        <w:rPr>
          <w:rFonts w:ascii="Arial" w:cs="Arial" w:eastAsia="Arial" w:hAnsi="Arial"/>
          <w:color w:val="1A1A2E"/>
          <w:sz w:val="22"/>
          <w:szCs w:val="22"/>
        </w:rPr>
        <w:t xml:space="preserve">Knowledge transfer: Collaboration with UK university partners on VAE/GAN traffic morphing research creates publishable outputs and builds UK academic capability in adversarial ML for network security</w:t>
      </w:r>
    </w:p>
    <w:p>
      <w:r>
        <w:br w:type="page"/>
      </w:r>
    </w:p>
    <w:p>
      <w:pPr>
        <w:pStyle w:val="Heading1"/>
        <w:spacing w:before="360" w:after="160"/>
      </w:pPr>
      <w:r>
        <w:rPr>
          <w:rFonts w:ascii="Arial" w:cs="Arial" w:eastAsia="Arial" w:hAnsi="Arial"/>
          <w:b/>
          <w:bCs/>
          <w:color w:val="1B3A5C"/>
          <w:sz w:val="36"/>
          <w:szCs w:val="36"/>
        </w:rPr>
        <w:t xml:space="preserve">7. Competitive Landscape &amp; Defensibility</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No existing commercial product addresses all three of Q-Sentinel's core innovations simultaneously. The competitive landscape is characterised by point solutions that address individual components of the problem:</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Competitor / Category</w:t>
            </w:r>
          </w:p>
        </w:tc>
        <w:tc>
          <w:tcPr>
            <w:tcW w:type="dxa" w:w="16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PQC</w:t>
            </w:r>
          </w:p>
        </w:tc>
        <w:tc>
          <w:tcPr>
            <w:tcW w:type="dxa" w:w="16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ZK Auth</w:t>
            </w:r>
          </w:p>
        </w:tc>
        <w:tc>
          <w:tcPr>
            <w:tcW w:type="dxa" w:w="16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AI Traffic Morphing</w:t>
            </w:r>
          </w:p>
        </w:tc>
        <w:tc>
          <w:tcPr>
            <w:tcW w:type="dxa" w:w="22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NordVPN / ExpressVPN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 (roadmap)</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Consumer product; no enterprise-grade ZKO or AI morphing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Zscaler / Cloudflare Zero Trust</w:t>
            </w:r>
          </w:p>
        </w:tc>
        <w:tc>
          <w:tcPr>
            <w:tcW w:type="dxa" w:w="1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w:t>
            </w:r>
          </w:p>
        </w:tc>
        <w:tc>
          <w:tcPr>
            <w:tcW w:type="dxa" w:w="1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SAML/OIDC (identity-linked)</w:t>
            </w:r>
          </w:p>
        </w:tc>
        <w:tc>
          <w:tcPr>
            <w:tcW w:type="dxa" w:w="1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Trust-model still centralised; no PQC or traffic morphing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Mullvad / ProtonVPN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Privacy-focused but no PQC, no ZKP, no AI obfuscation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Academic Research (e.g. WireGuard + Tor)</w:t>
            </w:r>
          </w:p>
        </w:tc>
        <w:tc>
          <w:tcPr>
            <w:tcW w:type="dxa" w:w="1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Experimental</w:t>
            </w:r>
          </w:p>
        </w:tc>
        <w:tc>
          <w:tcPr>
            <w:tcW w:type="dxa" w:w="1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commercial product; Q-Sentinel commercialises this research gap</w:t>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1A2E"/>
                <w:sz w:val="20"/>
                <w:szCs w:val="20"/>
              </w:rPr>
              <w:t xml:space="preserve">Q-Sentinel</w:t>
            </w:r>
          </w:p>
        </w:tc>
        <w:tc>
          <w:tcPr>
            <w:tcW w:type="dxa" w:w="164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1A2E"/>
                <w:sz w:val="20"/>
                <w:szCs w:val="20"/>
              </w:rPr>
              <w:t xml:space="preserve">Full (CRYSTALS)</w:t>
            </w:r>
          </w:p>
        </w:tc>
        <w:tc>
          <w:tcPr>
            <w:tcW w:type="dxa" w:w="164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1A2E"/>
                <w:sz w:val="20"/>
                <w:szCs w:val="20"/>
              </w:rPr>
              <w:t xml:space="preserve">ZKP (bulletproofs)</w:t>
            </w:r>
          </w:p>
        </w:tc>
        <w:tc>
          <w:tcPr>
            <w:tcW w:type="dxa" w:w="164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1A2E"/>
                <w:sz w:val="20"/>
                <w:szCs w:val="20"/>
              </w:rPr>
              <w:t xml:space="preserve">VAE-GAN real-time</w:t>
            </w:r>
          </w:p>
        </w:tc>
        <w:tc>
          <w:tcPr>
            <w:tcW w:type="dxa" w:w="224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A1A2E"/>
                <w:sz w:val="20"/>
                <w:szCs w:val="20"/>
              </w:rPr>
              <w:t xml:space="preserve">Only integrated solution across all three dimensions</w:t>
            </w:r>
          </w:p>
        </w:tc>
      </w:tr>
    </w:tbl>
    <w:p>
      <w:pPr>
        <w:spacing w:before="100" w:after="100"/>
      </w:pPr>
    </w:p>
    <w:p>
      <w:pPr>
        <w:spacing w:before="200" w:after="100"/>
      </w:pPr>
      <w:r>
        <w:rPr>
          <w:rFonts w:ascii="Arial" w:cs="Arial" w:eastAsia="Arial" w:hAnsi="Arial"/>
          <w:b/>
          <w:bCs/>
          <w:color w:val="1B3A5C"/>
          <w:sz w:val="24"/>
          <w:szCs w:val="24"/>
        </w:rPr>
        <w:t xml:space="preserve">Moat &amp; Defensibility</w:t>
      </w:r>
    </w:p>
    <w:p>
      <w:pPr>
        <w:pStyle w:val="ListParagraph"/>
        <w:numPr>
          <w:ilvl w:val="0"/>
          <w:numId w:val="2"/>
        </w:numPr>
        <w:spacing w:before="60" w:after="60"/>
      </w:pPr>
      <w:r>
        <w:rPr>
          <w:rFonts w:ascii="Arial" w:cs="Arial" w:eastAsia="Arial" w:hAnsi="Arial"/>
          <w:color w:val="1A1A2E"/>
          <w:sz w:val="22"/>
          <w:szCs w:val="22"/>
        </w:rPr>
        <w:t xml:space="preserve">Patent portfolio: three independently patentable innovations (VAE morphing architecture, ZKP routing schema, MCIH algorithm)</w:t>
      </w:r>
    </w:p>
    <w:p>
      <w:pPr>
        <w:pStyle w:val="ListParagraph"/>
        <w:numPr>
          <w:ilvl w:val="0"/>
          <w:numId w:val="2"/>
        </w:numPr>
        <w:spacing w:before="60" w:after="60"/>
      </w:pPr>
      <w:r>
        <w:rPr>
          <w:rFonts w:ascii="Arial" w:cs="Arial" w:eastAsia="Arial" w:hAnsi="Arial"/>
          <w:color w:val="1A1A2E"/>
          <w:sz w:val="22"/>
          <w:szCs w:val="22"/>
        </w:rPr>
        <w:t xml:space="preserve">Data moat: traffic corpus for VAE training improves continuously with deployment scale — a compounding advantage</w:t>
      </w:r>
    </w:p>
    <w:p>
      <w:pPr>
        <w:pStyle w:val="ListParagraph"/>
        <w:numPr>
          <w:ilvl w:val="0"/>
          <w:numId w:val="2"/>
        </w:numPr>
        <w:spacing w:before="60" w:after="60"/>
      </w:pPr>
      <w:r>
        <w:rPr>
          <w:rFonts w:ascii="Arial" w:cs="Arial" w:eastAsia="Arial" w:hAnsi="Arial"/>
          <w:color w:val="1A1A2E"/>
          <w:sz w:val="22"/>
          <w:szCs w:val="22"/>
        </w:rPr>
        <w:t xml:space="preserve">Regulatory moat: NCSC alignment and potential CREST/CC certification create procurement barriers for non-UK competitors in defence and CNI markets</w:t>
      </w:r>
    </w:p>
    <w:p>
      <w:pPr>
        <w:pStyle w:val="ListParagraph"/>
        <w:numPr>
          <w:ilvl w:val="0"/>
          <w:numId w:val="2"/>
        </w:numPr>
        <w:spacing w:before="60" w:after="60"/>
      </w:pPr>
      <w:r>
        <w:rPr>
          <w:rFonts w:ascii="Arial" w:cs="Arial" w:eastAsia="Arial" w:hAnsi="Arial"/>
          <w:color w:val="1A1A2E"/>
          <w:sz w:val="22"/>
          <w:szCs w:val="22"/>
        </w:rPr>
        <w:t xml:space="preserve">Network effect: GIM threat intelligence improves with every additional enterprise deployment, making early enterprise clients strategic assets</w:t>
      </w:r>
    </w:p>
    <w:p>
      <w:r>
        <w:br w:type="page"/>
      </w:r>
    </w:p>
    <w:p>
      <w:pPr>
        <w:pStyle w:val="Heading1"/>
        <w:spacing w:before="360" w:after="160"/>
      </w:pPr>
      <w:r>
        <w:rPr>
          <w:rFonts w:ascii="Arial" w:cs="Arial" w:eastAsia="Arial" w:hAnsi="Arial"/>
          <w:b/>
          <w:bCs/>
          <w:color w:val="1B3A5C"/>
          <w:sz w:val="36"/>
          <w:szCs w:val="36"/>
        </w:rPr>
        <w:t xml:space="preserve">8. Security Architecture, Compliance &amp; Responsible Innovation</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Q-Sentinel is designed from first principles to be compliant with UK law and aligned with NCSC guidance. The following commitments are embedded in the architecture, not bolted on as policy.</w:t>
      </w:r>
    </w:p>
    <w:p>
      <w:pPr>
        <w:spacing w:before="100" w:after="100"/>
      </w:pPr>
    </w:p>
    <w:p>
      <w:pPr>
        <w:spacing w:before="200" w:after="100"/>
      </w:pPr>
      <w:r>
        <w:rPr>
          <w:rFonts w:ascii="Arial" w:cs="Arial" w:eastAsia="Arial" w:hAnsi="Arial"/>
          <w:b/>
          <w:bCs/>
          <w:color w:val="1B3A5C"/>
          <w:sz w:val="24"/>
          <w:szCs w:val="24"/>
        </w:rPr>
        <w:t xml:space="preserve">8.1 Lawful Interception Compatibility</w:t>
      </w:r>
    </w:p>
    <w:p>
      <w:pPr>
        <w:spacing w:before="80" w:after="80"/>
      </w:pPr>
      <w:r>
        <w:rPr>
          <w:rFonts w:ascii="Arial" w:cs="Arial" w:eastAsia="Arial" w:hAnsi="Arial"/>
          <w:color w:val="1A1A2E"/>
          <w:sz w:val="22"/>
          <w:szCs w:val="22"/>
        </w:rPr>
        <w:t xml:space="preserve">Q-Sentinel's zero-knowledge architecture does not obstruct lawful interception — it aligns with it. The platform does not store user traffic, route records, or identity-linked metadata. Lawful interception obligations are met at the enterprise client level (where the customer's own compliance obligations apply) rather than at the platform layer. This is architecturally equivalent to how encrypted email providers such as ProtonMail operate under Swiss law, and is consistent with IPA 2016 obligations on Communications Service Providers.</w:t>
      </w:r>
    </w:p>
    <w:p>
      <w:pPr>
        <w:spacing w:before="100" w:after="100"/>
      </w:pPr>
    </w:p>
    <w:p>
      <w:pPr>
        <w:spacing w:before="200" w:after="100"/>
      </w:pPr>
      <w:r>
        <w:rPr>
          <w:rFonts w:ascii="Arial" w:cs="Arial" w:eastAsia="Arial" w:hAnsi="Arial"/>
          <w:b/>
          <w:bCs/>
          <w:color w:val="1B3A5C"/>
          <w:sz w:val="24"/>
          <w:szCs w:val="24"/>
        </w:rPr>
        <w:t xml:space="preserve">8.2 NCSC Alignment</w:t>
      </w:r>
    </w:p>
    <w:p>
      <w:pPr>
        <w:pStyle w:val="ListParagraph"/>
        <w:numPr>
          <w:ilvl w:val="0"/>
          <w:numId w:val="2"/>
        </w:numPr>
        <w:spacing w:before="60" w:after="60"/>
      </w:pPr>
      <w:r>
        <w:rPr>
          <w:rFonts w:ascii="Arial" w:cs="Arial" w:eastAsia="Arial" w:hAnsi="Arial"/>
          <w:color w:val="1A1A2E"/>
          <w:sz w:val="22"/>
          <w:szCs w:val="22"/>
        </w:rPr>
        <w:t xml:space="preserve">Post-quantum cryptography primitives align with NCSC's 'Preparing for Quantum-Safe Cryptography' guidance (2020, updated 2023)</w:t>
      </w:r>
    </w:p>
    <w:p>
      <w:pPr>
        <w:pStyle w:val="ListParagraph"/>
        <w:numPr>
          <w:ilvl w:val="0"/>
          <w:numId w:val="2"/>
        </w:numPr>
        <w:spacing w:before="60" w:after="60"/>
      </w:pPr>
      <w:r>
        <w:rPr>
          <w:rFonts w:ascii="Arial" w:cs="Arial" w:eastAsia="Arial" w:hAnsi="Arial"/>
          <w:color w:val="1A1A2E"/>
          <w:sz w:val="22"/>
          <w:szCs w:val="22"/>
        </w:rPr>
        <w:t xml:space="preserve">Zero-trust access model aligns with NCSC Zero Trust Architecture principles</w:t>
      </w:r>
    </w:p>
    <w:p>
      <w:pPr>
        <w:pStyle w:val="ListParagraph"/>
        <w:numPr>
          <w:ilvl w:val="0"/>
          <w:numId w:val="2"/>
        </w:numPr>
        <w:spacing w:before="60" w:after="60"/>
      </w:pPr>
      <w:r>
        <w:rPr>
          <w:rFonts w:ascii="Arial" w:cs="Arial" w:eastAsia="Arial" w:hAnsi="Arial"/>
          <w:color w:val="1A1A2E"/>
          <w:sz w:val="22"/>
          <w:szCs w:val="22"/>
        </w:rPr>
        <w:t xml:space="preserve">Platform will be submitted for NCSC Assured Product assessment upon completion of Phase 3</w:t>
      </w:r>
    </w:p>
    <w:p>
      <w:pPr>
        <w:spacing w:before="100" w:after="100"/>
      </w:pPr>
    </w:p>
    <w:p>
      <w:pPr>
        <w:spacing w:before="200" w:after="100"/>
      </w:pPr>
      <w:r>
        <w:rPr>
          <w:rFonts w:ascii="Arial" w:cs="Arial" w:eastAsia="Arial" w:hAnsi="Arial"/>
          <w:b/>
          <w:bCs/>
          <w:color w:val="1B3A5C"/>
          <w:sz w:val="24"/>
          <w:szCs w:val="24"/>
        </w:rPr>
        <w:t xml:space="preserve">8.3 Continuous Security Assurance</w:t>
      </w:r>
    </w:p>
    <w:p>
      <w:pPr>
        <w:pStyle w:val="ListParagraph"/>
        <w:numPr>
          <w:ilvl w:val="0"/>
          <w:numId w:val="2"/>
        </w:numPr>
        <w:spacing w:before="60" w:after="60"/>
      </w:pPr>
      <w:r>
        <w:rPr>
          <w:rFonts w:ascii="Arial" w:cs="Arial" w:eastAsia="Arial" w:hAnsi="Arial"/>
          <w:color w:val="1A1A2E"/>
          <w:sz w:val="22"/>
          <w:szCs w:val="22"/>
        </w:rPr>
        <w:t xml:space="preserve">Automated SAST/DAST integration in CI/CD pipeline from day one</w:t>
      </w:r>
    </w:p>
    <w:p>
      <w:pPr>
        <w:pStyle w:val="ListParagraph"/>
        <w:numPr>
          <w:ilvl w:val="0"/>
          <w:numId w:val="2"/>
        </w:numPr>
        <w:spacing w:before="60" w:after="60"/>
      </w:pPr>
      <w:r>
        <w:rPr>
          <w:rFonts w:ascii="Arial" w:cs="Arial" w:eastAsia="Arial" w:hAnsi="Arial"/>
          <w:color w:val="1A1A2E"/>
          <w:sz w:val="22"/>
          <w:szCs w:val="22"/>
        </w:rPr>
        <w:t xml:space="preserve">Quarterly independent penetration testing by CREST-accredited provider</w:t>
      </w:r>
    </w:p>
    <w:p>
      <w:pPr>
        <w:pStyle w:val="ListParagraph"/>
        <w:numPr>
          <w:ilvl w:val="0"/>
          <w:numId w:val="2"/>
        </w:numPr>
        <w:spacing w:before="60" w:after="60"/>
      </w:pPr>
      <w:r>
        <w:rPr>
          <w:rFonts w:ascii="Arial" w:cs="Arial" w:eastAsia="Arial" w:hAnsi="Arial"/>
          <w:color w:val="1A1A2E"/>
          <w:sz w:val="22"/>
          <w:szCs w:val="22"/>
        </w:rPr>
        <w:t xml:space="preserve">Formal verification of ZKO and PQC components using theorem-proving tools (Coq / Isabelle) to provide mathematical proof of correctness</w:t>
      </w:r>
    </w:p>
    <w:p>
      <w:pPr>
        <w:pStyle w:val="ListParagraph"/>
        <w:numPr>
          <w:ilvl w:val="0"/>
          <w:numId w:val="2"/>
        </w:numPr>
        <w:spacing w:before="60" w:after="60"/>
      </w:pPr>
      <w:r>
        <w:rPr>
          <w:rFonts w:ascii="Arial" w:cs="Arial" w:eastAsia="Arial" w:hAnsi="Arial"/>
          <w:color w:val="1A1A2E"/>
          <w:sz w:val="22"/>
          <w:szCs w:val="22"/>
        </w:rPr>
        <w:t xml:space="preserve">Bug bounty programme at public launch targeting the security research community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40"/>
              <w:bottom w:type="dxa" w:w="160"/>
              <w:right w:type="dxa" w:w="240"/>
            </w:tcMar>
          </w:tcPr>
          <w:p>
            <w:r>
              <w:rPr>
                <w:rFonts w:ascii="Arial" w:cs="Arial" w:eastAsia="Arial" w:hAnsi="Arial"/>
                <w:b/>
                <w:bCs/>
                <w:color w:val="1B3A5C"/>
                <w:sz w:val="22"/>
                <w:szCs w:val="22"/>
              </w:rPr>
              <w:t xml:space="preserve">Responsible Innovation Statement: </w:t>
            </w:r>
            <w:r>
              <w:rPr>
                <w:rFonts w:ascii="Arial" w:cs="Arial" w:eastAsia="Arial" w:hAnsi="Arial"/>
                <w:color w:val="1A1A2E"/>
                <w:sz w:val="22"/>
                <w:szCs w:val="22"/>
              </w:rPr>
              <w:t xml:space="preserve">Q-Sentinel is designed for enterprise, defence, and critical infrastructure buyers with legitimate privacy and security requirements. The platform's B2B-first go-to-market, enterprise KYC requirements, and alignment with UK government security frameworks ensure it is not accessible as a tool for criminal or harmful anonymity purposes. This is enforced architecturally (ZKP subscription verification requires a verified enterprise contract) and commercially.</w:t>
            </w:r>
          </w:p>
        </w:tc>
      </w:tr>
    </w:tbl>
    <w:p>
      <w:r>
        <w:br w:type="page"/>
      </w:r>
    </w:p>
    <w:p>
      <w:pPr>
        <w:pStyle w:val="Heading1"/>
        <w:spacing w:before="360" w:after="160"/>
      </w:pPr>
      <w:r>
        <w:rPr>
          <w:rFonts w:ascii="Arial" w:cs="Arial" w:eastAsia="Arial" w:hAnsi="Arial"/>
          <w:b/>
          <w:bCs/>
          <w:color w:val="1B3A5C"/>
          <w:sz w:val="36"/>
          <w:szCs w:val="36"/>
        </w:rPr>
        <w:t xml:space="preserve">9. Funding Requirement &amp; Use of Proceeds</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Quantumind is seeking £3.2M in seed funding to complete the 18-month R&amp;D and commercialisation programme described in this document.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Use of Proceeds</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Allocation</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Milestone Unlocked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R&amp;D: VAE-GAN traffic morphing model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£820K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complete; MVP ready for enterprise pilot</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R&amp;D: ZKP authentication system and DPCO integration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£640K</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Phase 3 complete; ZKO cryptographic guarantee live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R&amp;D: PQC gateway and GIM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£580K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complete; full platform launch</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Engineering: platform infrastructure and DevSecOps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£420K</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Production-ready deployment pipeline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Commercial: enterprise BD, NCSC certification, legal/IP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£380K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enterprise contract and patent filings</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Operations: team build, overheads (18 months)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£360K</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Sustained R&amp;D velocity through Series A</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60"/>
              <w:left w:type="dxa" w:w="240"/>
              <w:bottom w:type="dxa" w:w="160"/>
              <w:right w:type="dxa" w:w="240"/>
            </w:tcMar>
          </w:tcPr>
          <w:p>
            <w:r>
              <w:rPr>
                <w:rFonts w:ascii="Arial" w:cs="Arial" w:eastAsia="Arial" w:hAnsi="Arial"/>
                <w:b/>
                <w:bCs/>
                <w:color w:val="1B3A5C"/>
                <w:sz w:val="22"/>
                <w:szCs w:val="22"/>
              </w:rPr>
              <w:t xml:space="preserve">Innovate UK Grant Target: </w:t>
            </w:r>
            <w:r>
              <w:rPr>
                <w:rFonts w:ascii="Arial" w:cs="Arial" w:eastAsia="Arial" w:hAnsi="Arial"/>
                <w:color w:val="1A1A2E"/>
                <w:sz w:val="22"/>
                <w:szCs w:val="22"/>
              </w:rPr>
              <w:t xml:space="preserve">Quantumind will apply for an Innovate UK Smart Grant (up to £500K) to co-fund the Phase 2 and Phase 3 R&amp;D programme, reducing dilution for seed investors and demonstrating third-party validation of the technical novelty of the platform.</w:t>
            </w:r>
          </w:p>
        </w:tc>
      </w:tr>
    </w:tbl>
    <w:p>
      <w:r>
        <w:br w:type="page"/>
      </w:r>
    </w:p>
    <w:p>
      <w:pPr>
        <w:pStyle w:val="Heading1"/>
        <w:spacing w:before="360" w:after="160"/>
      </w:pPr>
      <w:r>
        <w:rPr>
          <w:rFonts w:ascii="Arial" w:cs="Arial" w:eastAsia="Arial" w:hAnsi="Arial"/>
          <w:b/>
          <w:bCs/>
          <w:color w:val="1B3A5C"/>
          <w:sz w:val="36"/>
          <w:szCs w:val="36"/>
        </w:rPr>
        <w:t xml:space="preserve">10. Conclusion</w:t>
      </w:r>
    </w:p>
    <w:p>
      <w:pPr>
        <w:pBdr>
          <w:bottom w:val="single" w:color="0E7C7B" w:sz="6" w:space="1"/>
        </w:pBdr>
        <w:spacing w:before="200" w:after="200"/>
      </w:pPr>
    </w:p>
    <w:p>
      <w:pPr>
        <w:spacing w:before="80" w:after="80"/>
      </w:pPr>
      <w:r>
        <w:rPr>
          <w:rFonts w:ascii="Arial" w:cs="Arial" w:eastAsia="Arial" w:hAnsi="Arial"/>
          <w:color w:val="1A1A2E"/>
          <w:sz w:val="22"/>
          <w:szCs w:val="22"/>
        </w:rPr>
        <w:t xml:space="preserve">The convergence of quantum computing advancement, increasingly sophisticated nation-state traffic analysis, and the structural vulnerabilities of centralised VPN architectures represents one of the most significant and underpriced enterprise security risks of the next decade.</w:t>
      </w:r>
    </w:p>
    <w:p>
      <w:pPr>
        <w:spacing w:before="100" w:after="100"/>
      </w:pPr>
    </w:p>
    <w:p>
      <w:pPr>
        <w:spacing w:before="80" w:after="80"/>
      </w:pPr>
      <w:r>
        <w:rPr>
          <w:rFonts w:ascii="Arial" w:cs="Arial" w:eastAsia="Arial" w:hAnsi="Arial"/>
          <w:color w:val="1A1A2E"/>
          <w:sz w:val="22"/>
          <w:szCs w:val="22"/>
        </w:rPr>
        <w:t xml:space="preserve">Quantumind Sentinel is the only platform that addresses all three risks simultaneously, through original UK R&amp;D combining post-quantum cryptography, zero-knowledge proof architecture, and generative AI-driven traffic obfuscation. The platform is designed for the enterprise, defence, and CNI buyers who face these risks most acutely — and whose procurement frameworks, compliance obligations, and risk appetites make them ideal commercial partners.</w:t>
      </w:r>
    </w:p>
    <w:p>
      <w:pPr>
        <w:spacing w:before="100" w:after="100"/>
      </w:pPr>
    </w:p>
    <w:p>
      <w:pPr>
        <w:spacing w:before="80" w:after="80"/>
      </w:pPr>
      <w:r>
        <w:rPr>
          <w:rFonts w:ascii="Arial" w:cs="Arial" w:eastAsia="Arial" w:hAnsi="Arial"/>
          <w:color w:val="1A1A2E"/>
          <w:sz w:val="22"/>
          <w:szCs w:val="22"/>
        </w:rPr>
        <w:t xml:space="preserve">With a clear 18-month technical roadmap, a defensible IP portfolio, and strong alignment with UK national cyber strategy priorities, Quantumind is positioned to become the foundational secure communications layer for UK enterprise and defence infrastructure — and to export that capability to Five Eyes partners and beyond.</w:t>
      </w:r>
    </w:p>
    <w:p>
      <w:pPr>
        <w:spacing w:before="100" w:after="100"/>
      </w:pPr>
    </w:p>
    <w:p>
      <w:pPr>
        <w:pBdr>
          <w:bottom w:val="single" w:color="1B3A5C" w:sz="6" w:space="1"/>
        </w:pBdr>
        <w:spacing w:before="200" w:after="200"/>
      </w:pPr>
    </w:p>
    <w:p>
      <w:pPr>
        <w:spacing w:before="240" w:after="120"/>
        <w:jc w:val="center"/>
      </w:pPr>
      <w:r>
        <w:rPr>
          <w:rFonts w:ascii="Arial" w:cs="Arial" w:eastAsia="Arial" w:hAnsi="Arial"/>
          <w:i/>
          <w:iCs/>
          <w:color w:val="1B3A5C"/>
          <w:sz w:val="18"/>
          <w:szCs w:val="18"/>
        </w:rPr>
        <w:t xml:space="preserve">Quantumind Ltd  |  Commercial in Confidence  |  March 2026</w:t>
      </w:r>
    </w:p>
    <w:p>
      <w:pPr>
        <w:spacing w:before="0" w:after="240"/>
        <w:jc w:val="center"/>
      </w:pPr>
      <w:r>
        <w:rPr>
          <w:rFonts w:ascii="Arial" w:cs="Arial" w:eastAsia="Arial" w:hAnsi="Arial"/>
          <w:color w:val="0E7C7B"/>
          <w:sz w:val="18"/>
          <w:szCs w:val="18"/>
        </w:rPr>
        <w:t xml:space="preserve">For further information, partnership enquiries, or investment discussions, please contact the founding team.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tabs>
        <w:tab w:val="right" w:pos="9026"/>
      </w:tabs>
    </w:pPr>
    <w:r>
      <w:rPr>
        <w:rFonts w:ascii="Arial" w:cs="Arial" w:eastAsia="Arial" w:hAnsi="Arial"/>
        <w:color w:val="1B3A5C"/>
        <w:sz w:val="16"/>
        <w:szCs w:val="16"/>
      </w:rPr>
      <w:t xml:space="preserve">Quantumind Sentinel — Technical Implementation &amp; Investment Plan  |  March 2026</w:t>
    </w:r>
    <w:r>
      <w:rPr>
        <w:rFonts w:ascii="Arial" w:cs="Arial" w:eastAsia="Arial" w:hAnsi="Arial"/>
        <w:color w:val="1B3A5C"/>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1"/>
      </w:pBdr>
      <w:tabs>
        <w:tab w:val="right" w:pos="9026"/>
      </w:tabs>
    </w:pPr>
    <w:r>
      <w:rPr>
        <w:rFonts w:ascii="Arial" w:cs="Arial" w:eastAsia="Arial" w:hAnsi="Arial"/>
        <w:color w:val="0E7C7B"/>
        <w:sz w:val="18"/>
        <w:szCs w:val="18"/>
      </w:rPr>
      <w:t xml:space="preserve">Q-Sentinel | Confidential</w:t>
    </w:r>
    <w:r>
      <w:rPr>
        <w:sz w:val="18"/>
        <w:szCs w:val="18"/>
      </w:rPr>
      <w:t xml:space="preserve">	</w:t>
    </w:r>
    <w:r>
      <w:rPr>
        <w:rFonts w:ascii="Arial" w:cs="Arial" w:eastAsia="Arial" w:hAnsi="Arial"/>
        <w:b/>
        <w:bCs/>
        <w:color w:val="1B3A5C"/>
        <w:sz w:val="18"/>
        <w:szCs w:val="18"/>
      </w:rPr>
      <w:t xml:space="preserve">Quantumind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2026-03-27T17:18:49.073Z</dcterms:created>
  <dcterms:modified xsi:type="dcterms:W3CDTF">2026-03-27T17:18:49.074Z</dcterms:modified>
</cp:coreProperties>
</file>

<file path=docProps/custom.xml><?xml version="1.0" encoding="utf-8"?>
<Properties xmlns="http://schemas.openxmlformats.org/officeDocument/2006/custom-properties" xmlns:vt="http://schemas.openxmlformats.org/officeDocument/2006/docPropsVTypes"/>
</file>