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c>
          <w:tcPr>
            <w:tcW w:type="dxa" w:w="10080"/>
            <w:shd w:fill="17324D" w:val="clear"/>
            <w:tcMar>
              <w:top w:w="650" w:type="dxa"/>
              <w:start w:w="420" w:type="dxa"/>
              <w:bottom w:w="650" w:type="dxa"/>
              <w:end w:w="420" w:type="dxa"/>
            </w:tcMar>
            <w:tcBorders>
              <w:top w:val="single" w:sz="0" w:color="17324D"/>
              <w:start w:val="single" w:sz="0" w:color="17324D"/>
              <w:bottom w:val="single" w:sz="0" w:color="17324D"/>
              <w:end w:val="single" w:sz="0" w:color="17324D"/>
            </w:tcBorders>
          </w:tcPr>
          <w:p>
            <w:pPr>
              <w:spacing w:before="0" w:after="360" w:line="240" w:lineRule="auto"/>
              <w:jc w:val="left"/>
            </w:pPr>
            <w:r>
              <w:rPr>
                <w:rFonts w:ascii="Lato" w:hAnsi="Lato" w:eastAsia="Lato" w:cs="Lato"/>
                <w:b/>
                <w:color w:val="78D4D9"/>
                <w:sz w:val="32"/>
              </w:rPr>
              <w:t>PROJECT EXOTIC-CCR</w:t>
            </w:r>
          </w:p>
          <w:p>
            <w:pPr>
              <w:spacing w:before="0" w:after="400" w:line="228" w:lineRule="auto"/>
            </w:pPr>
            <w:r>
              <w:rPr>
                <w:rFonts w:ascii="Lato" w:hAnsi="Lato" w:eastAsia="Lato" w:cs="Lato"/>
                <w:b/>
                <w:color w:val="FFFFFF"/>
                <w:sz w:val="62"/>
              </w:rPr>
              <w:t>Research Project</w:t>
              <w:br/>
              <w:t>Charter</w:t>
            </w:r>
          </w:p>
          <w:p>
            <w:pPr>
              <w:spacing w:before="0" w:after="560" w:line="264" w:lineRule="auto"/>
            </w:pPr>
            <w:r>
              <w:rPr>
                <w:rFonts w:ascii="Noto Sans" w:hAnsi="Noto Sans" w:eastAsia="Noto Sans" w:cs="Noto Sans"/>
                <w:color w:val="E6F2F4"/>
                <w:sz w:val="28"/>
              </w:rPr>
              <w:t>From a Jacobian Counterexample to Physically Admissible</w:t>
              <w:br/>
              <w:t>Endomorphisms of Canonical Observable Algebras</w:t>
            </w:r>
          </w:p>
          <w:p>
            <w:pPr>
              <w:spacing w:before="0" w:after="0" w:line="240" w:lineRule="auto"/>
            </w:pPr>
            <w:r>
              <w:rPr>
                <w:rFonts w:ascii="Noto Sans" w:hAnsi="Noto Sans" w:eastAsia="Noto Sans" w:cs="Noto Sans"/>
                <w:i/>
                <w:color w:val="BFD6DB"/>
                <w:sz w:val="21"/>
              </w:rPr>
              <w:t>A gate-based program in algebra, operator theory, and continuous-variable quantum information</w:t>
            </w:r>
          </w:p>
        </w:tc>
      </w:tr>
    </w:tbl>
    <w:p>
      <w:pPr>
        <w:spacing w:after="80"/>
      </w:pPr>
    </w:p>
    <w:tbl>
      <w:tblPr>
        <w:tblW w:type="auto" w:w="0"/>
        <w:jc w:val="center"/>
        <w:tblLayout w:type="fixed"/>
        <w:tblLook w:firstColumn="1" w:firstRow="1" w:lastColumn="0" w:lastRow="0" w:noHBand="0" w:noVBand="1" w:val="04A0"/>
      </w:tblPr>
      <w:tblGrid>
        <w:gridCol w:w="5083"/>
        <w:gridCol w:w="5083"/>
      </w:tblGrid>
      <w:tr>
        <w:tc>
          <w:tcPr>
            <w:tcW w:type="dxa" w:w="2880"/>
            <w:tcBorders>
              <w:top w:val="single" w:sz="5" w:color="CDD4DA"/>
              <w:start w:val="single" w:sz="5" w:color="CDD4DA"/>
              <w:bottom w:val="single" w:sz="5" w:color="CDD4DA"/>
              <w:end w:val="single" w:sz="5" w:color="CDD4DA"/>
            </w:tcBorders>
            <w:shd w:fill="E8F0F6" w:val="clear"/>
            <w:tcMar>
              <w:top w:w="110" w:type="dxa"/>
              <w:start w:w="130" w:type="dxa"/>
              <w:bottom w:w="110" w:type="dxa"/>
              <w:end w:w="130" w:type="dxa"/>
            </w:tcMar>
          </w:tcPr>
          <w:p>
            <w:pPr>
              <w:spacing w:before="0" w:after="0" w:line="240" w:lineRule="auto"/>
            </w:pPr>
            <w:r>
              <w:rPr>
                <w:rFonts w:ascii="Noto Sans" w:hAnsi="Noto Sans" w:eastAsia="Noto Sans" w:cs="Noto Sans"/>
                <w:b/>
                <w:color w:val="17324D"/>
                <w:sz w:val="18"/>
              </w:rPr>
              <w:t>Version and date</w:t>
            </w:r>
          </w:p>
        </w:tc>
        <w:tc>
          <w:tcPr>
            <w:tcW w:type="dxa" w:w="7200"/>
            <w:tcBorders>
              <w:top w:val="single" w:sz="5" w:color="CDD4DA"/>
              <w:start w:val="single" w:sz="5" w:color="CDD4DA"/>
              <w:bottom w:val="single" w:sz="5" w:color="CDD4DA"/>
              <w:end w:val="single" w:sz="5" w:color="CDD4DA"/>
            </w:tcBorders>
            <w:shd w:fill="FFFFFF" w:val="clear"/>
            <w:tcMar>
              <w:top w:w="110" w:type="dxa"/>
              <w:start w:w="130" w:type="dxa"/>
              <w:bottom w:w="110" w:type="dxa"/>
              <w:end w:w="130" w:type="dxa"/>
            </w:tcMar>
          </w:tcPr>
          <w:p>
            <w:pPr>
              <w:spacing w:before="0" w:after="0" w:line="240" w:lineRule="auto"/>
            </w:pPr>
            <w:r>
              <w:rPr>
                <w:rFonts w:ascii="Noto Sans" w:hAnsi="Noto Sans" w:eastAsia="Noto Sans" w:cs="Noto Sans"/>
                <w:b w:val="0"/>
                <w:color w:val="111111"/>
                <w:sz w:val="18"/>
              </w:rPr>
              <w:t>Version 1.0 | 20 July 2026</w:t>
            </w:r>
          </w:p>
        </w:tc>
      </w:tr>
      <w:tr>
        <w:tc>
          <w:tcPr>
            <w:tcW w:type="dxa" w:w="2880"/>
            <w:tcBorders>
              <w:top w:val="single" w:sz="5" w:color="CDD4DA"/>
              <w:start w:val="single" w:sz="5" w:color="CDD4DA"/>
              <w:bottom w:val="single" w:sz="5" w:color="CDD4DA"/>
              <w:end w:val="single" w:sz="5" w:color="CDD4DA"/>
            </w:tcBorders>
            <w:shd w:fill="E8F0F6" w:val="clear"/>
            <w:tcMar>
              <w:top w:w="110" w:type="dxa"/>
              <w:start w:w="130" w:type="dxa"/>
              <w:bottom w:w="110" w:type="dxa"/>
              <w:end w:w="130" w:type="dxa"/>
            </w:tcMar>
          </w:tcPr>
          <w:p>
            <w:pPr>
              <w:spacing w:before="0" w:after="0" w:line="240" w:lineRule="auto"/>
            </w:pPr>
            <w:r>
              <w:rPr>
                <w:rFonts w:ascii="Noto Sans" w:hAnsi="Noto Sans" w:eastAsia="Noto Sans" w:cs="Noto Sans"/>
                <w:b/>
                <w:color w:val="17324D"/>
                <w:sz w:val="18"/>
              </w:rPr>
              <w:t>Status</w:t>
            </w:r>
          </w:p>
        </w:tc>
        <w:tc>
          <w:tcPr>
            <w:tcW w:type="dxa" w:w="7200"/>
            <w:tcBorders>
              <w:top w:val="single" w:sz="5" w:color="CDD4DA"/>
              <w:start w:val="single" w:sz="5" w:color="CDD4DA"/>
              <w:bottom w:val="single" w:sz="5" w:color="CDD4DA"/>
              <w:end w:val="single" w:sz="5" w:color="CDD4DA"/>
            </w:tcBorders>
            <w:shd w:fill="FFFFFF" w:val="clear"/>
            <w:tcMar>
              <w:top w:w="110" w:type="dxa"/>
              <w:start w:w="130" w:type="dxa"/>
              <w:bottom w:w="110" w:type="dxa"/>
              <w:end w:w="130" w:type="dxa"/>
            </w:tcMar>
          </w:tcPr>
          <w:p>
            <w:pPr>
              <w:spacing w:before="0" w:after="0" w:line="240" w:lineRule="auto"/>
            </w:pPr>
            <w:r>
              <w:rPr>
                <w:rFonts w:ascii="Noto Sans" w:hAnsi="Noto Sans" w:eastAsia="Noto Sans" w:cs="Noto Sans"/>
                <w:b w:val="0"/>
                <w:color w:val="111111"/>
                <w:sz w:val="18"/>
              </w:rPr>
              <w:t>Draft for initiation and external technical review</w:t>
            </w:r>
          </w:p>
        </w:tc>
      </w:tr>
      <w:tr>
        <w:tc>
          <w:tcPr>
            <w:tcW w:type="dxa" w:w="2880"/>
            <w:tcBorders>
              <w:top w:val="single" w:sz="5" w:color="CDD4DA"/>
              <w:start w:val="single" w:sz="5" w:color="CDD4DA"/>
              <w:bottom w:val="single" w:sz="5" w:color="CDD4DA"/>
              <w:end w:val="single" w:sz="5" w:color="CDD4DA"/>
            </w:tcBorders>
            <w:shd w:fill="E8F0F6" w:val="clear"/>
            <w:tcMar>
              <w:top w:w="110" w:type="dxa"/>
              <w:start w:w="130" w:type="dxa"/>
              <w:bottom w:w="110" w:type="dxa"/>
              <w:end w:w="130" w:type="dxa"/>
            </w:tcMar>
          </w:tcPr>
          <w:p>
            <w:pPr>
              <w:spacing w:before="0" w:after="0" w:line="240" w:lineRule="auto"/>
            </w:pPr>
            <w:r>
              <w:rPr>
                <w:rFonts w:ascii="Noto Sans" w:hAnsi="Noto Sans" w:eastAsia="Noto Sans" w:cs="Noto Sans"/>
                <w:b/>
                <w:color w:val="17324D"/>
                <w:sz w:val="18"/>
              </w:rPr>
              <w:t>Decision requested</w:t>
            </w:r>
          </w:p>
        </w:tc>
        <w:tc>
          <w:tcPr>
            <w:tcW w:type="dxa" w:w="7200"/>
            <w:tcBorders>
              <w:top w:val="single" w:sz="5" w:color="CDD4DA"/>
              <w:start w:val="single" w:sz="5" w:color="CDD4DA"/>
              <w:bottom w:val="single" w:sz="5" w:color="CDD4DA"/>
              <w:end w:val="single" w:sz="5" w:color="CDD4DA"/>
            </w:tcBorders>
            <w:shd w:fill="FFFFFF" w:val="clear"/>
            <w:tcMar>
              <w:top w:w="110" w:type="dxa"/>
              <w:start w:w="130" w:type="dxa"/>
              <w:bottom w:w="110" w:type="dxa"/>
              <w:end w:w="130" w:type="dxa"/>
            </w:tcMar>
          </w:tcPr>
          <w:p>
            <w:pPr>
              <w:spacing w:before="0" w:after="0" w:line="240" w:lineRule="auto"/>
            </w:pPr>
            <w:r>
              <w:rPr>
                <w:rFonts w:ascii="Noto Sans" w:hAnsi="Noto Sans" w:eastAsia="Noto Sans" w:cs="Noto Sans"/>
                <w:b w:val="0"/>
                <w:color w:val="111111"/>
                <w:sz w:val="18"/>
              </w:rPr>
              <w:t>Authorize the 90-day launch phase and Gate 0 / Gate 1 review</w:t>
            </w:r>
          </w:p>
        </w:tc>
      </w:tr>
    </w:tbl>
    <w:p>
      <w:pPr>
        <w:spacing w:after="200"/>
      </w:pPr>
    </w:p>
    <w:p>
      <w:pPr>
        <w:jc w:val="center"/>
      </w:pPr>
      <w:r>
        <w:rPr>
          <w:rFonts w:ascii="Lato" w:hAnsi="Lato" w:eastAsia="Lato" w:cs="Lato"/>
          <w:b/>
          <w:color w:val="A53939"/>
          <w:sz w:val="19"/>
        </w:rPr>
        <w:t>Research integrity note</w:t>
      </w:r>
    </w:p>
    <w:p>
      <w:pPr>
        <w:spacing w:before="0" w:after="0" w:line="259" w:lineRule="auto"/>
        <w:jc w:val="center"/>
      </w:pPr>
      <w:r>
        <w:rPr>
          <w:rFonts w:ascii="Noto Sans" w:hAnsi="Noto Sans" w:eastAsia="Noto Sans" w:cs="Noto Sans"/>
          <w:i/>
          <w:color w:val="39434D"/>
          <w:sz w:val="17"/>
        </w:rPr>
        <w:t>This charter distinguishes exact algebraic results from operator-theoretic, physical, and computational claims. No physical significance is presumed before the stated gates are passed.</w:t>
      </w:r>
    </w:p>
    <w:tbl>
      <w:tblPr>
        <w:tblW w:type="dxa" w:w="9360"/>
        <w:tblLayout w:type="fixed"/>
        <w:tblLook w:firstColumn="1" w:firstRow="1" w:lastColumn="0" w:lastRow="0" w:noHBand="0" w:noVBand="1" w:val="04A0"/>
        <w:tblInd w:w="0" w:type="dxa"/>
        <w:tblBorders>
          <w:top w:val="single" w:sz="14" w:space="0" w:color="A53939"/>
          <w:left w:val="single" w:sz="14" w:space="0" w:color="A53939"/>
          <w:bottom w:val="single" w:sz="14" w:space="0" w:color="A53939"/>
          <w:right w:val="single" w:sz="14" w:space="0" w:color="A53939"/>
          <w:insideH w:val="nil"/>
          <w:insideV w:val="nil"/>
        </w:tblBorders>
      </w:tblPr>
      <w:tblGrid>
        <w:gridCol w:w="9360"/>
      </w:tblGrid>
      <w:tr>
        <w:tc>
          <w:tcPr>
            <w:tcW w:type="dxa" w:w="9360"/>
            <w:shd w:val="clear" w:color="auto" w:fill="FBEDED"/>
            <w:tcMar>
              <w:top w:w="150" w:type="dxa"/>
              <w:left w:w="190" w:type="dxa"/>
              <w:bottom w:w="150" w:type="dxa"/>
              <w:right w:w="190" w:type="dxa"/>
            </w:tcMar>
            <w:vAlign w:val="center"/>
          </w:tcPr>
          <w:p>
            <w:pPr>
              <w:keepLines/>
              <w:spacing w:before="0" w:after="80" w:line="240" w:lineRule="auto"/>
              <w:jc w:val="left"/>
            </w:pPr>
            <w:r>
              <w:rPr>
                <w:rFonts w:ascii="Lato" w:hAnsi="Lato" w:eastAsia="Lato" w:cs="Lato"/>
                <w:b/>
                <w:sz w:val="21"/>
                <w:color w:val="A53939"/>
              </w:rPr>
              <w:t>SUPERSEDED - HISTORICAL PLANNING ARTIFACT</w:t>
            </w:r>
          </w:p>
          <w:p>
            <w:pPr>
              <w:keepLines/>
              <w:spacing w:before="0" w:after="60" w:line="240" w:lineRule="auto"/>
              <w:jc w:val="left"/>
            </w:pPr>
            <w:r>
              <w:rPr>
                <w:rFonts w:ascii="Noto Sans" w:hAnsi="Noto Sans" w:eastAsia="Noto Sans" w:cs="Noto Sans"/>
                <w:b/>
                <w:sz w:val="17"/>
                <w:color w:val="A53939"/>
              </w:rPr>
              <w:t xml:space="preserve">Authority status. </w:t>
            </w:r>
            <w:r>
              <w:rPr>
                <w:rFonts w:ascii="Noto Sans" w:hAnsi="Noto Sans" w:eastAsia="Noto Sans" w:cs="Noto Sans"/>
                <w:b w:val="0"/>
                <w:sz w:val="17"/>
                <w:color w:val="263746"/>
              </w:rPr>
              <w:t>This charter dated 20 July 2026 is retained for historical planning context only. It is not the current claim authority or publication-freeze authority.</w:t>
            </w:r>
          </w:p>
          <w:p>
            <w:pPr>
              <w:keepLines/>
              <w:spacing w:before="0" w:after="60" w:line="240" w:lineRule="auto"/>
              <w:jc w:val="left"/>
            </w:pPr>
            <w:r>
              <w:rPr>
                <w:rFonts w:ascii="Noto Sans" w:hAnsi="Noto Sans" w:eastAsia="Noto Sans" w:cs="Noto Sans"/>
                <w:b/>
                <w:sz w:val="17"/>
                <w:color w:val="A53939"/>
              </w:rPr>
              <w:t xml:space="preserve">Withdrawn / unverified statements. </w:t>
            </w:r>
            <w:r>
              <w:rPr>
                <w:rFonts w:ascii="Noto Sans" w:hAnsi="Noto Sans" w:eastAsia="Noto Sans" w:cs="Noto Sans"/>
                <w:b w:val="0"/>
                <w:sz w:val="17"/>
                <w:color w:val="263746"/>
              </w:rPr>
              <w:t>Any statement here that the displayed rank-three Weyl psi is non-surjective or nonautomorphic, that H0 or H2 has an exact deficiency index or is not essentially self-adjoint, or that dual-flow dynamics yields a strong-CCR obstruction is withdrawn or unverified. It must not be cited as a current theorem-grade conclusion without a compiling Lean anchor.</w:t>
            </w:r>
          </w:p>
          <w:p>
            <w:pPr>
              <w:keepLines/>
              <w:spacing w:before="0" w:after="0" w:line="240" w:lineRule="auto"/>
              <w:jc w:val="left"/>
            </w:pPr>
            <w:r>
              <w:rPr>
                <w:rFonts w:ascii="Noto Sans" w:hAnsi="Noto Sans" w:eastAsia="Noto Sans" w:cs="Noto Sans"/>
                <w:b/>
                <w:sz w:val="17"/>
                <w:color w:val="A53939"/>
              </w:rPr>
              <w:t xml:space="preserve">Current governing surfaces. </w:t>
            </w:r>
            <w:r>
              <w:rPr>
                <w:rFonts w:ascii="Noto Sans" w:hAnsi="Noto Sans" w:eastAsia="Noto Sans" w:cs="Noto Sans"/>
                <w:b w:val="0"/>
                <w:sz w:val="17"/>
                <w:color w:val="263746"/>
              </w:rPr>
              <w:t>Use the science README.md, INTEGRITY.md, the current A001 paper, and Lean commit b51b67d03515d44e1cb1309cf8721a7ecf7803b2. The current paper concerns only the canonical minimal operator H_X1_min.</w:t>
            </w:r>
          </w:p>
        </w:tc>
      </w:tr>
    </w:tbl>
    <w:p>
      <w:r>
        <w:br w:type="page"/>
      </w:r>
    </w:p>
    <w:p>
      <w:pPr>
        <w:pStyle w:val="Heading1"/>
        <w:keepNext/>
        <w:spacing w:before="240" w:after="100" w:line="240" w:lineRule="auto"/>
      </w:pPr>
      <w:r>
        <w:rPr>
          <w:rFonts w:ascii="Lato" w:hAnsi="Lato" w:eastAsia="Lato" w:cs="Lato"/>
          <w:b/>
          <w:color w:val="17324D"/>
          <w:sz w:val="30"/>
        </w:rPr>
        <w:t>Charter at a glance</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Project name</w:t>
            </w:r>
          </w:p>
        </w:tc>
        <w:tc>
          <w:tcPr>
            <w:tcW w:type="dxa" w:w="741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EXOTIC-CCR: Exotic Endomorphisms of the Canonical Commutation Relations</w:t>
            </w:r>
          </w:p>
        </w:tc>
      </w:tr>
      <w:tr>
        <w:trPr>
          <w:cantSplit/>
        </w:trPr>
        <w:tc>
          <w:tcPr>
            <w:tcW w:type="dxa" w:w="266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Proposed duration</w:t>
            </w:r>
          </w:p>
        </w:tc>
        <w:tc>
          <w:tcPr>
            <w:tcW w:type="dxa" w:w="741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24 months, preceded by a 90-day launch and validation phase</w:t>
            </w:r>
          </w:p>
        </w:tc>
      </w:tr>
      <w:tr>
        <w:trPr>
          <w:cantSplit/>
        </w:trPr>
        <w:tc>
          <w:tcPr>
            <w:tcW w:type="dxa" w:w="266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Sponsor</w:t>
            </w:r>
          </w:p>
        </w:tc>
        <w:tc>
          <w:tcPr>
            <w:tcW w:type="dxa" w:w="741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[To be appointed]</w:t>
            </w:r>
          </w:p>
        </w:tc>
      </w:tr>
      <w:tr>
        <w:trPr>
          <w:cantSplit/>
        </w:trPr>
        <w:tc>
          <w:tcPr>
            <w:tcW w:type="dxa" w:w="266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Principal investigator</w:t>
            </w:r>
          </w:p>
        </w:tc>
        <w:tc>
          <w:tcPr>
            <w:tcW w:type="dxa" w:w="741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[To be appointed; recommended discipline: mathematical physics / operator algebras]</w:t>
            </w:r>
          </w:p>
        </w:tc>
      </w:tr>
      <w:tr>
        <w:trPr>
          <w:cantSplit/>
        </w:trPr>
        <w:tc>
          <w:tcPr>
            <w:tcW w:type="dxa" w:w="266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Core collaborators</w:t>
            </w:r>
          </w:p>
        </w:tc>
        <w:tc>
          <w:tcPr>
            <w:tcW w:type="dxa" w:w="741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Algebraic geometry; Poisson and symplectic geometry; Weyl algebras; unbounded-operator theory; C*-algebras; continuous-variable quantum information; formal verification</w:t>
            </w:r>
          </w:p>
        </w:tc>
      </w:tr>
      <w:tr>
        <w:trPr>
          <w:cantSplit/>
        </w:trPr>
        <w:tc>
          <w:tcPr>
            <w:tcW w:type="dxa" w:w="266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Primary outcome</w:t>
            </w:r>
          </w:p>
        </w:tc>
        <w:tc>
          <w:tcPr>
            <w:tcW w:type="dxa" w:w="741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A definitive classification of whether the explicit non-surjective canonical endomorphisms induced by the Jacobian counterexample admit any physically admissible quantum realization</w:t>
            </w:r>
          </w:p>
        </w:tc>
      </w:tr>
      <w:tr>
        <w:trPr>
          <w:cantSplit/>
        </w:trPr>
        <w:tc>
          <w:tcPr>
            <w:tcW w:type="dxa" w:w="266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Minimum publishable outcome</w:t>
            </w:r>
          </w:p>
        </w:tc>
        <w:tc>
          <w:tcPr>
            <w:tcW w:type="dxa" w:w="741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An exact algebraic construction plus a theorem identifying the first analytic or operator-algebraic obstruction to physical realization</w:t>
            </w:r>
          </w:p>
        </w:tc>
      </w:tr>
      <w:tr>
        <w:trPr>
          <w:cantSplit/>
        </w:trPr>
        <w:tc>
          <w:tcPr>
            <w:tcW w:type="dxa" w:w="266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Stretch outcome</w:t>
            </w:r>
          </w:p>
        </w:tc>
        <w:tc>
          <w:tcPr>
            <w:tcW w:type="dxa" w:w="741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A completely positive or subsystem/dilation realization with a concrete continuous-variable information-theoretic interpretation</w:t>
            </w:r>
          </w:p>
        </w:tc>
      </w:tr>
    </w:tbl>
    <w:p>
      <w:pPr>
        <w:spacing w:after="0"/>
      </w:pPr>
    </w:p>
    <w:p>
      <w:pPr>
        <w:pStyle w:val="Heading1"/>
        <w:keepNext/>
        <w:spacing w:before="240" w:after="100" w:line="240" w:lineRule="auto"/>
      </w:pPr>
      <w:r>
        <w:rPr>
          <w:rFonts w:ascii="Lato" w:hAnsi="Lato" w:eastAsia="Lato" w:cs="Lato"/>
          <w:b/>
          <w:color w:val="17324D"/>
          <w:sz w:val="30"/>
        </w:rPr>
        <w:t>Executive summary</w:t>
      </w:r>
    </w:p>
    <w:p>
      <w:pPr>
        <w:keepLines w:val="0"/>
        <w:spacing w:before="0" w:after="100" w:line="269" w:lineRule="auto"/>
      </w:pPr>
      <w:r>
        <w:rPr>
          <w:rFonts w:ascii="Noto Sans" w:hAnsi="Noto Sans" w:eastAsia="Noto Sans" w:cs="Noto Sans"/>
          <w:i w:val="0"/>
          <w:color w:val="111111"/>
          <w:sz w:val="19"/>
        </w:rPr>
        <w:t>On 19 July 2026, an explicit polynomial map F: C^3 -&gt; C^3 was announced with constant nonzero Jacobian determinant and a verified collision of three distinct points. The identity is finite and exactly checkable; an independent Lean 4 formalization has also been published. The project will nevertheless begin with a formal validation and provenance gate, because all downstream work depends on a stable, versioned anchor object. [1-3]</w:t>
      </w:r>
    </w:p>
    <w:p>
      <w:pPr>
        <w:keepLines w:val="0"/>
        <w:spacing w:before="0" w:after="100" w:line="269" w:lineRule="auto"/>
      </w:pPr>
      <w:r>
        <w:rPr>
          <w:rFonts w:ascii="Noto Sans" w:hAnsi="Noto Sans" w:eastAsia="Noto Sans" w:cs="Noto Sans"/>
          <w:i w:val="0"/>
          <w:color w:val="111111"/>
          <w:sz w:val="19"/>
        </w:rPr>
        <w:t>The discovery opens a concrete route from a formerly abstract equivalence network to explicit non-surjective endomorphisms of canonical Poisson and Weyl algebras. The natural classical construction is the cotangent lift (q,p) -&gt; (F(q), DF(q)^(-T)p). The natural algebraic quantum construction sends the canonical generators to nonlinear polynomial differential operators satisfying the canonical commutators. Classical equivalence results connect the Jacobian, Dixmier, and Poisson conjectures, while the explicit map makes the research program constructive rather than merely logical. [4-6]</w:t>
      </w:r>
    </w:p>
    <w:tbl>
      <w:tblPr>
        <w:tblW w:type="auto" w:w="0"/>
        <w:jc w:val="center"/>
        <w:tblLayout w:type="fixed"/>
        <w:tblLook w:firstColumn="1" w:firstRow="1" w:lastColumn="0" w:lastRow="0" w:noHBand="0" w:noVBand="1" w:val="04A0"/>
      </w:tblPr>
      <w:tblGrid>
        <w:gridCol w:w="10166"/>
      </w:tblGrid>
      <w:tr>
        <w:tc>
          <w:tcPr>
            <w:tcW w:type="dxa" w:w="10080"/>
            <w:shd w:fill="DCEFF1" w:val="clear"/>
            <w:tcMar>
              <w:top w:w="130" w:type="dxa"/>
              <w:start w:w="170" w:type="dxa"/>
              <w:bottom w:w="130" w:type="dxa"/>
              <w:end w:w="170" w:type="dxa"/>
            </w:tcMar>
            <w:tcBorders>
              <w:top w:val="single" w:sz="10" w:color="0B7D86"/>
              <w:start w:val="single" w:sz="18" w:color="0B7D86"/>
              <w:bottom w:val="single" w:sz="10" w:color="0B7D86"/>
              <w:end w:val="single" w:sz="10" w:color="0B7D86"/>
            </w:tcBorders>
          </w:tcPr>
          <w:p>
            <w:pPr>
              <w:spacing w:after="40"/>
            </w:pPr>
            <w:r>
              <w:rPr>
                <w:rFonts w:ascii="Lato" w:hAnsi="Lato" w:eastAsia="Lato" w:cs="Lato"/>
                <w:b/>
                <w:color w:val="17324D"/>
                <w:sz w:val="20"/>
              </w:rPr>
              <w:t>Central scientific question</w:t>
            </w:r>
          </w:p>
          <w:p>
            <w:pPr>
              <w:spacing w:before="0" w:after="0" w:line="264" w:lineRule="auto"/>
            </w:pPr>
            <w:r>
              <w:rPr>
                <w:rFonts w:ascii="Noto Sans" w:hAnsi="Noto Sans" w:eastAsia="Noto Sans" w:cs="Noto Sans"/>
                <w:color w:val="111111"/>
                <w:sz w:val="18"/>
              </w:rPr>
              <w:t>Where, exactly, does algebraic preservation of Poisson brackets or canonical commutators fail to become a reversible or otherwise physically admissible quantum operation?</w:t>
            </w:r>
          </w:p>
        </w:tc>
      </w:tr>
    </w:tbl>
    <w:p>
      <w:pPr>
        <w:spacing w:after="0"/>
      </w:pPr>
    </w:p>
    <w:p>
      <w:pPr>
        <w:keepLines w:val="0"/>
        <w:spacing w:before="0" w:after="100" w:line="269" w:lineRule="auto"/>
      </w:pPr>
      <w:r>
        <w:rPr>
          <w:rFonts w:ascii="Noto Sans" w:hAnsi="Noto Sans" w:eastAsia="Noto Sans" w:cs="Noto Sans"/>
          <w:i w:val="0"/>
          <w:color w:val="111111"/>
          <w:sz w:val="19"/>
        </w:rPr>
        <w:t>The program is deliberately neutral about the answer. A positive result would identify a new kind of proper endomorphism, subsystem embedding, quantum correspondence, or open-system operation in a continuous-variable setting. A negative result would identify a new no-go boundary between algebraic canonicality and physical quantum mechanics. Either outcome is scientifically valuable.</w:t>
      </w:r>
    </w:p>
    <w:p>
      <w:pPr>
        <w:keepLines w:val="0"/>
        <w:spacing w:before="0" w:after="100" w:line="269" w:lineRule="auto"/>
      </w:pPr>
      <w:r>
        <w:rPr>
          <w:rFonts w:ascii="Noto Sans" w:hAnsi="Noto Sans" w:eastAsia="Noto Sans" w:cs="Noto Sans"/>
          <w:i w:val="0"/>
          <w:color w:val="111111"/>
          <w:sz w:val="19"/>
        </w:rPr>
        <w:t>This is not a project on nonlinear state-vector evolution. Standard quantum states continue to evolve linearly under unitary or completely positive dynamics. The candidate nonlinearity is in the polynomial transformation of observable generators, a phenomenon already familiar in invertible continuous-variable gates; the novelty is potential non-surjectivity.</w:t>
      </w:r>
    </w:p>
    <w:p>
      <w:pPr>
        <w:pStyle w:val="Heading1"/>
        <w:keepNext/>
        <w:spacing w:before="240" w:after="100" w:line="240" w:lineRule="auto"/>
      </w:pPr>
      <w:r>
        <w:rPr>
          <w:rFonts w:ascii="Lato" w:hAnsi="Lato" w:eastAsia="Lato" w:cs="Lato"/>
          <w:b/>
          <w:color w:val="0B7D86"/>
          <w:sz w:val="26"/>
        </w:rPr>
        <w:t xml:space="preserve">1  </w:t>
      </w:r>
      <w:r>
        <w:rPr>
          <w:rFonts w:ascii="Lato" w:hAnsi="Lato" w:eastAsia="Lato" w:cs="Lato"/>
          <w:b/>
          <w:color w:val="17324D"/>
          <w:sz w:val="30"/>
        </w:rPr>
        <w:t>Background and rationale</w:t>
      </w:r>
    </w:p>
    <w:p>
      <w:pPr>
        <w:pStyle w:val="Heading2"/>
        <w:keepNext/>
        <w:spacing w:before="140" w:after="100" w:line="240" w:lineRule="auto"/>
      </w:pPr>
      <w:r>
        <w:rPr>
          <w:rFonts w:ascii="Lato" w:hAnsi="Lato" w:eastAsia="Lato" w:cs="Lato"/>
          <w:b/>
          <w:color w:val="0B7D86"/>
          <w:sz w:val="22"/>
        </w:rPr>
        <w:t xml:space="preserve">1.1  </w:t>
      </w:r>
      <w:r>
        <w:rPr>
          <w:rFonts w:ascii="Lato" w:hAnsi="Lato" w:eastAsia="Lato" w:cs="Lato"/>
          <w:b/>
          <w:color w:val="17324D"/>
          <w:sz w:val="24"/>
        </w:rPr>
        <w:t>Triggering result and current status</w:t>
      </w:r>
    </w:p>
    <w:p>
      <w:pPr>
        <w:keepLines w:val="0"/>
        <w:spacing w:before="0" w:after="100" w:line="269" w:lineRule="auto"/>
      </w:pPr>
      <w:r>
        <w:rPr>
          <w:rFonts w:ascii="Noto Sans" w:hAnsi="Noto Sans" w:eastAsia="Noto Sans" w:cs="Noto Sans"/>
          <w:i w:val="0"/>
          <w:color w:val="111111"/>
          <w:sz w:val="19"/>
        </w:rPr>
        <w:t>The announced map has real coefficients, Jacobian determinant -2, and a real three-point collision. These two exact checks already suffice to rule out a polynomial inverse. The public record is only one day old as of this charter, so structural claims such as generic degree, monodromy, and minimal forms are treated as research inputs rather than settled premises. [1-3]</w:t>
      </w:r>
    </w:p>
    <w:tbl>
      <w:tblPr>
        <w:tblW w:type="auto" w:w="0"/>
        <w:jc w:val="center"/>
        <w:tblLook w:firstColumn="1" w:firstRow="1" w:lastColumn="0" w:lastRow="0" w:noHBand="0" w:noVBand="1" w:val="04A0"/>
      </w:tblPr>
      <w:tblGrid>
        <w:gridCol w:w="10166"/>
      </w:tblGrid>
      <w:tr>
        <w:tc>
          <w:tcPr>
            <w:tcW w:type="dxa" w:w="10166"/>
            <w:shd w:fill="E8F0F6" w:val="clear"/>
            <w:tcMar>
              <w:top w:w="120" w:type="dxa"/>
              <w:start w:w="170" w:type="dxa"/>
              <w:bottom w:w="120" w:type="dxa"/>
              <w:end w:w="170" w:type="dxa"/>
            </w:tcMar>
            <w:tcBorders>
              <w:top w:val="single" w:sz="6" w:color="D9DEE3"/>
              <w:start w:val="single" w:sz="6" w:color="D9DEE3"/>
              <w:bottom w:val="single" w:sz="6" w:color="D9DEE3"/>
              <w:end w:val="single" w:sz="6" w:color="D9DEE3"/>
            </w:tcBorders>
          </w:tcPr>
          <w:p>
            <w:pPr>
              <w:spacing w:after="0"/>
              <w:jc w:val="center"/>
            </w:pPr>
            <w:r>
              <w:rPr>
                <w:rFonts w:ascii="Noto Serif" w:hAnsi="Noto Serif" w:eastAsia="Noto Serif" w:cs="Noto Serif"/>
                <w:i/>
                <w:color w:val="111111"/>
                <w:sz w:val="18"/>
              </w:rPr>
              <w:t>F_1 = (1 + xy)^3 z + y^2(1 + xy)(4 + 3xy)</w:t>
            </w:r>
            <w:r>
              <w:br/>
            </w:r>
            <w:r>
              <w:rPr>
                <w:rFonts w:ascii="Noto Serif" w:hAnsi="Noto Serif" w:eastAsia="Noto Serif" w:cs="Noto Serif"/>
                <w:i/>
                <w:color w:val="111111"/>
                <w:sz w:val="18"/>
              </w:rPr>
              <w:t>F_2 = y + 3x(1 + xy)^2 z + 3xy^2(4 + 3xy)</w:t>
            </w:r>
            <w:r>
              <w:br/>
            </w:r>
            <w:r>
              <w:rPr>
                <w:rFonts w:ascii="Noto Serif" w:hAnsi="Noto Serif" w:eastAsia="Noto Serif" w:cs="Noto Serif"/>
                <w:i/>
                <w:color w:val="111111"/>
                <w:sz w:val="18"/>
              </w:rPr>
              <w:t>F_3 = 2x - 3x^2 y - x^3 z</w:t>
            </w:r>
            <w:r>
              <w:br/>
            </w:r>
            <w:r>
              <w:rPr>
                <w:rFonts w:ascii="Noto Serif" w:hAnsi="Noto Serif" w:eastAsia="Noto Serif" w:cs="Noto Serif"/>
                <w:i/>
                <w:color w:val="111111"/>
                <w:sz w:val="18"/>
              </w:rPr>
              <w:t>det DF = -2</w:t>
            </w:r>
          </w:p>
        </w:tc>
      </w:tr>
    </w:tbl>
    <w:p>
      <w:pPr>
        <w:spacing w:after="0"/>
      </w:pPr>
    </w:p>
    <w:p>
      <w:pPr>
        <w:keepLines w:val="0"/>
        <w:spacing w:before="0" w:after="100" w:line="269" w:lineRule="auto"/>
      </w:pPr>
      <w:r>
        <w:rPr>
          <w:rFonts w:ascii="Noto Sans" w:hAnsi="Noto Sans" w:eastAsia="Noto Sans" w:cs="Noto Sans"/>
          <w:i w:val="0"/>
          <w:color w:val="111111"/>
          <w:sz w:val="19"/>
        </w:rPr>
        <w:t>A determinant-one normalization over characteristic zero can be obtained by rescaling one output coordinate. The project will maintain both the announced form and a canonical normalized form, each with exact certificates.</w:t>
      </w:r>
    </w:p>
    <w:p>
      <w:pPr>
        <w:pStyle w:val="Heading2"/>
        <w:keepNext/>
        <w:spacing w:before="140" w:after="100" w:line="240" w:lineRule="auto"/>
      </w:pPr>
      <w:r>
        <w:rPr>
          <w:rFonts w:ascii="Lato" w:hAnsi="Lato" w:eastAsia="Lato" w:cs="Lato"/>
          <w:b/>
          <w:color w:val="0B7D86"/>
          <w:sz w:val="22"/>
        </w:rPr>
        <w:t xml:space="preserve">1.2  </w:t>
      </w:r>
      <w:r>
        <w:rPr>
          <w:rFonts w:ascii="Lato" w:hAnsi="Lato" w:eastAsia="Lato" w:cs="Lato"/>
          <w:b/>
          <w:color w:val="17324D"/>
          <w:sz w:val="24"/>
        </w:rPr>
        <w:t>Why this matters to quantum research</w:t>
      </w:r>
    </w:p>
    <w:p>
      <w:pPr>
        <w:keepLines w:val="0"/>
        <w:spacing w:before="0" w:after="100" w:line="269" w:lineRule="auto"/>
      </w:pPr>
      <w:r>
        <w:rPr>
          <w:rFonts w:ascii="Noto Sans" w:hAnsi="Noto Sans" w:eastAsia="Noto Sans" w:cs="Noto Sans"/>
          <w:i w:val="0"/>
          <w:color w:val="111111"/>
          <w:sz w:val="19"/>
        </w:rPr>
        <w:t>The canonical Poisson algebra is the polynomial algebra of classical phase-space observables equipped with the standard Poisson bracket. The Weyl algebra is the polynomial differential-operator algebra generated by position and momentum variables satisfying the canonical commutation relations. These are central mathematical structures behind Hamiltonian mechanics and quantization. [4-6]</w:t>
      </w:r>
    </w:p>
    <w:p>
      <w:pPr>
        <w:keepLines w:val="0"/>
        <w:spacing w:before="0" w:after="100" w:line="269" w:lineRule="auto"/>
      </w:pPr>
      <w:r>
        <w:rPr>
          <w:rFonts w:ascii="Noto Sans" w:hAnsi="Noto Sans" w:eastAsia="Noto Sans" w:cs="Noto Sans"/>
          <w:i w:val="0"/>
          <w:color w:val="111111"/>
          <w:sz w:val="19"/>
        </w:rPr>
        <w:t>A non-surjective endomorphism can preserve the defining algebraic relations without being a reversible coordinate change or unitary symmetry. The research opportunity is therefore not to revise quantum mechanics, but to locate the exact additional assumptions - reality, involution, domains, self-adjointness, regularity, positivity, continuity, finite energy, and operational implementability - that restore physical reversibility or otherwise classify the map.</w:t>
      </w:r>
    </w:p>
    <w:p>
      <w:pPr>
        <w:keepLines w:val="0"/>
        <w:spacing w:before="0" w:after="100" w:line="269" w:lineRule="auto"/>
      </w:pPr>
      <w:r>
        <w:rPr>
          <w:rFonts w:ascii="Noto Sans" w:hAnsi="Noto Sans" w:eastAsia="Noto Sans" w:cs="Noto Sans"/>
          <w:i w:val="0"/>
          <w:color w:val="111111"/>
          <w:sz w:val="19"/>
        </w:rPr>
        <w:t>This also connects naturally to continuous-variable quantum information, where nonlinear but invertible transformations of quadratures are already important. Universal continuous-variable computation requires non-Gaussian nonlinear resources; however, those gates remain unitary automorphisms. EXOTIC-CCR asks whether a proper algebraic endomorphism has any legitimate counterpart beyond that familiar setting. [11,12]</w:t>
      </w:r>
    </w:p>
    <w:p>
      <w:pPr>
        <w:pStyle w:val="Heading2"/>
        <w:keepNext/>
        <w:spacing w:before="140" w:after="100" w:line="240" w:lineRule="auto"/>
      </w:pPr>
      <w:r>
        <w:rPr>
          <w:rFonts w:ascii="Lato" w:hAnsi="Lato" w:eastAsia="Lato" w:cs="Lato"/>
          <w:b/>
          <w:color w:val="0B7D86"/>
          <w:sz w:val="22"/>
        </w:rPr>
        <w:t xml:space="preserve">1.3  </w:t>
      </w:r>
      <w:r>
        <w:rPr>
          <w:rFonts w:ascii="Lato" w:hAnsi="Lato" w:eastAsia="Lato" w:cs="Lato"/>
          <w:b/>
          <w:color w:val="17324D"/>
          <w:sz w:val="24"/>
        </w:rPr>
        <w:t>Scientific boundary conditions</w:t>
      </w:r>
    </w:p>
    <w:p>
      <w:pPr>
        <w:pStyle w:val="ListBullet"/>
        <w:spacing w:after="50" w:line="259" w:lineRule="auto"/>
        <w:ind w:left="317" w:hanging="173"/>
      </w:pPr>
      <w:r>
        <w:rPr>
          <w:rFonts w:ascii="Noto Sans" w:hAnsi="Noto Sans" w:eastAsia="Noto Sans" w:cs="Noto Sans"/>
          <w:color w:val="111111"/>
          <w:sz w:val="18"/>
        </w:rPr>
        <w:t>An algebra endomorphism is not automatically a transformation of states, a unitary symmetry, or a quantum channel.</w:t>
      </w:r>
    </w:p>
    <w:p>
      <w:pPr>
        <w:pStyle w:val="ListBullet"/>
        <w:spacing w:after="50" w:line="259" w:lineRule="auto"/>
        <w:ind w:left="317" w:hanging="173"/>
      </w:pPr>
      <w:r>
        <w:rPr>
          <w:rFonts w:ascii="Noto Sans" w:hAnsi="Noto Sans" w:eastAsia="Noto Sans" w:cs="Noto Sans"/>
          <w:color w:val="111111"/>
          <w:sz w:val="18"/>
        </w:rPr>
        <w:t>Preservation of formal commutators on polynomials is weaker than satisfaction of exponentiated Weyl relations by self-adjoint operators.</w:t>
      </w:r>
    </w:p>
    <w:p>
      <w:pPr>
        <w:pStyle w:val="ListBullet"/>
        <w:spacing w:after="50" w:line="259" w:lineRule="auto"/>
        <w:ind w:left="317" w:hanging="173"/>
      </w:pPr>
      <w:r>
        <w:rPr>
          <w:rFonts w:ascii="Noto Sans" w:hAnsi="Noto Sans" w:eastAsia="Noto Sans" w:cs="Noto Sans"/>
          <w:color w:val="111111"/>
          <w:sz w:val="18"/>
        </w:rPr>
        <w:t>A formally symmetric differential operator need not be essentially self-adjoint on the intended domain.</w:t>
      </w:r>
    </w:p>
    <w:p>
      <w:pPr>
        <w:pStyle w:val="ListBullet"/>
        <w:spacing w:after="50" w:line="259" w:lineRule="auto"/>
        <w:ind w:left="317" w:hanging="173"/>
      </w:pPr>
      <w:r>
        <w:rPr>
          <w:rFonts w:ascii="Noto Sans" w:hAnsi="Noto Sans" w:eastAsia="Noto Sans" w:cs="Noto Sans"/>
          <w:color w:val="111111"/>
          <w:sz w:val="18"/>
        </w:rPr>
        <w:t>A positive map need not be completely positive, and an algebraic map need not extend continuously to a C*- or von Neumann algebra.</w:t>
      </w:r>
    </w:p>
    <w:p>
      <w:pPr>
        <w:pStyle w:val="ListBullet"/>
        <w:spacing w:after="50" w:line="259" w:lineRule="auto"/>
        <w:ind w:left="317" w:hanging="173"/>
      </w:pPr>
      <w:r>
        <w:rPr>
          <w:rFonts w:ascii="Noto Sans" w:hAnsi="Noto Sans" w:eastAsia="Noto Sans" w:cs="Noto Sans"/>
          <w:color w:val="111111"/>
          <w:sz w:val="18"/>
        </w:rPr>
        <w:t>A finite-dimensional qubit gate model is not the natural setting; the primary setting is infinite-dimensional continuous-variable systems.</w:t>
      </w:r>
    </w:p>
    <w:p>
      <w:pPr>
        <w:pStyle w:val="Heading1"/>
        <w:keepNext/>
        <w:spacing w:before="240" w:after="100" w:line="240" w:lineRule="auto"/>
      </w:pPr>
      <w:r>
        <w:rPr>
          <w:rFonts w:ascii="Lato" w:hAnsi="Lato" w:eastAsia="Lato" w:cs="Lato"/>
          <w:b/>
          <w:color w:val="0B7D86"/>
          <w:sz w:val="26"/>
        </w:rPr>
        <w:t xml:space="preserve">2  </w:t>
      </w:r>
      <w:r>
        <w:rPr>
          <w:rFonts w:ascii="Lato" w:hAnsi="Lato" w:eastAsia="Lato" w:cs="Lato"/>
          <w:b/>
          <w:color w:val="17324D"/>
          <w:sz w:val="30"/>
        </w:rPr>
        <w:t>Mission, problem statement, and hypotheses</w:t>
      </w:r>
    </w:p>
    <w:p>
      <w:pPr>
        <w:pStyle w:val="Heading2"/>
        <w:keepNext/>
        <w:spacing w:before="140" w:after="100" w:line="240" w:lineRule="auto"/>
      </w:pPr>
      <w:r>
        <w:rPr>
          <w:rFonts w:ascii="Lato" w:hAnsi="Lato" w:eastAsia="Lato" w:cs="Lato"/>
          <w:b/>
          <w:color w:val="0B7D86"/>
          <w:sz w:val="22"/>
        </w:rPr>
        <w:t xml:space="preserve">2.1  </w:t>
      </w:r>
      <w:r>
        <w:rPr>
          <w:rFonts w:ascii="Lato" w:hAnsi="Lato" w:eastAsia="Lato" w:cs="Lato"/>
          <w:b/>
          <w:color w:val="17324D"/>
          <w:sz w:val="24"/>
        </w:rPr>
        <w:t>Mission</w:t>
      </w:r>
    </w:p>
    <w:tbl>
      <w:tblPr>
        <w:tblW w:type="auto" w:w="0"/>
        <w:jc w:val="center"/>
        <w:tblLayout w:type="fixed"/>
        <w:tblLook w:firstColumn="1" w:firstRow="1" w:lastColumn="0" w:lastRow="0" w:noHBand="0" w:noVBand="1" w:val="04A0"/>
      </w:tblPr>
      <w:tblGrid>
        <w:gridCol w:w="10166"/>
      </w:tblGrid>
      <w:tr>
        <w:tc>
          <w:tcPr>
            <w:tcW w:type="dxa" w:w="10080"/>
            <w:shd w:fill="E4F0E7" w:val="clear"/>
            <w:tcMar>
              <w:top w:w="130" w:type="dxa"/>
              <w:start w:w="170" w:type="dxa"/>
              <w:bottom w:w="130" w:type="dxa"/>
              <w:end w:w="170" w:type="dxa"/>
            </w:tcMar>
            <w:tcBorders>
              <w:top w:val="single" w:sz="10" w:color="2F6B42"/>
              <w:start w:val="single" w:sz="18" w:color="2F6B42"/>
              <w:bottom w:val="single" w:sz="10" w:color="2F6B42"/>
              <w:end w:val="single" w:sz="10" w:color="2F6B42"/>
            </w:tcBorders>
          </w:tcPr>
          <w:p>
            <w:pPr>
              <w:spacing w:after="40"/>
            </w:pPr>
            <w:r>
              <w:rPr>
                <w:rFonts w:ascii="Lato" w:hAnsi="Lato" w:eastAsia="Lato" w:cs="Lato"/>
                <w:b/>
                <w:color w:val="17324D"/>
                <w:sz w:val="20"/>
              </w:rPr>
              <w:t>Mission statement</w:t>
            </w:r>
          </w:p>
          <w:p>
            <w:pPr>
              <w:spacing w:before="0" w:after="0" w:line="264" w:lineRule="auto"/>
            </w:pPr>
            <w:r>
              <w:rPr>
                <w:rFonts w:ascii="Noto Sans" w:hAnsi="Noto Sans" w:eastAsia="Noto Sans" w:cs="Noto Sans"/>
                <w:color w:val="111111"/>
                <w:sz w:val="18"/>
              </w:rPr>
              <w:t>Construct the explicit Poisson and Weyl endomorphisms induced by the Jacobian counterexample, determine their real and operator-theoretic properties, and prove whether they do or do not define physically admissible operations in continuous-variable quantum theory.</w:t>
            </w:r>
          </w:p>
        </w:tc>
      </w:tr>
    </w:tbl>
    <w:p>
      <w:pPr>
        <w:spacing w:after="0"/>
      </w:pPr>
    </w:p>
    <w:p>
      <w:pPr>
        <w:pStyle w:val="Heading2"/>
        <w:keepNext/>
        <w:spacing w:before="140" w:after="100" w:line="240" w:lineRule="auto"/>
      </w:pPr>
      <w:r>
        <w:rPr>
          <w:rFonts w:ascii="Lato" w:hAnsi="Lato" w:eastAsia="Lato" w:cs="Lato"/>
          <w:b/>
          <w:color w:val="0B7D86"/>
          <w:sz w:val="22"/>
        </w:rPr>
        <w:t xml:space="preserve">2.2  </w:t>
      </w:r>
      <w:r>
        <w:rPr>
          <w:rFonts w:ascii="Lato" w:hAnsi="Lato" w:eastAsia="Lato" w:cs="Lato"/>
          <w:b/>
          <w:color w:val="17324D"/>
          <w:sz w:val="24"/>
        </w:rPr>
        <w:t>Problem statement</w:t>
      </w:r>
    </w:p>
    <w:p>
      <w:pPr>
        <w:keepLines w:val="0"/>
        <w:spacing w:before="0" w:after="100" w:line="269" w:lineRule="auto"/>
      </w:pPr>
      <w:r>
        <w:rPr>
          <w:rFonts w:ascii="Noto Sans" w:hAnsi="Noto Sans" w:eastAsia="Noto Sans" w:cs="Noto Sans"/>
          <w:i w:val="0"/>
          <w:color w:val="111111"/>
          <w:sz w:val="19"/>
        </w:rPr>
        <w:t>The counterexample provides a polynomial local diffeomorphism that is not globally invertible. Its cotangent lift is expected to preserve the canonical symplectic structure algebraically while remaining noninvertible. A corresponding substitution in the Weyl algebra is expected to preserve canonical commutators. The unresolved issue is whether these maps survive the analytic completion required by quantum mechanics.</w:t>
      </w:r>
    </w:p>
    <w:p>
      <w:pPr>
        <w:keepLines w:val="0"/>
        <w:spacing w:before="0" w:after="100" w:line="269" w:lineRule="auto"/>
      </w:pPr>
      <w:r>
        <w:rPr>
          <w:rFonts w:ascii="Noto Sans" w:hAnsi="Noto Sans" w:eastAsia="Noto Sans" w:cs="Noto Sans"/>
          <w:i w:val="0"/>
          <w:color w:val="111111"/>
          <w:sz w:val="19"/>
        </w:rPr>
        <w:t>The central technical problem is to trace the map through seven increasingly restrictive levels: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6"/>
              </w:rPr>
              <w:t>Level</w:t>
            </w:r>
          </w:p>
        </w:tc>
        <w:tc>
          <w:tcPr>
            <w:tcW w:type="dxa" w:w="3456"/>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6"/>
              </w:rPr>
              <w:t>Mathematical setting</w:t>
            </w:r>
          </w:p>
        </w:tc>
        <w:tc>
          <w:tcPr>
            <w:tcW w:type="dxa" w:w="5832"/>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6"/>
              </w:rPr>
              <w:t>Required evidence</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A</w:t>
            </w:r>
          </w:p>
        </w:tc>
        <w:tc>
          <w:tcPr>
            <w:tcW w:type="dxa" w:w="345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Polynomial / noncommutative algebra</w:t>
            </w:r>
          </w:p>
        </w:tc>
        <w:tc>
          <w:tcPr>
            <w:tcW w:type="dxa" w:w="583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Endomorphism; exact bracket or commutator identities</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B</w:t>
            </w:r>
          </w:p>
        </w:tc>
        <w:tc>
          <w:tcPr>
            <w:tcW w:type="dxa" w:w="345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*-algebra on a common core</w:t>
            </w:r>
          </w:p>
        </w:tc>
        <w:tc>
          <w:tcPr>
            <w:tcW w:type="dxa" w:w="583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Reality and formal adjoint preservation</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C</w:t>
            </w:r>
          </w:p>
        </w:tc>
        <w:tc>
          <w:tcPr>
            <w:tcW w:type="dxa" w:w="345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Closed unbounded operators</w:t>
            </w:r>
          </w:p>
        </w:tc>
        <w:tc>
          <w:tcPr>
            <w:tcW w:type="dxa" w:w="583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Closability, essential self-adjointness, common invariant domains</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D</w:t>
            </w:r>
          </w:p>
        </w:tc>
        <w:tc>
          <w:tcPr>
            <w:tcW w:type="dxa" w:w="345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Regular CCR representation</w:t>
            </w:r>
          </w:p>
        </w:tc>
        <w:tc>
          <w:tcPr>
            <w:tcW w:type="dxa" w:w="583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Exponentiated Weyl relations and strong commutation</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E</w:t>
            </w:r>
          </w:p>
        </w:tc>
        <w:tc>
          <w:tcPr>
            <w:tcW w:type="dxa" w:w="345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C*- or von Neumann algebra</w:t>
            </w:r>
          </w:p>
        </w:tc>
        <w:tc>
          <w:tcPr>
            <w:tcW w:type="dxa" w:w="583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Bounded extension, continuity, normality</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F</w:t>
            </w:r>
          </w:p>
        </w:tc>
        <w:tc>
          <w:tcPr>
            <w:tcW w:type="dxa" w:w="345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Quantum operation</w:t>
            </w:r>
          </w:p>
        </w:tc>
        <w:tc>
          <w:tcPr>
            <w:tcW w:type="dxa" w:w="583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Unital complete positivity and a dilation or instrument</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G</w:t>
            </w:r>
          </w:p>
        </w:tc>
        <w:tc>
          <w:tcPr>
            <w:tcW w:type="dxa" w:w="345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Computational primitive</w:t>
            </w:r>
          </w:p>
        </w:tc>
        <w:tc>
          <w:tcPr>
            <w:tcW w:type="dxa" w:w="583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Finite-energy approximation, controllable error, operational advantage</w:t>
            </w:r>
          </w:p>
        </w:tc>
      </w:tr>
    </w:tbl>
    <w:p>
      <w:pPr>
        <w:spacing w:after="0"/>
      </w:pPr>
    </w:p>
    <w:p>
      <w:pPr>
        <w:pStyle w:val="Heading2"/>
        <w:keepNext/>
        <w:spacing w:before="140" w:after="100" w:line="240" w:lineRule="auto"/>
      </w:pPr>
      <w:r>
        <w:rPr>
          <w:rFonts w:ascii="Lato" w:hAnsi="Lato" w:eastAsia="Lato" w:cs="Lato"/>
          <w:b/>
          <w:color w:val="0B7D86"/>
          <w:sz w:val="22"/>
        </w:rPr>
        <w:t xml:space="preserve">2.3  </w:t>
      </w:r>
      <w:r>
        <w:rPr>
          <w:rFonts w:ascii="Lato" w:hAnsi="Lato" w:eastAsia="Lato" w:cs="Lato"/>
          <w:b/>
          <w:color w:val="17324D"/>
          <w:sz w:val="24"/>
        </w:rPr>
        <w:t>Testable hypotheses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936"/>
            <w:tcBorders>
              <w:top w:val="single" w:sz="6" w:color="D9DEE3"/>
              <w:start w:val="single" w:sz="6" w:color="D9DEE3"/>
              <w:bottom w:val="single" w:sz="6" w:color="D9DEE3"/>
              <w:end w:val="single" w:sz="6" w:color="D9DEE3"/>
            </w:tcBorders>
            <w:shd w:fill="17324D" w:val="clear"/>
            <w:vAlign w:val="center"/>
          </w:tcPr>
          <w:p>
            <w:pPr>
              <w:spacing w:before="0" w:after="0" w:line="240" w:lineRule="auto"/>
              <w:jc w:val="left"/>
            </w:pPr>
            <w:r>
              <w:rPr>
                <w:rFonts w:ascii="Lato" w:hAnsi="Lato" w:eastAsia="Lato" w:cs="Lato"/>
                <w:b/>
                <w:color w:val="FFFFFF"/>
                <w:sz w:val="17"/>
              </w:rPr>
              <w:t>ID</w:t>
            </w:r>
          </w:p>
        </w:tc>
        <w:tc>
          <w:tcPr>
            <w:tcW w:type="dxa" w:w="9144"/>
            <w:tcBorders>
              <w:top w:val="single" w:sz="6" w:color="D9DEE3"/>
              <w:start w:val="single" w:sz="6" w:color="D9DEE3"/>
              <w:bottom w:val="single" w:sz="6" w:color="D9DEE3"/>
              <w:end w:val="single" w:sz="6" w:color="D9DEE3"/>
            </w:tcBorders>
            <w:shd w:fill="17324D" w:val="clear"/>
            <w:vAlign w:val="center"/>
          </w:tcPr>
          <w:p>
            <w:pPr>
              <w:spacing w:before="0" w:after="0" w:line="240" w:lineRule="auto"/>
              <w:jc w:val="left"/>
            </w:pPr>
            <w:r>
              <w:rPr>
                <w:rFonts w:ascii="Lato" w:hAnsi="Lato" w:eastAsia="Lato" w:cs="Lato"/>
                <w:b/>
                <w:color w:val="FFFFFF"/>
                <w:sz w:val="17"/>
              </w:rPr>
              <w:t>Hypothesis</w:t>
            </w:r>
          </w:p>
        </w:tc>
      </w:tr>
      <w:tr>
        <w:trPr>
          <w:cantSplit/>
        </w:trPr>
        <w:tc>
          <w:tcPr>
            <w:tcW w:type="dxa" w:w="93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H1</w:t>
            </w:r>
          </w:p>
        </w:tc>
        <w:tc>
          <w:tcPr>
            <w:tcW w:type="dxa" w:w="914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The cotangent lift Phi(q,p) = (F(q), DF(q)^(-T)p) is a polynomial Poisson endomorphism and is not an automorphism.</w:t>
            </w:r>
          </w:p>
        </w:tc>
      </w:tr>
      <w:tr>
        <w:trPr>
          <w:cantSplit/>
        </w:trPr>
        <w:tc>
          <w:tcPr>
            <w:tcW w:type="dxa" w:w="93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H2</w:t>
            </w:r>
          </w:p>
        </w:tc>
        <w:tc>
          <w:tcPr>
            <w:tcW w:type="dxa" w:w="914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Coefficient-left quantization produces an explicit Weyl-algebra endomorphism; for the real map, a Piola-type divergence identity makes the transformed momenta formally symmetric on a natural Schwartz core.</w:t>
            </w:r>
          </w:p>
        </w:tc>
      </w:tr>
      <w:tr>
        <w:trPr>
          <w:cantSplit/>
        </w:trPr>
        <w:tc>
          <w:tcPr>
            <w:tcW w:type="dxa" w:w="93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H3</w:t>
            </w:r>
          </w:p>
        </w:tc>
        <w:tc>
          <w:tcPr>
            <w:tcW w:type="dxa" w:w="914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Noninvertibility will reappear analytically through at least one obstruction: incomplete generating flows, failure of essential self-adjointness, failure of strong Weyl relations, or failure of bounded C*-extension.</w:t>
            </w:r>
          </w:p>
        </w:tc>
      </w:tr>
      <w:tr>
        <w:trPr>
          <w:cantSplit/>
        </w:trPr>
        <w:tc>
          <w:tcPr>
            <w:tcW w:type="dxa" w:w="93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H4</w:t>
            </w:r>
          </w:p>
        </w:tc>
        <w:tc>
          <w:tcPr>
            <w:tcW w:type="dxa" w:w="914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A proper endomorphism cannot be implemented by unitary conjugation on the same faithful representation; any admissible realization must instead use a subsystem embedding, dilation, correspondence, nonregular representation, or open-system construction.</w:t>
            </w:r>
          </w:p>
        </w:tc>
      </w:tr>
      <w:tr>
        <w:trPr>
          <w:cantSplit/>
        </w:trPr>
        <w:tc>
          <w:tcPr>
            <w:tcW w:type="dxa" w:w="93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H5</w:t>
            </w:r>
          </w:p>
        </w:tc>
        <w:tc>
          <w:tcPr>
            <w:tcW w:type="dxa" w:w="914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The proper image subalgebra may exhibit multiplicity or sector structure relevant to continuous-variable encodings, but no computational benefit is assumed in advance.</w:t>
            </w:r>
          </w:p>
        </w:tc>
      </w:tr>
    </w:tbl>
    <w:p>
      <w:pPr>
        <w:spacing w:after="0"/>
      </w:pPr>
    </w:p>
    <w:p>
      <w:pPr>
        <w:pStyle w:val="Heading1"/>
        <w:keepNext/>
        <w:spacing w:before="240" w:after="100" w:line="240" w:lineRule="auto"/>
      </w:pPr>
      <w:r>
        <w:rPr>
          <w:rFonts w:ascii="Lato" w:hAnsi="Lato" w:eastAsia="Lato" w:cs="Lato"/>
          <w:b/>
          <w:color w:val="0B7D86"/>
          <w:sz w:val="26"/>
        </w:rPr>
        <w:t xml:space="preserve">3  </w:t>
      </w:r>
      <w:r>
        <w:rPr>
          <w:rFonts w:ascii="Lato" w:hAnsi="Lato" w:eastAsia="Lato" w:cs="Lato"/>
          <w:b/>
          <w:color w:val="17324D"/>
          <w:sz w:val="30"/>
        </w:rPr>
        <w:t>Objectives, success criteria, and scope</w:t>
      </w:r>
    </w:p>
    <w:p>
      <w:pPr>
        <w:pStyle w:val="Heading2"/>
        <w:keepNext/>
        <w:spacing w:before="140" w:after="100" w:line="240" w:lineRule="auto"/>
      </w:pPr>
      <w:r>
        <w:rPr>
          <w:rFonts w:ascii="Lato" w:hAnsi="Lato" w:eastAsia="Lato" w:cs="Lato"/>
          <w:b/>
          <w:color w:val="0B7D86"/>
          <w:sz w:val="22"/>
        </w:rPr>
        <w:t xml:space="preserve">3.1  </w:t>
      </w:r>
      <w:r>
        <w:rPr>
          <w:rFonts w:ascii="Lato" w:hAnsi="Lato" w:eastAsia="Lato" w:cs="Lato"/>
          <w:b/>
          <w:color w:val="17324D"/>
          <w:sz w:val="24"/>
        </w:rPr>
        <w:t>Objectives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936"/>
            <w:tcBorders>
              <w:top w:val="single" w:sz="6" w:color="D9DEE3"/>
              <w:start w:val="single" w:sz="6" w:color="D9DEE3"/>
              <w:bottom w:val="single" w:sz="6" w:color="D9DEE3"/>
              <w:end w:val="single" w:sz="6" w:color="D9DEE3"/>
            </w:tcBorders>
            <w:shd w:fill="17324D" w:val="clear"/>
            <w:vAlign w:val="center"/>
          </w:tcPr>
          <w:p>
            <w:pPr>
              <w:spacing w:before="0" w:after="0" w:line="240" w:lineRule="auto"/>
              <w:jc w:val="left"/>
            </w:pPr>
            <w:r>
              <w:rPr>
                <w:rFonts w:ascii="Lato" w:hAnsi="Lato" w:eastAsia="Lato" w:cs="Lato"/>
                <w:b/>
                <w:color w:val="FFFFFF"/>
                <w:sz w:val="17"/>
              </w:rPr>
              <w:t>ID</w:t>
            </w:r>
          </w:p>
        </w:tc>
        <w:tc>
          <w:tcPr>
            <w:tcW w:type="dxa" w:w="9144"/>
            <w:tcBorders>
              <w:top w:val="single" w:sz="6" w:color="D9DEE3"/>
              <w:start w:val="single" w:sz="6" w:color="D9DEE3"/>
              <w:bottom w:val="single" w:sz="6" w:color="D9DEE3"/>
              <w:end w:val="single" w:sz="6" w:color="D9DEE3"/>
            </w:tcBorders>
            <w:shd w:fill="17324D" w:val="clear"/>
            <w:vAlign w:val="center"/>
          </w:tcPr>
          <w:p>
            <w:pPr>
              <w:spacing w:before="0" w:after="0" w:line="240" w:lineRule="auto"/>
              <w:jc w:val="left"/>
            </w:pPr>
            <w:r>
              <w:rPr>
                <w:rFonts w:ascii="Lato" w:hAnsi="Lato" w:eastAsia="Lato" w:cs="Lato"/>
                <w:b/>
                <w:color w:val="FFFFFF"/>
                <w:sz w:val="17"/>
              </w:rPr>
              <w:t>Objective</w:t>
            </w:r>
          </w:p>
        </w:tc>
      </w:tr>
      <w:tr>
        <w:trPr>
          <w:cantSplit/>
        </w:trPr>
        <w:tc>
          <w:tcPr>
            <w:tcW w:type="dxa" w:w="93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O1</w:t>
            </w:r>
          </w:p>
        </w:tc>
        <w:tc>
          <w:tcPr>
            <w:tcW w:type="dxa" w:w="914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Validate and freeze a canonical version of the counterexample, with exact CAS and proof-assistant certificates.</w:t>
            </w:r>
          </w:p>
        </w:tc>
      </w:tr>
      <w:tr>
        <w:trPr>
          <w:cantSplit/>
        </w:trPr>
        <w:tc>
          <w:tcPr>
            <w:tcW w:type="dxa" w:w="93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O2</w:t>
            </w:r>
          </w:p>
        </w:tc>
        <w:tc>
          <w:tcPr>
            <w:tcW w:type="dxa" w:w="914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Construct explicit Poisson and Weyl endomorphisms and prove their defining relations and non-surjectivity.</w:t>
            </w:r>
          </w:p>
        </w:tc>
      </w:tr>
      <w:tr>
        <w:trPr>
          <w:cantSplit/>
        </w:trPr>
        <w:tc>
          <w:tcPr>
            <w:tcW w:type="dxa" w:w="93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O3</w:t>
            </w:r>
          </w:p>
        </w:tc>
        <w:tc>
          <w:tcPr>
            <w:tcW w:type="dxa" w:w="914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Classify real structures, formal adjoints, invariant domains, closures, self-adjointness, and strong commutation.</w:t>
            </w:r>
          </w:p>
        </w:tc>
      </w:tr>
      <w:tr>
        <w:trPr>
          <w:cantSplit/>
        </w:trPr>
        <w:tc>
          <w:tcPr>
            <w:tcW w:type="dxa" w:w="93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O4</w:t>
            </w:r>
          </w:p>
        </w:tc>
        <w:tc>
          <w:tcPr>
            <w:tcW w:type="dxa" w:w="914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Determine whether the map extends to the Weyl CCR algebra, resolvent algebra, or a suitable von Neumann algebra.</w:t>
            </w:r>
          </w:p>
        </w:tc>
      </w:tr>
      <w:tr>
        <w:trPr>
          <w:cantSplit/>
        </w:trPr>
        <w:tc>
          <w:tcPr>
            <w:tcW w:type="dxa" w:w="93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O5</w:t>
            </w:r>
          </w:p>
        </w:tc>
        <w:tc>
          <w:tcPr>
            <w:tcW w:type="dxa" w:w="914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Test positivity, complete positivity, dilations, subsystem interpretations, and continuous-variable protocol models.</w:t>
            </w:r>
          </w:p>
        </w:tc>
      </w:tr>
      <w:tr>
        <w:trPr>
          <w:cantSplit/>
        </w:trPr>
        <w:tc>
          <w:tcPr>
            <w:tcW w:type="dxa" w:w="93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O6</w:t>
            </w:r>
          </w:p>
        </w:tc>
        <w:tc>
          <w:tcPr>
            <w:tcW w:type="dxa" w:w="914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Release a reproducible open research package and publish both constructive results and no-go theorems.</w:t>
            </w:r>
          </w:p>
        </w:tc>
      </w:tr>
    </w:tbl>
    <w:p>
      <w:pPr>
        <w:spacing w:after="0"/>
      </w:pPr>
    </w:p>
    <w:p>
      <w:pPr>
        <w:pStyle w:val="Heading2"/>
        <w:keepNext/>
        <w:spacing w:before="140" w:after="100" w:line="240" w:lineRule="auto"/>
      </w:pPr>
      <w:r>
        <w:rPr>
          <w:rFonts w:ascii="Lato" w:hAnsi="Lato" w:eastAsia="Lato" w:cs="Lato"/>
          <w:b/>
          <w:color w:val="0B7D86"/>
          <w:sz w:val="22"/>
        </w:rPr>
        <w:t xml:space="preserve">3.2  </w:t>
      </w:r>
      <w:r>
        <w:rPr>
          <w:rFonts w:ascii="Lato" w:hAnsi="Lato" w:eastAsia="Lato" w:cs="Lato"/>
          <w:b/>
          <w:color w:val="17324D"/>
          <w:sz w:val="24"/>
        </w:rPr>
        <w:t>Success criteria</w:t>
      </w:r>
    </w:p>
    <w:tbl>
      <w:tblPr>
        <w:tblW w:type="auto" w:w="0"/>
        <w:jc w:val="center"/>
        <w:tblLayout w:type="fixed"/>
        <w:tblLook w:firstColumn="1" w:firstRow="1" w:lastColumn="0" w:lastRow="0" w:noHBand="0" w:noVBand="1" w:val="04A0"/>
      </w:tblPr>
      <w:tblGrid>
        <w:gridCol w:w="5083"/>
        <w:gridCol w:w="5083"/>
      </w:tblGrid>
      <w:tr>
        <w:trPr>
          <w:cantSplit/>
        </w:trPr>
        <w:tc>
          <w:tcPr>
            <w:tcW w:type="dxa" w:w="2232"/>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Minimum success</w:t>
            </w:r>
          </w:p>
        </w:tc>
        <w:tc>
          <w:tcPr>
            <w:tcW w:type="dxa" w:w="7848"/>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Exact explicit endomorphisms, formal verification, and a rigorous theorem identifying the first failure of physical admissibility.</w:t>
            </w:r>
          </w:p>
        </w:tc>
      </w:tr>
      <w:tr>
        <w:trPr>
          <w:cantSplit/>
        </w:trPr>
        <w:tc>
          <w:tcPr>
            <w:tcW w:type="dxa" w:w="2232"/>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Target success</w:t>
            </w:r>
          </w:p>
        </w:tc>
        <w:tc>
          <w:tcPr>
            <w:tcW w:type="dxa" w:w="7848"/>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A classification theorem covering self-adjointness, regular CCR realization, and bounded operator-algebra extension for the anchor example and a broader class.</w:t>
            </w:r>
          </w:p>
        </w:tc>
      </w:tr>
      <w:tr>
        <w:trPr>
          <w:cantSplit/>
        </w:trPr>
        <w:tc>
          <w:tcPr>
            <w:tcW w:type="dxa" w:w="2232"/>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Stretch success</w:t>
            </w:r>
          </w:p>
        </w:tc>
        <w:tc>
          <w:tcPr>
            <w:tcW w:type="dxa" w:w="7848"/>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A physically interpretable proper endomorphism or CP/dilation model with a finite-energy continuous-variable proof of principle.</w:t>
            </w:r>
          </w:p>
        </w:tc>
      </w:tr>
      <w:tr>
        <w:trPr>
          <w:cantSplit/>
        </w:trPr>
        <w:tc>
          <w:tcPr>
            <w:tcW w:type="dxa" w:w="2232"/>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Program-quality success</w:t>
            </w:r>
          </w:p>
        </w:tc>
        <w:tc>
          <w:tcPr>
            <w:tcW w:type="dxa" w:w="7848"/>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Reproducible code, independent review, precise claims, and useful negative results even if no physical realization exists.</w:t>
            </w:r>
          </w:p>
        </w:tc>
      </w:tr>
    </w:tbl>
    <w:p>
      <w:pPr>
        <w:spacing w:after="0"/>
      </w:pPr>
    </w:p>
    <w:p>
      <w:pPr>
        <w:pStyle w:val="Heading2"/>
        <w:keepNext/>
        <w:spacing w:before="140" w:after="100" w:line="240" w:lineRule="auto"/>
      </w:pPr>
      <w:r>
        <w:rPr>
          <w:rFonts w:ascii="Lato" w:hAnsi="Lato" w:eastAsia="Lato" w:cs="Lato"/>
          <w:b/>
          <w:color w:val="0B7D86"/>
          <w:sz w:val="22"/>
        </w:rPr>
        <w:t xml:space="preserve">3.3  </w:t>
      </w:r>
      <w:r>
        <w:rPr>
          <w:rFonts w:ascii="Lato" w:hAnsi="Lato" w:eastAsia="Lato" w:cs="Lato"/>
          <w:b/>
          <w:color w:val="17324D"/>
          <w:sz w:val="24"/>
        </w:rPr>
        <w:t>In scope</w:t>
      </w:r>
    </w:p>
    <w:p>
      <w:pPr>
        <w:pStyle w:val="ListBullet"/>
        <w:spacing w:after="50" w:line="259" w:lineRule="auto"/>
        <w:ind w:left="317" w:hanging="173"/>
      </w:pPr>
      <w:r>
        <w:rPr>
          <w:rFonts w:ascii="Noto Sans" w:hAnsi="Noto Sans" w:eastAsia="Noto Sans" w:cs="Noto Sans"/>
          <w:color w:val="111111"/>
          <w:sz w:val="18"/>
        </w:rPr>
        <w:t>Exact algebraic geometry of the anchor map, including fibers, asymptotic behavior, and weighted structure.</w:t>
      </w:r>
    </w:p>
    <w:p>
      <w:pPr>
        <w:pStyle w:val="ListBullet"/>
        <w:spacing w:after="50" w:line="259" w:lineRule="auto"/>
        <w:ind w:left="317" w:hanging="173"/>
      </w:pPr>
      <w:r>
        <w:rPr>
          <w:rFonts w:ascii="Noto Sans" w:hAnsi="Noto Sans" w:eastAsia="Noto Sans" w:cs="Noto Sans"/>
          <w:color w:val="111111"/>
          <w:sz w:val="18"/>
        </w:rPr>
        <w:t>Poisson and symplectic endomorphisms; Weyl-algebra endomorphisms and their associated graded structures.</w:t>
      </w:r>
    </w:p>
    <w:p>
      <w:pPr>
        <w:pStyle w:val="ListBullet"/>
        <w:spacing w:after="50" w:line="259" w:lineRule="auto"/>
        <w:ind w:left="317" w:hanging="173"/>
      </w:pPr>
      <w:r>
        <w:rPr>
          <w:rFonts w:ascii="Noto Sans" w:hAnsi="Noto Sans" w:eastAsia="Noto Sans" w:cs="Noto Sans"/>
          <w:color w:val="111111"/>
          <w:sz w:val="18"/>
        </w:rPr>
        <w:t>Schrodinger, Fock, and selected nonregular representations of the canonical commutation relations.</w:t>
      </w:r>
    </w:p>
    <w:p>
      <w:pPr>
        <w:pStyle w:val="ListBullet"/>
        <w:spacing w:after="50" w:line="259" w:lineRule="auto"/>
        <w:ind w:left="317" w:hanging="173"/>
      </w:pPr>
      <w:r>
        <w:rPr>
          <w:rFonts w:ascii="Noto Sans" w:hAnsi="Noto Sans" w:eastAsia="Noto Sans" w:cs="Noto Sans"/>
          <w:color w:val="111111"/>
          <w:sz w:val="18"/>
        </w:rPr>
        <w:t>Unbounded differential operators, common cores, essential self-adjointness, spectra, and joint spectral multiplicity.</w:t>
      </w:r>
    </w:p>
    <w:p>
      <w:pPr>
        <w:pStyle w:val="ListBullet"/>
        <w:spacing w:after="50" w:line="259" w:lineRule="auto"/>
        <w:ind w:left="317" w:hanging="173"/>
      </w:pPr>
      <w:r>
        <w:rPr>
          <w:rFonts w:ascii="Noto Sans" w:hAnsi="Noto Sans" w:eastAsia="Noto Sans" w:cs="Noto Sans"/>
          <w:color w:val="111111"/>
          <w:sz w:val="18"/>
        </w:rPr>
        <w:t>Weyl C*-algebra, resolvent algebra, von Neumann closures, positivity, complete positivity, and dilation theory.</w:t>
      </w:r>
    </w:p>
    <w:p>
      <w:pPr>
        <w:pStyle w:val="ListBullet"/>
        <w:spacing w:after="50" w:line="259" w:lineRule="auto"/>
        <w:ind w:left="317" w:hanging="173"/>
      </w:pPr>
      <w:r>
        <w:rPr>
          <w:rFonts w:ascii="Noto Sans" w:hAnsi="Noto Sans" w:eastAsia="Noto Sans" w:cs="Noto Sans"/>
          <w:color w:val="111111"/>
          <w:sz w:val="18"/>
        </w:rPr>
        <w:t>Continuous-variable quantum information, bosonic subsystem encodings, and finite-energy approximations.</w:t>
      </w:r>
    </w:p>
    <w:p>
      <w:pPr>
        <w:pStyle w:val="ListBullet"/>
        <w:spacing w:after="50" w:line="259" w:lineRule="auto"/>
        <w:ind w:left="317" w:hanging="173"/>
      </w:pPr>
      <w:r>
        <w:rPr>
          <w:rFonts w:ascii="Noto Sans" w:hAnsi="Noto Sans" w:eastAsia="Noto Sans" w:cs="Noto Sans"/>
          <w:color w:val="111111"/>
          <w:sz w:val="18"/>
        </w:rPr>
        <w:t>Formal verification, certified symbolic computation, and open-source reproducibility.</w:t>
      </w:r>
    </w:p>
    <w:p>
      <w:pPr>
        <w:pStyle w:val="Heading2"/>
        <w:keepNext/>
        <w:spacing w:before="140" w:after="100" w:line="240" w:lineRule="auto"/>
      </w:pPr>
      <w:r>
        <w:rPr>
          <w:rFonts w:ascii="Lato" w:hAnsi="Lato" w:eastAsia="Lato" w:cs="Lato"/>
          <w:b/>
          <w:color w:val="0B7D86"/>
          <w:sz w:val="22"/>
        </w:rPr>
        <w:t xml:space="preserve">3.4  </w:t>
      </w:r>
      <w:r>
        <w:rPr>
          <w:rFonts w:ascii="Lato" w:hAnsi="Lato" w:eastAsia="Lato" w:cs="Lato"/>
          <w:b/>
          <w:color w:val="17324D"/>
          <w:sz w:val="24"/>
        </w:rPr>
        <w:t>Out of scope unless a later gate authorizes expansion</w:t>
      </w:r>
    </w:p>
    <w:p>
      <w:pPr>
        <w:pStyle w:val="ListBullet"/>
        <w:spacing w:after="50" w:line="259" w:lineRule="auto"/>
        <w:ind w:left="317" w:hanging="173"/>
      </w:pPr>
      <w:r>
        <w:rPr>
          <w:rFonts w:ascii="Noto Sans" w:hAnsi="Noto Sans" w:eastAsia="Noto Sans" w:cs="Noto Sans"/>
          <w:color w:val="111111"/>
          <w:sz w:val="18"/>
        </w:rPr>
        <w:t>Nonlinear modifications of the Schrodinger equation or nonlinear state-vector evolution.</w:t>
      </w:r>
    </w:p>
    <w:p>
      <w:pPr>
        <w:pStyle w:val="ListBullet"/>
        <w:spacing w:after="50" w:line="259" w:lineRule="auto"/>
        <w:ind w:left="317" w:hanging="173"/>
      </w:pPr>
      <w:r>
        <w:rPr>
          <w:rFonts w:ascii="Noto Sans" w:hAnsi="Noto Sans" w:eastAsia="Noto Sans" w:cs="Noto Sans"/>
          <w:color w:val="111111"/>
          <w:sz w:val="18"/>
        </w:rPr>
        <w:t>Claims that standard quantum mechanics, quantum field theory, or existing quantum algorithms are invalidated.</w:t>
      </w:r>
    </w:p>
    <w:p>
      <w:pPr>
        <w:pStyle w:val="ListBullet"/>
        <w:spacing w:after="50" w:line="259" w:lineRule="auto"/>
        <w:ind w:left="317" w:hanging="173"/>
      </w:pPr>
      <w:r>
        <w:rPr>
          <w:rFonts w:ascii="Noto Sans" w:hAnsi="Noto Sans" w:eastAsia="Noto Sans" w:cs="Noto Sans"/>
          <w:color w:val="111111"/>
          <w:sz w:val="18"/>
        </w:rPr>
        <w:t>Experimental hardware development before a mathematically admissible bounded or operational model is established.</w:t>
      </w:r>
    </w:p>
    <w:p>
      <w:pPr>
        <w:pStyle w:val="ListBullet"/>
        <w:spacing w:after="50" w:line="259" w:lineRule="auto"/>
        <w:ind w:left="317" w:hanging="173"/>
      </w:pPr>
      <w:r>
        <w:rPr>
          <w:rFonts w:ascii="Noto Sans" w:hAnsi="Noto Sans" w:eastAsia="Noto Sans" w:cs="Noto Sans"/>
          <w:color w:val="111111"/>
          <w:sz w:val="18"/>
        </w:rPr>
        <w:t>Finite-dimensional qubit gate claims that ignore the infinite-dimensional CCR setting.</w:t>
      </w:r>
    </w:p>
    <w:p>
      <w:pPr>
        <w:pStyle w:val="ListBullet"/>
        <w:spacing w:after="50" w:line="259" w:lineRule="auto"/>
        <w:ind w:left="317" w:hanging="173"/>
      </w:pPr>
      <w:r>
        <w:rPr>
          <w:rFonts w:ascii="Noto Sans" w:hAnsi="Noto Sans" w:eastAsia="Noto Sans" w:cs="Noto Sans"/>
          <w:color w:val="111111"/>
          <w:sz w:val="18"/>
        </w:rPr>
        <w:t>Public claims of quantum advantage, new fundamental forces, or measurable effects without an approved evidence package.</w:t>
      </w:r>
    </w:p>
    <w:p>
      <w:r>
        <w:br w:type="page"/>
      </w:r>
    </w:p>
    <w:p>
      <w:pPr>
        <w:pStyle w:val="Heading1"/>
        <w:keepNext/>
        <w:spacing w:before="240" w:after="100" w:line="240" w:lineRule="auto"/>
      </w:pPr>
      <w:r>
        <w:rPr>
          <w:rFonts w:ascii="Lato" w:hAnsi="Lato" w:eastAsia="Lato" w:cs="Lato"/>
          <w:b/>
          <w:color w:val="0B7D86"/>
          <w:sz w:val="26"/>
        </w:rPr>
        <w:t xml:space="preserve">4  </w:t>
      </w:r>
      <w:r>
        <w:rPr>
          <w:rFonts w:ascii="Lato" w:hAnsi="Lato" w:eastAsia="Lato" w:cs="Lato"/>
          <w:b/>
          <w:color w:val="17324D"/>
          <w:sz w:val="30"/>
        </w:rPr>
        <w:t>Research architecture and work packages</w:t>
      </w:r>
    </w:p>
    <w:p>
      <w:pPr>
        <w:pStyle w:val="Heading2"/>
        <w:keepNext/>
        <w:spacing w:before="140" w:after="100" w:line="240" w:lineRule="auto"/>
      </w:pPr>
      <w:r>
        <w:rPr>
          <w:rFonts w:ascii="Lato" w:hAnsi="Lato" w:eastAsia="Lato" w:cs="Lato"/>
          <w:b/>
          <w:color w:val="0B7D86"/>
          <w:sz w:val="22"/>
        </w:rPr>
        <w:t xml:space="preserve">4.1  </w:t>
      </w:r>
      <w:r>
        <w:rPr>
          <w:rFonts w:ascii="Lato" w:hAnsi="Lato" w:eastAsia="Lato" w:cs="Lato"/>
          <w:b/>
          <w:color w:val="17324D"/>
          <w:sz w:val="24"/>
        </w:rPr>
        <w:t>Anchor construction</w:t>
      </w:r>
    </w:p>
    <w:p>
      <w:pPr>
        <w:keepLines w:val="0"/>
        <w:spacing w:before="0" w:after="100" w:line="269" w:lineRule="auto"/>
      </w:pPr>
      <w:r>
        <w:rPr>
          <w:rFonts w:ascii="Noto Sans" w:hAnsi="Noto Sans" w:eastAsia="Noto Sans" w:cs="Noto Sans"/>
          <w:i w:val="0"/>
          <w:color w:val="111111"/>
          <w:sz w:val="19"/>
        </w:rPr>
        <w:t>Let J(q) = DF(q) and B(q) = J(q)^(-T). Since det J is a nonzero constant, every entry of B is polynomial. The canonical classical candidate is:</w:t>
      </w:r>
    </w:p>
    <w:tbl>
      <w:tblPr>
        <w:tblW w:type="auto" w:w="0"/>
        <w:jc w:val="center"/>
        <w:tblLook w:firstColumn="1" w:firstRow="1" w:lastColumn="0" w:lastRow="0" w:noHBand="0" w:noVBand="1" w:val="04A0"/>
      </w:tblPr>
      <w:tblGrid>
        <w:gridCol w:w="10166"/>
      </w:tblGrid>
      <w:tr>
        <w:tc>
          <w:tcPr>
            <w:tcW w:type="dxa" w:w="10166"/>
            <w:shd w:fill="DCEFF1" w:val="clear"/>
            <w:tcMar>
              <w:top w:w="120" w:type="dxa"/>
              <w:start w:w="170" w:type="dxa"/>
              <w:bottom w:w="120" w:type="dxa"/>
              <w:end w:w="170" w:type="dxa"/>
            </w:tcMar>
            <w:tcBorders>
              <w:top w:val="single" w:sz="6" w:color="D9DEE3"/>
              <w:start w:val="single" w:sz="6" w:color="D9DEE3"/>
              <w:bottom w:val="single" w:sz="6" w:color="D9DEE3"/>
              <w:end w:val="single" w:sz="6" w:color="D9DEE3"/>
            </w:tcBorders>
          </w:tcPr>
          <w:p>
            <w:pPr>
              <w:spacing w:after="0"/>
              <w:jc w:val="center"/>
            </w:pPr>
            <w:r>
              <w:rPr>
                <w:rFonts w:ascii="Noto Serif" w:hAnsi="Noto Serif" w:eastAsia="Noto Serif" w:cs="Noto Serif"/>
                <w:i/>
                <w:color w:val="111111"/>
                <w:sz w:val="20"/>
              </w:rPr>
              <w:t>Q = F(q)</w:t>
            </w:r>
            <w:r>
              <w:br/>
            </w:r>
            <w:r>
              <w:rPr>
                <w:rFonts w:ascii="Noto Serif" w:hAnsi="Noto Serif" w:eastAsia="Noto Serif" w:cs="Noto Serif"/>
                <w:i/>
                <w:color w:val="111111"/>
                <w:sz w:val="20"/>
              </w:rPr>
              <w:t>P = B(q) p = DF(q)^(-T) p</w:t>
            </w:r>
            <w:r>
              <w:br/>
            </w:r>
            <w:r>
              <w:rPr>
                <w:rFonts w:ascii="Noto Serif" w:hAnsi="Noto Serif" w:eastAsia="Noto Serif" w:cs="Noto Serif"/>
                <w:i/>
                <w:color w:val="111111"/>
                <w:sz w:val="20"/>
              </w:rPr>
              <w:t>Phi(q,p) = (Q,P)</w:t>
            </w:r>
          </w:p>
        </w:tc>
      </w:tr>
    </w:tbl>
    <w:p>
      <w:pPr>
        <w:spacing w:after="0"/>
      </w:pPr>
    </w:p>
    <w:p>
      <w:pPr>
        <w:keepLines w:val="0"/>
        <w:spacing w:before="0" w:after="100" w:line="269" w:lineRule="auto"/>
      </w:pPr>
      <w:r>
        <w:rPr>
          <w:rFonts w:ascii="Noto Sans" w:hAnsi="Noto Sans" w:eastAsia="Noto Sans" w:cs="Noto Sans"/>
          <w:i w:val="0"/>
          <w:color w:val="111111"/>
          <w:sz w:val="19"/>
        </w:rPr>
        <w:t>The pullback should preserve the canonical Poisson bracket. Noninjectivity is explicit: whenever F(q_1) = F(q_2), choose p_k = J(q_k)^T P for the same target momentum P; then Phi(q_1,p_1) = Phi(q_2,p_2). This provides a direct, testable route to a proper Poisson endomorphism.</w:t>
      </w:r>
    </w:p>
    <w:p>
      <w:pPr>
        <w:keepLines w:val="0"/>
        <w:spacing w:before="0" w:after="100" w:line="269" w:lineRule="auto"/>
      </w:pPr>
      <w:r>
        <w:rPr>
          <w:rFonts w:ascii="Noto Sans" w:hAnsi="Noto Sans" w:eastAsia="Noto Sans" w:cs="Noto Sans"/>
          <w:i w:val="0"/>
          <w:color w:val="111111"/>
          <w:sz w:val="19"/>
        </w:rPr>
        <w:t>With [q_i,p_j] = i hbar delta_ij, the coefficient-left Weyl candidate is:</w:t>
      </w:r>
    </w:p>
    <w:tbl>
      <w:tblPr>
        <w:tblW w:type="auto" w:w="0"/>
        <w:jc w:val="center"/>
        <w:tblLook w:firstColumn="1" w:firstRow="1" w:lastColumn="0" w:lastRow="0" w:noHBand="0" w:noVBand="1" w:val="04A0"/>
      </w:tblPr>
      <w:tblGrid>
        <w:gridCol w:w="10166"/>
      </w:tblGrid>
      <w:tr>
        <w:tc>
          <w:tcPr>
            <w:tcW w:type="dxa" w:w="10166"/>
            <w:shd w:fill="E8F0F6" w:val="clear"/>
            <w:tcMar>
              <w:top w:w="120" w:type="dxa"/>
              <w:start w:w="170" w:type="dxa"/>
              <w:bottom w:w="120" w:type="dxa"/>
              <w:end w:w="170" w:type="dxa"/>
            </w:tcMar>
            <w:tcBorders>
              <w:top w:val="single" w:sz="6" w:color="D9DEE3"/>
              <w:start w:val="single" w:sz="6" w:color="D9DEE3"/>
              <w:bottom w:val="single" w:sz="6" w:color="D9DEE3"/>
              <w:end w:val="single" w:sz="6" w:color="D9DEE3"/>
            </w:tcBorders>
          </w:tcPr>
          <w:p>
            <w:pPr>
              <w:spacing w:after="0"/>
              <w:jc w:val="center"/>
            </w:pPr>
            <w:r>
              <w:rPr>
                <w:rFonts w:ascii="Noto Serif" w:hAnsi="Noto Serif" w:eastAsia="Noto Serif" w:cs="Noto Serif"/>
                <w:i/>
                <w:color w:val="111111"/>
                <w:sz w:val="20"/>
              </w:rPr>
              <w:t>q_i  |-&gt;  Q_i = F_i(q)</w:t>
            </w:r>
            <w:r>
              <w:br/>
            </w:r>
            <w:r>
              <w:rPr>
                <w:rFonts w:ascii="Noto Serif" w:hAnsi="Noto Serif" w:eastAsia="Noto Serif" w:cs="Noto Serif"/>
                <w:i/>
                <w:color w:val="111111"/>
                <w:sz w:val="20"/>
              </w:rPr>
              <w:t>p_i  |-&gt;  P_i = sum_j B_ij(q) p_j</w:t>
            </w:r>
          </w:p>
        </w:tc>
      </w:tr>
    </w:tbl>
    <w:p>
      <w:pPr>
        <w:spacing w:after="0"/>
      </w:pPr>
    </w:p>
    <w:p>
      <w:pPr>
        <w:keepLines w:val="0"/>
        <w:spacing w:before="0" w:after="100" w:line="269" w:lineRule="auto"/>
      </w:pPr>
      <w:r>
        <w:rPr>
          <w:rFonts w:ascii="Noto Sans" w:hAnsi="Noto Sans" w:eastAsia="Noto Sans" w:cs="Noto Sans"/>
          <w:i w:val="0"/>
          <w:color w:val="111111"/>
          <w:sz w:val="19"/>
        </w:rPr>
        <w:t>The initial algebraic tasks are to prove all canonical commutators, determine properness, and establish the precise *-structure. For real F with constant determinant, the Piola identity predicts row-wise div B = 0, which would make each P_i formally symmetric in the Schrodinger representation. Formal symmetry is only the beginning; essential self-adjointness and exponentiation remain open tests.</w:t>
      </w:r>
    </w:p>
    <w:p>
      <w:pPr>
        <w:pStyle w:val="Heading2"/>
        <w:keepNext/>
        <w:spacing w:before="140" w:after="100" w:line="240" w:lineRule="auto"/>
      </w:pPr>
      <w:r>
        <w:rPr>
          <w:rFonts w:ascii="Lato" w:hAnsi="Lato" w:eastAsia="Lato" w:cs="Lato"/>
          <w:b/>
          <w:color w:val="0B7D86"/>
          <w:sz w:val="22"/>
        </w:rPr>
        <w:t xml:space="preserve">4.2  </w:t>
      </w:r>
      <w:r>
        <w:rPr>
          <w:rFonts w:ascii="Lato" w:hAnsi="Lato" w:eastAsia="Lato" w:cs="Lato"/>
          <w:b/>
          <w:color w:val="17324D"/>
          <w:sz w:val="24"/>
        </w:rPr>
        <w:t>Work packages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5"/>
              </w:rPr>
              <w:t>WP</w:t>
            </w:r>
          </w:p>
        </w:tc>
        <w:tc>
          <w:tcPr>
            <w:tcW w:type="dxa" w:w="2376"/>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5"/>
              </w:rPr>
              <w:t>Workstream</w:t>
            </w:r>
          </w:p>
        </w:tc>
        <w:tc>
          <w:tcPr>
            <w:tcW w:type="dxa" w:w="1152"/>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5"/>
              </w:rPr>
              <w:t>Timing</w:t>
            </w:r>
          </w:p>
        </w:tc>
        <w:tc>
          <w:tcPr>
            <w:tcW w:type="dxa" w:w="5760"/>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5"/>
              </w:rPr>
              <w:t>Principal output</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WP0</w:t>
            </w:r>
          </w:p>
        </w:tc>
        <w:tc>
          <w:tcPr>
            <w:tcW w:type="dxa" w:w="237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Validation and provenance</w:t>
            </w:r>
          </w:p>
        </w:tc>
        <w:tc>
          <w:tcPr>
            <w:tcW w:type="dxa" w:w="115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M0-M2</w:t>
            </w:r>
          </w:p>
        </w:tc>
        <w:tc>
          <w:tcPr>
            <w:tcW w:type="dxa" w:w="5760"/>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Independent exact verification; normalization; provenance log; Lean audit; frozen anchor release.</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WP1</w:t>
            </w:r>
          </w:p>
        </w:tc>
        <w:tc>
          <w:tcPr>
            <w:tcW w:type="dxa" w:w="237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Poisson and Weyl construction</w:t>
            </w:r>
          </w:p>
        </w:tc>
        <w:tc>
          <w:tcPr>
            <w:tcW w:type="dxa" w:w="115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M1-M5</w:t>
            </w:r>
          </w:p>
        </w:tc>
        <w:tc>
          <w:tcPr>
            <w:tcW w:type="dxa" w:w="5760"/>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Explicit B matrix; bracket/commutator proofs; non-surjectivity; image subalgebras; formalization.</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WP2</w:t>
            </w:r>
          </w:p>
        </w:tc>
        <w:tc>
          <w:tcPr>
            <w:tcW w:type="dxa" w:w="237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Geometry and classical dynamics</w:t>
            </w:r>
          </w:p>
        </w:tc>
        <w:tc>
          <w:tcPr>
            <w:tcW w:type="dxa" w:w="115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M3-M9</w:t>
            </w:r>
          </w:p>
        </w:tc>
        <w:tc>
          <w:tcPr>
            <w:tcW w:type="dxa" w:w="5760"/>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Fibers, asymptotic set, real image, cotangent geometry, completeness of dual vector fields, missing observables.</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WP3</w:t>
            </w:r>
          </w:p>
        </w:tc>
        <w:tc>
          <w:tcPr>
            <w:tcW w:type="dxa" w:w="237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Unbounded operator theory</w:t>
            </w:r>
          </w:p>
        </w:tc>
        <w:tc>
          <w:tcPr>
            <w:tcW w:type="dxa" w:w="115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M4-M12</w:t>
            </w:r>
          </w:p>
        </w:tc>
        <w:tc>
          <w:tcPr>
            <w:tcW w:type="dxa" w:w="5760"/>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Schwartz core; adjoints; closures; deficiency indices; essential self-adjointness; strong commutation; spectra.</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WP4</w:t>
            </w:r>
          </w:p>
        </w:tc>
        <w:tc>
          <w:tcPr>
            <w:tcW w:type="dxa" w:w="237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Operator-algebraic completion</w:t>
            </w:r>
          </w:p>
        </w:tc>
        <w:tc>
          <w:tcPr>
            <w:tcW w:type="dxa" w:w="115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M8-M16</w:t>
            </w:r>
          </w:p>
        </w:tc>
        <w:tc>
          <w:tcPr>
            <w:tcW w:type="dxa" w:w="5760"/>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Weyl/resolvent extensions; normality; positivity; complete positivity; correspondences and dilations.</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WP5</w:t>
            </w:r>
          </w:p>
        </w:tc>
        <w:tc>
          <w:tcPr>
            <w:tcW w:type="dxa" w:w="237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Continuous-variable quantum information</w:t>
            </w:r>
          </w:p>
        </w:tc>
        <w:tc>
          <w:tcPr>
            <w:tcW w:type="dxa" w:w="115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M12-M21</w:t>
            </w:r>
          </w:p>
        </w:tc>
        <w:tc>
          <w:tcPr>
            <w:tcW w:type="dxa" w:w="5760"/>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Finite-energy truncations; channel or subsystem models; comparison with nonlinear unitary gates; operational tests.</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WP6</w:t>
            </w:r>
          </w:p>
        </w:tc>
        <w:tc>
          <w:tcPr>
            <w:tcW w:type="dxa" w:w="237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Synthesis and generalization</w:t>
            </w:r>
          </w:p>
        </w:tc>
        <w:tc>
          <w:tcPr>
            <w:tcW w:type="dxa" w:w="115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M18-M24</w:t>
            </w:r>
          </w:p>
        </w:tc>
        <w:tc>
          <w:tcPr>
            <w:tcW w:type="dxa" w:w="5760"/>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General criteria; benchmark library; external workshop; final monograph and roadmap.</w:t>
            </w:r>
          </w:p>
        </w:tc>
      </w:tr>
    </w:tbl>
    <w:p>
      <w:pPr>
        <w:spacing w:after="0"/>
      </w:pPr>
    </w:p>
    <w:p>
      <w:pPr>
        <w:pStyle w:val="Heading2"/>
        <w:keepNext/>
        <w:spacing w:before="140" w:after="100" w:line="240" w:lineRule="auto"/>
      </w:pPr>
      <w:r>
        <w:rPr>
          <w:rFonts w:ascii="Lato" w:hAnsi="Lato" w:eastAsia="Lato" w:cs="Lato"/>
          <w:b/>
          <w:color w:val="0B7D86"/>
          <w:sz w:val="22"/>
        </w:rPr>
        <w:t xml:space="preserve">4.3  </w:t>
      </w:r>
      <w:r>
        <w:rPr>
          <w:rFonts w:ascii="Lato" w:hAnsi="Lato" w:eastAsia="Lato" w:cs="Lato"/>
          <w:b/>
          <w:color w:val="17324D"/>
          <w:sz w:val="24"/>
        </w:rPr>
        <w:t>WP0 - Validation and provenance</w:t>
      </w:r>
    </w:p>
    <w:p>
      <w:pPr>
        <w:pStyle w:val="ListBullet"/>
        <w:spacing w:after="50" w:line="259" w:lineRule="auto"/>
        <w:ind w:left="317" w:hanging="173"/>
      </w:pPr>
      <w:r>
        <w:rPr>
          <w:rFonts w:ascii="Noto Sans" w:hAnsi="Noto Sans" w:eastAsia="Noto Sans" w:cs="Noto Sans"/>
          <w:color w:val="111111"/>
          <w:sz w:val="18"/>
        </w:rPr>
        <w:t>Recompute det DF and the collision in at least two independent exact computer algebra systems and by a compact human derivation.</w:t>
      </w:r>
    </w:p>
    <w:p>
      <w:pPr>
        <w:pStyle w:val="ListBullet"/>
        <w:spacing w:after="50" w:line="259" w:lineRule="auto"/>
        <w:ind w:left="317" w:hanging="173"/>
      </w:pPr>
      <w:r>
        <w:rPr>
          <w:rFonts w:ascii="Noto Sans" w:hAnsi="Noto Sans" w:eastAsia="Noto Sans" w:cs="Noto Sans"/>
          <w:color w:val="111111"/>
          <w:sz w:val="18"/>
        </w:rPr>
        <w:t>Build and audit the public Lean 4 certificate; reproduce it in continuous integration from a clean environment.</w:t>
      </w:r>
    </w:p>
    <w:p>
      <w:pPr>
        <w:pStyle w:val="ListBullet"/>
        <w:spacing w:after="50" w:line="259" w:lineRule="auto"/>
        <w:ind w:left="317" w:hanging="173"/>
      </w:pPr>
      <w:r>
        <w:rPr>
          <w:rFonts w:ascii="Noto Sans" w:hAnsi="Noto Sans" w:eastAsia="Noto Sans" w:cs="Noto Sans"/>
          <w:color w:val="111111"/>
          <w:sz w:val="18"/>
        </w:rPr>
        <w:t>Freeze an announced-form map, a determinant-one characteristic-zero normalization, and machine-readable coefficient data.</w:t>
      </w:r>
    </w:p>
    <w:p>
      <w:pPr>
        <w:pStyle w:val="ListBullet"/>
        <w:spacing w:after="50" w:line="259" w:lineRule="auto"/>
        <w:ind w:left="317" w:hanging="173"/>
      </w:pPr>
      <w:r>
        <w:rPr>
          <w:rFonts w:ascii="Noto Sans" w:hAnsi="Noto Sans" w:eastAsia="Noto Sans" w:cs="Noto Sans"/>
          <w:color w:val="111111"/>
          <w:sz w:val="18"/>
        </w:rPr>
        <w:t>Maintain a source/provenance ledger distinguishing original announcement, independent derivations, AI-assisted exploration, and human-verified claims.</w:t>
      </w:r>
    </w:p>
    <w:p>
      <w:pPr>
        <w:pStyle w:val="ListBullet"/>
        <w:spacing w:after="50" w:line="259" w:lineRule="auto"/>
        <w:ind w:left="317" w:hanging="173"/>
      </w:pPr>
      <w:r>
        <w:rPr>
          <w:rFonts w:ascii="Noto Sans" w:hAnsi="Noto Sans" w:eastAsia="Noto Sans" w:cs="Noto Sans"/>
          <w:color w:val="111111"/>
          <w:sz w:val="18"/>
        </w:rPr>
        <w:t>Deliverable D0: signed validation dossier and reproducibility container.</w:t>
      </w:r>
    </w:p>
    <w:p>
      <w:pPr>
        <w:pStyle w:val="Heading2"/>
        <w:keepNext/>
        <w:spacing w:before="140" w:after="100" w:line="240" w:lineRule="auto"/>
      </w:pPr>
      <w:r>
        <w:rPr>
          <w:rFonts w:ascii="Lato" w:hAnsi="Lato" w:eastAsia="Lato" w:cs="Lato"/>
          <w:b/>
          <w:color w:val="0B7D86"/>
          <w:sz w:val="22"/>
        </w:rPr>
        <w:t xml:space="preserve">4.4  </w:t>
      </w:r>
      <w:r>
        <w:rPr>
          <w:rFonts w:ascii="Lato" w:hAnsi="Lato" w:eastAsia="Lato" w:cs="Lato"/>
          <w:b/>
          <w:color w:val="17324D"/>
          <w:sz w:val="24"/>
        </w:rPr>
        <w:t>WP1 - Explicit Poisson and Weyl endomorphisms</w:t>
      </w:r>
    </w:p>
    <w:p>
      <w:pPr>
        <w:pStyle w:val="ListBullet"/>
        <w:spacing w:after="50" w:line="259" w:lineRule="auto"/>
        <w:ind w:left="317" w:hanging="173"/>
      </w:pPr>
      <w:r>
        <w:rPr>
          <w:rFonts w:ascii="Noto Sans" w:hAnsi="Noto Sans" w:eastAsia="Noto Sans" w:cs="Noto Sans"/>
          <w:color w:val="111111"/>
          <w:sz w:val="18"/>
        </w:rPr>
        <w:t>Compute B = DF^(-T) in exact sparse form and exploit the map's weighted grading to control expression growth.</w:t>
      </w:r>
    </w:p>
    <w:p>
      <w:pPr>
        <w:pStyle w:val="ListBullet"/>
        <w:spacing w:after="50" w:line="259" w:lineRule="auto"/>
        <w:ind w:left="317" w:hanging="173"/>
      </w:pPr>
      <w:r>
        <w:rPr>
          <w:rFonts w:ascii="Noto Sans" w:hAnsi="Noto Sans" w:eastAsia="Noto Sans" w:cs="Noto Sans"/>
          <w:color w:val="111111"/>
          <w:sz w:val="18"/>
        </w:rPr>
        <w:t>Prove the cotangent-lift Poisson identities and properness; formalize the result where practical.</w:t>
      </w:r>
    </w:p>
    <w:p>
      <w:pPr>
        <w:pStyle w:val="ListBullet"/>
        <w:spacing w:after="50" w:line="259" w:lineRule="auto"/>
        <w:ind w:left="317" w:hanging="173"/>
      </w:pPr>
      <w:r>
        <w:rPr>
          <w:rFonts w:ascii="Noto Sans" w:hAnsi="Noto Sans" w:eastAsia="Noto Sans" w:cs="Noto Sans"/>
          <w:color w:val="111111"/>
          <w:sz w:val="18"/>
        </w:rPr>
        <w:t>Construct the Weyl candidate, prove canonical commutators, and establish non-surjectivity using a direct theorem or the classical Dixmier-to-Jacobian construction.</w:t>
      </w:r>
    </w:p>
    <w:p>
      <w:pPr>
        <w:pStyle w:val="ListBullet"/>
        <w:spacing w:after="50" w:line="259" w:lineRule="auto"/>
        <w:ind w:left="317" w:hanging="173"/>
      </w:pPr>
      <w:r>
        <w:rPr>
          <w:rFonts w:ascii="Noto Sans" w:hAnsi="Noto Sans" w:eastAsia="Noto Sans" w:cs="Noto Sans"/>
          <w:color w:val="111111"/>
          <w:sz w:val="18"/>
        </w:rPr>
        <w:t>Characterize the image subalgebras, centralizers, filtrations, associated graded maps, and the observables not generated polynomially by the image.</w:t>
      </w:r>
    </w:p>
    <w:p>
      <w:pPr>
        <w:pStyle w:val="ListBullet"/>
        <w:spacing w:after="50" w:line="259" w:lineRule="auto"/>
        <w:ind w:left="317" w:hanging="173"/>
      </w:pPr>
      <w:r>
        <w:rPr>
          <w:rFonts w:ascii="Noto Sans" w:hAnsi="Noto Sans" w:eastAsia="Noto Sans" w:cs="Noto Sans"/>
          <w:color w:val="111111"/>
          <w:sz w:val="18"/>
        </w:rPr>
        <w:t>Deliverables D1-D2: algebraic preprint and executable endomorphism library.</w:t>
      </w:r>
    </w:p>
    <w:p>
      <w:pPr>
        <w:pStyle w:val="Heading2"/>
        <w:keepNext/>
        <w:spacing w:before="140" w:after="100" w:line="240" w:lineRule="auto"/>
      </w:pPr>
      <w:r>
        <w:rPr>
          <w:rFonts w:ascii="Lato" w:hAnsi="Lato" w:eastAsia="Lato" w:cs="Lato"/>
          <w:b/>
          <w:color w:val="0B7D86"/>
          <w:sz w:val="22"/>
        </w:rPr>
        <w:t xml:space="preserve">4.5  </w:t>
      </w:r>
      <w:r>
        <w:rPr>
          <w:rFonts w:ascii="Lato" w:hAnsi="Lato" w:eastAsia="Lato" w:cs="Lato"/>
          <w:b/>
          <w:color w:val="17324D"/>
          <w:sz w:val="24"/>
        </w:rPr>
        <w:t>WP2 - Geometry, flows, and semiclassical structure</w:t>
      </w:r>
    </w:p>
    <w:p>
      <w:pPr>
        <w:pStyle w:val="ListBullet"/>
        <w:spacing w:after="50" w:line="259" w:lineRule="auto"/>
        <w:ind w:left="317" w:hanging="173"/>
      </w:pPr>
      <w:r>
        <w:rPr>
          <w:rFonts w:ascii="Noto Sans" w:hAnsi="Noto Sans" w:eastAsia="Noto Sans" w:cs="Noto Sans"/>
          <w:color w:val="111111"/>
          <w:sz w:val="18"/>
        </w:rPr>
        <w:t>Determine the real and complex images, fiber cardinalities, asymptotic values, generic degree, and monodromy of the anchor map.</w:t>
      </w:r>
    </w:p>
    <w:p>
      <w:pPr>
        <w:pStyle w:val="ListBullet"/>
        <w:spacing w:after="50" w:line="259" w:lineRule="auto"/>
        <w:ind w:left="317" w:hanging="173"/>
      </w:pPr>
      <w:r>
        <w:rPr>
          <w:rFonts w:ascii="Noto Sans" w:hAnsi="Noto Sans" w:eastAsia="Noto Sans" w:cs="Noto Sans"/>
          <w:color w:val="111111"/>
          <w:sz w:val="18"/>
        </w:rPr>
        <w:t>Study the commuting dual vector fields X_i = sum_j B_ij(q) partial_j satisfying X_i(F_k) = delta_ik.</w:t>
      </w:r>
    </w:p>
    <w:p>
      <w:pPr>
        <w:pStyle w:val="ListBullet"/>
        <w:spacing w:after="50" w:line="259" w:lineRule="auto"/>
        <w:ind w:left="317" w:hanging="173"/>
      </w:pPr>
      <w:r>
        <w:rPr>
          <w:rFonts w:ascii="Noto Sans" w:hAnsi="Noto Sans" w:eastAsia="Noto Sans" w:cs="Noto Sans"/>
          <w:color w:val="111111"/>
          <w:sz w:val="18"/>
        </w:rPr>
        <w:t>Test the conjecture that global completeness of all X_i would force F to be a global coordinate system; identify explicit incomplete trajectories or prove a sharper obstruction.</w:t>
      </w:r>
    </w:p>
    <w:p>
      <w:pPr>
        <w:pStyle w:val="ListBullet"/>
        <w:spacing w:after="50" w:line="259" w:lineRule="auto"/>
        <w:ind w:left="317" w:hanging="173"/>
      </w:pPr>
      <w:r>
        <w:rPr>
          <w:rFonts w:ascii="Noto Sans" w:hAnsi="Noto Sans" w:eastAsia="Noto Sans" w:cs="Noto Sans"/>
          <w:color w:val="111111"/>
          <w:sz w:val="18"/>
        </w:rPr>
        <w:t>Analyze the cotangent map as a nonproper local symplectic covering/correspondence and classify its Lagrangian graph.</w:t>
      </w:r>
    </w:p>
    <w:p>
      <w:pPr>
        <w:pStyle w:val="ListBullet"/>
        <w:spacing w:after="50" w:line="259" w:lineRule="auto"/>
        <w:ind w:left="317" w:hanging="173"/>
      </w:pPr>
      <w:r>
        <w:rPr>
          <w:rFonts w:ascii="Noto Sans" w:hAnsi="Noto Sans" w:eastAsia="Noto Sans" w:cs="Noto Sans"/>
          <w:color w:val="111111"/>
          <w:sz w:val="18"/>
        </w:rPr>
        <w:t>Deliverable D3: geometry and dynamics paper with certified trajectory/asymptotic data.</w:t>
      </w:r>
    </w:p>
    <w:p>
      <w:pPr>
        <w:pStyle w:val="Heading2"/>
        <w:keepNext/>
        <w:spacing w:before="140" w:after="100" w:line="240" w:lineRule="auto"/>
      </w:pPr>
      <w:r>
        <w:rPr>
          <w:rFonts w:ascii="Lato" w:hAnsi="Lato" w:eastAsia="Lato" w:cs="Lato"/>
          <w:b/>
          <w:color w:val="0B7D86"/>
          <w:sz w:val="22"/>
        </w:rPr>
        <w:t xml:space="preserve">4.6  </w:t>
      </w:r>
      <w:r>
        <w:rPr>
          <w:rFonts w:ascii="Lato" w:hAnsi="Lato" w:eastAsia="Lato" w:cs="Lato"/>
          <w:b/>
          <w:color w:val="17324D"/>
          <w:sz w:val="24"/>
        </w:rPr>
        <w:t>WP3 - Operator domains and self-adjointness</w:t>
      </w:r>
    </w:p>
    <w:p>
      <w:pPr>
        <w:pStyle w:val="ListBullet"/>
        <w:spacing w:after="50" w:line="259" w:lineRule="auto"/>
        <w:ind w:left="317" w:hanging="173"/>
      </w:pPr>
      <w:r>
        <w:rPr>
          <w:rFonts w:ascii="Noto Sans" w:hAnsi="Noto Sans" w:eastAsia="Noto Sans" w:cs="Noto Sans"/>
          <w:color w:val="111111"/>
          <w:sz w:val="18"/>
        </w:rPr>
        <w:t>Represent q_i by multiplication and p_i by -i hbar partial_i on S(R^3), then prove invariance of a common dense core.</w:t>
      </w:r>
    </w:p>
    <w:p>
      <w:pPr>
        <w:pStyle w:val="ListBullet"/>
        <w:spacing w:after="50" w:line="259" w:lineRule="auto"/>
        <w:ind w:left="317" w:hanging="173"/>
      </w:pPr>
      <w:r>
        <w:rPr>
          <w:rFonts w:ascii="Noto Sans" w:hAnsi="Noto Sans" w:eastAsia="Noto Sans" w:cs="Noto Sans"/>
          <w:color w:val="111111"/>
          <w:sz w:val="18"/>
        </w:rPr>
        <w:t>Establish formal symmetry using div B, and compute closures, adjoints, deficiency spaces, and boundary conditions at escape directions.</w:t>
      </w:r>
    </w:p>
    <w:p>
      <w:pPr>
        <w:pStyle w:val="ListBullet"/>
        <w:spacing w:after="50" w:line="259" w:lineRule="auto"/>
        <w:ind w:left="317" w:hanging="173"/>
      </w:pPr>
      <w:r>
        <w:rPr>
          <w:rFonts w:ascii="Noto Sans" w:hAnsi="Noto Sans" w:eastAsia="Noto Sans" w:cs="Noto Sans"/>
          <w:color w:val="111111"/>
          <w:sz w:val="18"/>
        </w:rPr>
        <w:t>Determine whether transformed generators are essentially self-adjoint and whether their closures strongly commute.</w:t>
      </w:r>
    </w:p>
    <w:p>
      <w:pPr>
        <w:pStyle w:val="ListBullet"/>
        <w:spacing w:after="50" w:line="259" w:lineRule="auto"/>
        <w:ind w:left="317" w:hanging="173"/>
      </w:pPr>
      <w:r>
        <w:rPr>
          <w:rFonts w:ascii="Noto Sans" w:hAnsi="Noto Sans" w:eastAsia="Noto Sans" w:cs="Noto Sans"/>
          <w:color w:val="111111"/>
          <w:sz w:val="18"/>
        </w:rPr>
        <w:t>Test exponentiated Weyl relations rather than relying only on polynomial commutators.</w:t>
      </w:r>
    </w:p>
    <w:p>
      <w:pPr>
        <w:pStyle w:val="ListBullet"/>
        <w:spacing w:after="50" w:line="259" w:lineRule="auto"/>
        <w:ind w:left="317" w:hanging="173"/>
      </w:pPr>
      <w:r>
        <w:rPr>
          <w:rFonts w:ascii="Noto Sans" w:hAnsi="Noto Sans" w:eastAsia="Noto Sans" w:cs="Noto Sans"/>
          <w:color w:val="111111"/>
          <w:sz w:val="18"/>
        </w:rPr>
        <w:t>Study joint spectral multiplicity of Q = F(q), transformed oscillator Hamiltonians, and whether polynomial noninvertibility persists after functional-calculus completion.</w:t>
      </w:r>
    </w:p>
    <w:p>
      <w:pPr>
        <w:pStyle w:val="ListBullet"/>
        <w:spacing w:after="50" w:line="259" w:lineRule="auto"/>
        <w:ind w:left="317" w:hanging="173"/>
      </w:pPr>
      <w:r>
        <w:rPr>
          <w:rFonts w:ascii="Noto Sans" w:hAnsi="Noto Sans" w:eastAsia="Noto Sans" w:cs="Noto Sans"/>
          <w:color w:val="111111"/>
          <w:sz w:val="18"/>
        </w:rPr>
        <w:t>Deliverable D4: operator-theory classification, including a decisive no-go theorem if the natural representation fails.</w:t>
      </w:r>
    </w:p>
    <w:p>
      <w:pPr>
        <w:pStyle w:val="Heading2"/>
        <w:keepNext/>
        <w:spacing w:before="140" w:after="100" w:line="240" w:lineRule="auto"/>
      </w:pPr>
      <w:r>
        <w:rPr>
          <w:rFonts w:ascii="Lato" w:hAnsi="Lato" w:eastAsia="Lato" w:cs="Lato"/>
          <w:b/>
          <w:color w:val="0B7D86"/>
          <w:sz w:val="22"/>
        </w:rPr>
        <w:t xml:space="preserve">4.7  </w:t>
      </w:r>
      <w:r>
        <w:rPr>
          <w:rFonts w:ascii="Lato" w:hAnsi="Lato" w:eastAsia="Lato" w:cs="Lato"/>
          <w:b/>
          <w:color w:val="17324D"/>
          <w:sz w:val="24"/>
        </w:rPr>
        <w:t>WP4 - C*-algebras, positivity, and dilations</w:t>
      </w:r>
    </w:p>
    <w:p>
      <w:pPr>
        <w:pStyle w:val="ListBullet"/>
        <w:spacing w:after="50" w:line="259" w:lineRule="auto"/>
        <w:ind w:left="317" w:hanging="173"/>
      </w:pPr>
      <w:r>
        <w:rPr>
          <w:rFonts w:ascii="Noto Sans" w:hAnsi="Noto Sans" w:eastAsia="Noto Sans" w:cs="Noto Sans"/>
          <w:color w:val="111111"/>
          <w:sz w:val="18"/>
        </w:rPr>
        <w:t xml:space="preserve">Test extension to the Weyl CCR algebra and to the resolvent algebra, which is designed to include bounded functions of unbounded canonical observables. [9] </w:t>
      </w:r>
    </w:p>
    <w:p>
      <w:pPr>
        <w:pStyle w:val="ListBullet"/>
        <w:spacing w:after="50" w:line="259" w:lineRule="auto"/>
        <w:ind w:left="317" w:hanging="173"/>
      </w:pPr>
      <w:r>
        <w:rPr>
          <w:rFonts w:ascii="Noto Sans" w:hAnsi="Noto Sans" w:eastAsia="Noto Sans" w:cs="Noto Sans"/>
          <w:color w:val="111111"/>
          <w:sz w:val="18"/>
        </w:rPr>
        <w:t>Check norm continuity, regularity, normality, preservation of ideals, and behavior under representations.</w:t>
      </w:r>
    </w:p>
    <w:p>
      <w:pPr>
        <w:pStyle w:val="ListBullet"/>
        <w:spacing w:after="50" w:line="259" w:lineRule="auto"/>
        <w:ind w:left="317" w:hanging="173"/>
      </w:pPr>
      <w:r>
        <w:rPr>
          <w:rFonts w:ascii="Noto Sans" w:hAnsi="Noto Sans" w:eastAsia="Noto Sans" w:cs="Noto Sans"/>
          <w:color w:val="111111"/>
          <w:sz w:val="18"/>
        </w:rPr>
        <w:t>If an extension is linear and unital, test positivity and complete positivity at matrix levels.</w:t>
      </w:r>
    </w:p>
    <w:p>
      <w:pPr>
        <w:pStyle w:val="ListBullet"/>
        <w:spacing w:after="50" w:line="259" w:lineRule="auto"/>
        <w:ind w:left="317" w:hanging="173"/>
      </w:pPr>
      <w:r>
        <w:rPr>
          <w:rFonts w:ascii="Noto Sans" w:hAnsi="Noto Sans" w:eastAsia="Noto Sans" w:cs="Noto Sans"/>
          <w:color w:val="111111"/>
          <w:sz w:val="18"/>
        </w:rPr>
        <w:t xml:space="preserve">Search for Stinespring, Cuntz-family, Hilbert-module, or correspondence implementations; distinguish multiplicative endomorphisms from general quantum channels. [8] </w:t>
      </w:r>
    </w:p>
    <w:p>
      <w:pPr>
        <w:pStyle w:val="ListBullet"/>
        <w:spacing w:after="50" w:line="259" w:lineRule="auto"/>
        <w:ind w:left="317" w:hanging="173"/>
      </w:pPr>
      <w:r>
        <w:rPr>
          <w:rFonts w:ascii="Noto Sans" w:hAnsi="Noto Sans" w:eastAsia="Noto Sans" w:cs="Noto Sans"/>
          <w:color w:val="111111"/>
          <w:sz w:val="18"/>
        </w:rPr>
        <w:t>Deliverable D5: extension theorem, obstruction theorem, or explicit dilation model.</w:t>
      </w:r>
    </w:p>
    <w:p>
      <w:pPr>
        <w:pStyle w:val="Heading2"/>
        <w:keepNext/>
        <w:spacing w:before="140" w:after="100" w:line="240" w:lineRule="auto"/>
      </w:pPr>
      <w:r>
        <w:rPr>
          <w:rFonts w:ascii="Lato" w:hAnsi="Lato" w:eastAsia="Lato" w:cs="Lato"/>
          <w:b/>
          <w:color w:val="0B7D86"/>
          <w:sz w:val="22"/>
        </w:rPr>
        <w:t xml:space="preserve">4.8  </w:t>
      </w:r>
      <w:r>
        <w:rPr>
          <w:rFonts w:ascii="Lato" w:hAnsi="Lato" w:eastAsia="Lato" w:cs="Lato"/>
          <w:b/>
          <w:color w:val="17324D"/>
          <w:sz w:val="24"/>
        </w:rPr>
        <w:t>WP5 - Continuous-variable quantum information</w:t>
      </w:r>
    </w:p>
    <w:p>
      <w:pPr>
        <w:pStyle w:val="ListBullet"/>
        <w:spacing w:after="50" w:line="259" w:lineRule="auto"/>
        <w:ind w:left="317" w:hanging="173"/>
      </w:pPr>
      <w:r>
        <w:rPr>
          <w:rFonts w:ascii="Noto Sans" w:hAnsi="Noto Sans" w:eastAsia="Noto Sans" w:cs="Noto Sans"/>
          <w:color w:val="111111"/>
          <w:sz w:val="18"/>
        </w:rPr>
        <w:t>Compare the candidate with known nonlinear unitary automorphisms such as cubic-phase transformations; isolate the genuinely new role of non-surjectivity.</w:t>
      </w:r>
    </w:p>
    <w:p>
      <w:pPr>
        <w:pStyle w:val="ListBullet"/>
        <w:spacing w:after="50" w:line="259" w:lineRule="auto"/>
        <w:ind w:left="317" w:hanging="173"/>
      </w:pPr>
      <w:r>
        <w:rPr>
          <w:rFonts w:ascii="Noto Sans" w:hAnsi="Noto Sans" w:eastAsia="Noto Sans" w:cs="Noto Sans"/>
          <w:color w:val="111111"/>
          <w:sz w:val="18"/>
        </w:rPr>
        <w:t>Explore whether the proper image algebra defines a bosonic subsystem, code subalgebra, information-forgetting channel, or sector decomposition.</w:t>
      </w:r>
    </w:p>
    <w:p>
      <w:pPr>
        <w:pStyle w:val="ListBullet"/>
        <w:spacing w:after="50" w:line="259" w:lineRule="auto"/>
        <w:ind w:left="317" w:hanging="173"/>
      </w:pPr>
      <w:r>
        <w:rPr>
          <w:rFonts w:ascii="Noto Sans" w:hAnsi="Noto Sans" w:eastAsia="Noto Sans" w:cs="Noto Sans"/>
          <w:color w:val="111111"/>
          <w:sz w:val="18"/>
        </w:rPr>
        <w:t>Construct finite-energy and finite-dimensional approximants only after a valid infinite-dimensional model exists; report convergence and error norms explicitly.</w:t>
      </w:r>
    </w:p>
    <w:p>
      <w:pPr>
        <w:pStyle w:val="ListBullet"/>
        <w:spacing w:after="50" w:line="259" w:lineRule="auto"/>
        <w:ind w:left="317" w:hanging="173"/>
      </w:pPr>
      <w:r>
        <w:rPr>
          <w:rFonts w:ascii="Noto Sans" w:hAnsi="Noto Sans" w:eastAsia="Noto Sans" w:cs="Noto Sans"/>
          <w:color w:val="111111"/>
          <w:sz w:val="18"/>
        </w:rPr>
        <w:t>Evaluate operational resources, noise sensitivity, reversibility costs, and whether inaccessible observables correspond to information loss or merely algebraic incompleteness.</w:t>
      </w:r>
    </w:p>
    <w:p>
      <w:pPr>
        <w:pStyle w:val="ListBullet"/>
        <w:spacing w:after="50" w:line="259" w:lineRule="auto"/>
        <w:ind w:left="317" w:hanging="173"/>
      </w:pPr>
      <w:r>
        <w:rPr>
          <w:rFonts w:ascii="Noto Sans" w:hAnsi="Noto Sans" w:eastAsia="Noto Sans" w:cs="Noto Sans"/>
          <w:color w:val="111111"/>
          <w:sz w:val="18"/>
        </w:rPr>
        <w:t>Deliverable D6: protocol/no-go paper and reproducible simulation notebooks.</w:t>
      </w:r>
    </w:p>
    <w:p>
      <w:pPr>
        <w:pStyle w:val="Heading2"/>
        <w:keepNext/>
        <w:spacing w:before="140" w:after="100" w:line="240" w:lineRule="auto"/>
      </w:pPr>
      <w:r>
        <w:rPr>
          <w:rFonts w:ascii="Lato" w:hAnsi="Lato" w:eastAsia="Lato" w:cs="Lato"/>
          <w:b/>
          <w:color w:val="0B7D86"/>
          <w:sz w:val="22"/>
        </w:rPr>
        <w:t xml:space="preserve">4.9  </w:t>
      </w:r>
      <w:r>
        <w:rPr>
          <w:rFonts w:ascii="Lato" w:hAnsi="Lato" w:eastAsia="Lato" w:cs="Lato"/>
          <w:b/>
          <w:color w:val="17324D"/>
          <w:sz w:val="24"/>
        </w:rPr>
        <w:t>WP6 - Generalization and synthesis</w:t>
      </w:r>
    </w:p>
    <w:p>
      <w:pPr>
        <w:pStyle w:val="ListBullet"/>
        <w:spacing w:after="50" w:line="259" w:lineRule="auto"/>
        <w:ind w:left="317" w:hanging="173"/>
      </w:pPr>
      <w:r>
        <w:rPr>
          <w:rFonts w:ascii="Noto Sans" w:hAnsi="Noto Sans" w:eastAsia="Noto Sans" w:cs="Noto Sans"/>
          <w:color w:val="111111"/>
          <w:sz w:val="18"/>
        </w:rPr>
        <w:t>Extract criteria applying to a class of noninjective Keller maps rather than only the anchor example.</w:t>
      </w:r>
    </w:p>
    <w:p>
      <w:pPr>
        <w:pStyle w:val="ListBullet"/>
        <w:spacing w:after="50" w:line="259" w:lineRule="auto"/>
        <w:ind w:left="317" w:hanging="173"/>
      </w:pPr>
      <w:r>
        <w:rPr>
          <w:rFonts w:ascii="Noto Sans" w:hAnsi="Noto Sans" w:eastAsia="Noto Sans" w:cs="Noto Sans"/>
          <w:color w:val="111111"/>
          <w:sz w:val="18"/>
        </w:rPr>
        <w:t>Create a benchmark suite for polynomial canonical endomorphisms, domains, and completions.</w:t>
      </w:r>
    </w:p>
    <w:p>
      <w:pPr>
        <w:pStyle w:val="ListBullet"/>
        <w:spacing w:after="50" w:line="259" w:lineRule="auto"/>
        <w:ind w:left="317" w:hanging="173"/>
      </w:pPr>
      <w:r>
        <w:rPr>
          <w:rFonts w:ascii="Noto Sans" w:hAnsi="Noto Sans" w:eastAsia="Noto Sans" w:cs="Noto Sans"/>
          <w:color w:val="111111"/>
          <w:sz w:val="18"/>
        </w:rPr>
        <w:t>Convene an external workshop spanning algebraic geometry, operator algebras, and continuous-variable quantum information.</w:t>
      </w:r>
    </w:p>
    <w:p>
      <w:pPr>
        <w:pStyle w:val="ListBullet"/>
        <w:spacing w:after="50" w:line="259" w:lineRule="auto"/>
        <w:ind w:left="317" w:hanging="173"/>
      </w:pPr>
      <w:r>
        <w:rPr>
          <w:rFonts w:ascii="Noto Sans" w:hAnsi="Noto Sans" w:eastAsia="Noto Sans" w:cs="Noto Sans"/>
          <w:color w:val="111111"/>
          <w:sz w:val="18"/>
        </w:rPr>
        <w:t>Deliverables D7-D8: final monograph, open benchmark release, and follow-on research roadmap.</w:t>
      </w:r>
    </w:p>
    <w:p>
      <w:pPr>
        <w:pStyle w:val="Heading1"/>
        <w:keepNext/>
        <w:spacing w:before="240" w:after="100" w:line="240" w:lineRule="auto"/>
      </w:pPr>
      <w:r>
        <w:rPr>
          <w:rFonts w:ascii="Lato" w:hAnsi="Lato" w:eastAsia="Lato" w:cs="Lato"/>
          <w:b/>
          <w:color w:val="0B7D86"/>
          <w:sz w:val="26"/>
        </w:rPr>
        <w:t xml:space="preserve">5  </w:t>
      </w:r>
      <w:r>
        <w:rPr>
          <w:rFonts w:ascii="Lato" w:hAnsi="Lato" w:eastAsia="Lato" w:cs="Lato"/>
          <w:b/>
          <w:color w:val="17324D"/>
          <w:sz w:val="30"/>
        </w:rPr>
        <w:t>Schedule, milestones, and decision gates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5"/>
              </w:rPr>
              <w:t>Gate</w:t>
            </w:r>
          </w:p>
        </w:tc>
        <w:tc>
          <w:tcPr>
            <w:tcW w:type="dxa" w:w="1080"/>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5"/>
              </w:rPr>
              <w:t>Timing</w:t>
            </w:r>
          </w:p>
        </w:tc>
        <w:tc>
          <w:tcPr>
            <w:tcW w:type="dxa" w:w="2304"/>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5"/>
              </w:rPr>
              <w:t>Decision</w:t>
            </w:r>
          </w:p>
        </w:tc>
        <w:tc>
          <w:tcPr>
            <w:tcW w:type="dxa" w:w="5904"/>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5"/>
              </w:rPr>
              <w:t>Acceptance evidence</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G0</w:t>
            </w:r>
          </w:p>
        </w:tc>
        <w:tc>
          <w:tcPr>
            <w:tcW w:type="dxa" w:w="1080"/>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End M1</w:t>
            </w:r>
          </w:p>
        </w:tc>
        <w:tc>
          <w:tcPr>
            <w:tcW w:type="dxa" w:w="2304"/>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Anchor validated</w:t>
            </w:r>
          </w:p>
        </w:tc>
        <w:tc>
          <w:tcPr>
            <w:tcW w:type="dxa" w:w="5904"/>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Two independent exact CAS checks; compact human proof; Lean build reproduced; canonical data release signed.</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G1</w:t>
            </w:r>
          </w:p>
        </w:tc>
        <w:tc>
          <w:tcPr>
            <w:tcW w:type="dxa" w:w="1080"/>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End M4</w:t>
            </w:r>
          </w:p>
        </w:tc>
        <w:tc>
          <w:tcPr>
            <w:tcW w:type="dxa" w:w="2304"/>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Algebraic lift established</w:t>
            </w:r>
          </w:p>
        </w:tc>
        <w:tc>
          <w:tcPr>
            <w:tcW w:type="dxa" w:w="5904"/>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Explicit Poisson endomorphism proven proper; Weyl candidate and commutators certified; properness proof plan closed.</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G2</w:t>
            </w:r>
          </w:p>
        </w:tc>
        <w:tc>
          <w:tcPr>
            <w:tcW w:type="dxa" w:w="1080"/>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End M9</w:t>
            </w:r>
          </w:p>
        </w:tc>
        <w:tc>
          <w:tcPr>
            <w:tcW w:type="dxa" w:w="2304"/>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Analytic mechanism identified</w:t>
            </w:r>
          </w:p>
        </w:tc>
        <w:tc>
          <w:tcPr>
            <w:tcW w:type="dxa" w:w="5904"/>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Real/asymptotic geometry characterized; common core and formal adjoints proved; at least one decisive flow or self-adjointness theorem.</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G3</w:t>
            </w:r>
          </w:p>
        </w:tc>
        <w:tc>
          <w:tcPr>
            <w:tcW w:type="dxa" w:w="1080"/>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End M14</w:t>
            </w:r>
          </w:p>
        </w:tc>
        <w:tc>
          <w:tcPr>
            <w:tcW w:type="dxa" w:w="2304"/>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Completion verdict</w:t>
            </w:r>
          </w:p>
        </w:tc>
        <w:tc>
          <w:tcPr>
            <w:tcW w:type="dxa" w:w="5904"/>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Existence or nonexistence theorem for a selected CCR/resolvent/C*-extension; positivity and regularity status documented.</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G4</w:t>
            </w:r>
          </w:p>
        </w:tc>
        <w:tc>
          <w:tcPr>
            <w:tcW w:type="dxa" w:w="1080"/>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End M20</w:t>
            </w:r>
          </w:p>
        </w:tc>
        <w:tc>
          <w:tcPr>
            <w:tcW w:type="dxa" w:w="2304"/>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Operational relevance verdict</w:t>
            </w:r>
          </w:p>
        </w:tc>
        <w:tc>
          <w:tcPr>
            <w:tcW w:type="dxa" w:w="5904"/>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A valid subsystem/channel/protocol model or a rigorous no-go result excluding the proposed operational classes.</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G5</w:t>
            </w:r>
          </w:p>
        </w:tc>
        <w:tc>
          <w:tcPr>
            <w:tcW w:type="dxa" w:w="1080"/>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End M24</w:t>
            </w:r>
          </w:p>
        </w:tc>
        <w:tc>
          <w:tcPr>
            <w:tcW w:type="dxa" w:w="2304"/>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Program close</w:t>
            </w:r>
          </w:p>
        </w:tc>
        <w:tc>
          <w:tcPr>
            <w:tcW w:type="dxa" w:w="5904"/>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Generalization, independent external review, open artifacts, final monograph, and decision on follow-on program.</w:t>
            </w:r>
          </w:p>
        </w:tc>
      </w:tr>
    </w:tbl>
    <w:p>
      <w:pPr>
        <w:spacing w:after="0"/>
      </w:pPr>
    </w:p>
    <w:p>
      <w:pPr>
        <w:pStyle w:val="Heading2"/>
        <w:keepNext/>
        <w:spacing w:before="140" w:after="100" w:line="240" w:lineRule="auto"/>
      </w:pPr>
      <w:r>
        <w:rPr>
          <w:rFonts w:ascii="Lato" w:hAnsi="Lato" w:eastAsia="Lato" w:cs="Lato"/>
          <w:b/>
          <w:color w:val="0B7D86"/>
          <w:sz w:val="22"/>
        </w:rPr>
        <w:t xml:space="preserve">5.1  </w:t>
      </w:r>
      <w:r>
        <w:rPr>
          <w:rFonts w:ascii="Lato" w:hAnsi="Lato" w:eastAsia="Lato" w:cs="Lato"/>
          <w:b/>
          <w:color w:val="17324D"/>
          <w:sz w:val="24"/>
        </w:rPr>
        <w:t>Pivot and stop rules</w:t>
      </w:r>
    </w:p>
    <w:p>
      <w:pPr>
        <w:pStyle w:val="ListBullet"/>
        <w:spacing w:after="50" w:line="259" w:lineRule="auto"/>
        <w:ind w:left="317" w:hanging="173"/>
      </w:pPr>
      <w:r>
        <w:rPr>
          <w:rFonts w:ascii="Noto Sans" w:hAnsi="Noto Sans" w:eastAsia="Noto Sans" w:cs="Noto Sans"/>
          <w:color w:val="111111"/>
          <w:sz w:val="18"/>
        </w:rPr>
        <w:t>If G0 fails because the anchor formula or public formalization changes, freeze the discrepancy report and restart only from a corrected, independently verified map.</w:t>
      </w:r>
    </w:p>
    <w:p>
      <w:pPr>
        <w:pStyle w:val="ListBullet"/>
        <w:spacing w:after="50" w:line="259" w:lineRule="auto"/>
        <w:ind w:left="317" w:hanging="173"/>
      </w:pPr>
      <w:r>
        <w:rPr>
          <w:rFonts w:ascii="Noto Sans" w:hAnsi="Noto Sans" w:eastAsia="Noto Sans" w:cs="Noto Sans"/>
          <w:color w:val="111111"/>
          <w:sz w:val="18"/>
        </w:rPr>
        <w:t>If a direct Weyl counterexample cannot be constructed at the expected rank, retain the Poisson workstream and use established stable-equivalence machinery as a separate, explicitly dimensioned route.</w:t>
      </w:r>
    </w:p>
    <w:p>
      <w:pPr>
        <w:pStyle w:val="ListBullet"/>
        <w:spacing w:after="50" w:line="259" w:lineRule="auto"/>
        <w:ind w:left="317" w:hanging="173"/>
      </w:pPr>
      <w:r>
        <w:rPr>
          <w:rFonts w:ascii="Noto Sans" w:hAnsi="Noto Sans" w:eastAsia="Noto Sans" w:cs="Noto Sans"/>
          <w:color w:val="111111"/>
          <w:sz w:val="18"/>
        </w:rPr>
        <w:t>If essential self-adjointness fails, pivot from implementation claims to classification of extensions and boundary conditions; this is a primary scientific result, not project failure.</w:t>
      </w:r>
    </w:p>
    <w:p>
      <w:pPr>
        <w:pStyle w:val="ListBullet"/>
        <w:spacing w:after="50" w:line="259" w:lineRule="auto"/>
        <w:ind w:left="317" w:hanging="173"/>
      </w:pPr>
      <w:r>
        <w:rPr>
          <w:rFonts w:ascii="Noto Sans" w:hAnsi="Noto Sans" w:eastAsia="Noto Sans" w:cs="Noto Sans"/>
          <w:color w:val="111111"/>
          <w:sz w:val="18"/>
        </w:rPr>
        <w:t>If no C*- or CP extension exists in the selected categories, stop protocol engineering and publish the obstruction theorem before exploring alternative algebras or nonregular representations.</w:t>
      </w:r>
    </w:p>
    <w:p>
      <w:pPr>
        <w:pStyle w:val="ListBullet"/>
        <w:spacing w:after="50" w:line="259" w:lineRule="auto"/>
        <w:ind w:left="317" w:hanging="173"/>
      </w:pPr>
      <w:r>
        <w:rPr>
          <w:rFonts w:ascii="Noto Sans" w:hAnsi="Noto Sans" w:eastAsia="Noto Sans" w:cs="Noto Sans"/>
          <w:color w:val="111111"/>
          <w:sz w:val="18"/>
        </w:rPr>
        <w:t>No experimental engagement is authorized before G3 and no quantum-advantage claim is authorized before G4.</w:t>
      </w:r>
    </w:p>
    <w:p>
      <w:pPr>
        <w:pStyle w:val="Heading2"/>
        <w:keepNext/>
        <w:spacing w:before="140" w:after="100" w:line="240" w:lineRule="auto"/>
      </w:pPr>
      <w:r>
        <w:rPr>
          <w:rFonts w:ascii="Lato" w:hAnsi="Lato" w:eastAsia="Lato" w:cs="Lato"/>
          <w:b/>
          <w:color w:val="0B7D86"/>
          <w:sz w:val="22"/>
        </w:rPr>
        <w:t xml:space="preserve">5.2  </w:t>
      </w:r>
      <w:r>
        <w:rPr>
          <w:rFonts w:ascii="Lato" w:hAnsi="Lato" w:eastAsia="Lato" w:cs="Lato"/>
          <w:b/>
          <w:color w:val="17324D"/>
          <w:sz w:val="24"/>
        </w:rPr>
        <w:t>Milestone deliverables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6"/>
              </w:rPr>
              <w:t>ID</w:t>
            </w:r>
          </w:p>
        </w:tc>
        <w:tc>
          <w:tcPr>
            <w:tcW w:type="dxa" w:w="8136"/>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6"/>
              </w:rPr>
              <w:t>Deliverable</w:t>
            </w:r>
          </w:p>
        </w:tc>
        <w:tc>
          <w:tcPr>
            <w:tcW w:type="dxa" w:w="1152"/>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6"/>
              </w:rPr>
              <w:t>Due</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D0</w:t>
            </w:r>
          </w:p>
        </w:tc>
        <w:tc>
          <w:tcPr>
            <w:tcW w:type="dxa" w:w="813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Validation dossier, proof-assistant build, and canonical map data</w:t>
            </w:r>
          </w:p>
        </w:tc>
        <w:tc>
          <w:tcPr>
            <w:tcW w:type="dxa" w:w="115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M1</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D1</w:t>
            </w:r>
          </w:p>
        </w:tc>
        <w:tc>
          <w:tcPr>
            <w:tcW w:type="dxa" w:w="813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Poisson endomorphism theorem and formal certificate</w:t>
            </w:r>
          </w:p>
        </w:tc>
        <w:tc>
          <w:tcPr>
            <w:tcW w:type="dxa" w:w="115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M3</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D2</w:t>
            </w:r>
          </w:p>
        </w:tc>
        <w:tc>
          <w:tcPr>
            <w:tcW w:type="dxa" w:w="813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Weyl endomorphism construction and symbolic library</w:t>
            </w:r>
          </w:p>
        </w:tc>
        <w:tc>
          <w:tcPr>
            <w:tcW w:type="dxa" w:w="115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M5</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D3</w:t>
            </w:r>
          </w:p>
        </w:tc>
        <w:tc>
          <w:tcPr>
            <w:tcW w:type="dxa" w:w="813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Geometry, asymptotic behavior, and vector-field completeness study</w:t>
            </w:r>
          </w:p>
        </w:tc>
        <w:tc>
          <w:tcPr>
            <w:tcW w:type="dxa" w:w="115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M9</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D4</w:t>
            </w:r>
          </w:p>
        </w:tc>
        <w:tc>
          <w:tcPr>
            <w:tcW w:type="dxa" w:w="813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Unbounded-operator and self-adjointness classification</w:t>
            </w:r>
          </w:p>
        </w:tc>
        <w:tc>
          <w:tcPr>
            <w:tcW w:type="dxa" w:w="115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M12</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D5</w:t>
            </w:r>
          </w:p>
        </w:tc>
        <w:tc>
          <w:tcPr>
            <w:tcW w:type="dxa" w:w="813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C*-extension / positivity / dilation theorem or no-go result</w:t>
            </w:r>
          </w:p>
        </w:tc>
        <w:tc>
          <w:tcPr>
            <w:tcW w:type="dxa" w:w="115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M16</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D6</w:t>
            </w:r>
          </w:p>
        </w:tc>
        <w:tc>
          <w:tcPr>
            <w:tcW w:type="dxa" w:w="813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Continuous-variable operational assessment</w:t>
            </w:r>
          </w:p>
        </w:tc>
        <w:tc>
          <w:tcPr>
            <w:tcW w:type="dxa" w:w="115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M21</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D7</w:t>
            </w:r>
          </w:p>
        </w:tc>
        <w:tc>
          <w:tcPr>
            <w:tcW w:type="dxa" w:w="813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Open benchmark suite and reproducibility archive</w:t>
            </w:r>
          </w:p>
        </w:tc>
        <w:tc>
          <w:tcPr>
            <w:tcW w:type="dxa" w:w="115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M22</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D8</w:t>
            </w:r>
          </w:p>
        </w:tc>
        <w:tc>
          <w:tcPr>
            <w:tcW w:type="dxa" w:w="813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Final monograph and follow-on roadmap</w:t>
            </w:r>
          </w:p>
        </w:tc>
        <w:tc>
          <w:tcPr>
            <w:tcW w:type="dxa" w:w="115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M24</w:t>
            </w:r>
          </w:p>
        </w:tc>
      </w:tr>
    </w:tbl>
    <w:p>
      <w:pPr>
        <w:spacing w:after="0"/>
      </w:pPr>
    </w:p>
    <w:p>
      <w:pPr>
        <w:pStyle w:val="Heading1"/>
        <w:keepNext/>
        <w:spacing w:before="240" w:after="100" w:line="240" w:lineRule="auto"/>
      </w:pPr>
      <w:r>
        <w:rPr>
          <w:rFonts w:ascii="Lato" w:hAnsi="Lato" w:eastAsia="Lato" w:cs="Lato"/>
          <w:b/>
          <w:color w:val="0B7D86"/>
          <w:sz w:val="26"/>
        </w:rPr>
        <w:t xml:space="preserve">6  </w:t>
      </w:r>
      <w:r>
        <w:rPr>
          <w:rFonts w:ascii="Lato" w:hAnsi="Lato" w:eastAsia="Lato" w:cs="Lato"/>
          <w:b/>
          <w:color w:val="17324D"/>
          <w:sz w:val="30"/>
        </w:rPr>
        <w:t>Methods, reproducibility, and research integrity</w:t>
      </w:r>
    </w:p>
    <w:p>
      <w:pPr>
        <w:pStyle w:val="Heading2"/>
        <w:keepNext/>
        <w:spacing w:before="140" w:after="100" w:line="240" w:lineRule="auto"/>
      </w:pPr>
      <w:r>
        <w:rPr>
          <w:rFonts w:ascii="Lato" w:hAnsi="Lato" w:eastAsia="Lato" w:cs="Lato"/>
          <w:b/>
          <w:color w:val="0B7D86"/>
          <w:sz w:val="22"/>
        </w:rPr>
        <w:t xml:space="preserve">6.1  </w:t>
      </w:r>
      <w:r>
        <w:rPr>
          <w:rFonts w:ascii="Lato" w:hAnsi="Lato" w:eastAsia="Lato" w:cs="Lato"/>
          <w:b/>
          <w:color w:val="17324D"/>
          <w:sz w:val="24"/>
        </w:rPr>
        <w:t>Methodological standards</w:t>
      </w:r>
    </w:p>
    <w:tbl>
      <w:tblPr>
        <w:tblW w:type="auto" w:w="0"/>
        <w:jc w:val="center"/>
        <w:tblLayout w:type="fixed"/>
        <w:tblLook w:firstColumn="1" w:firstRow="1" w:lastColumn="0" w:lastRow="0" w:noHBand="0" w:noVBand="1" w:val="04A0"/>
      </w:tblPr>
      <w:tblGrid>
        <w:gridCol w:w="5083"/>
        <w:gridCol w:w="5083"/>
      </w:tblGrid>
      <w:tr>
        <w:trPr>
          <w:cantSplit/>
        </w:trPr>
        <w:tc>
          <w:tcPr>
            <w:tcW w:type="dxa" w:w="237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Exact before numerical</w:t>
            </w:r>
          </w:p>
        </w:tc>
        <w:tc>
          <w:tcPr>
            <w:tcW w:type="dxa" w:w="770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All theorem-level claims use exact arithmetic, symbolic identities, certified bounds, or formal proof. Floating-point computation is used only for exploration and visualization.</w:t>
            </w:r>
          </w:p>
        </w:tc>
      </w:tr>
      <w:tr>
        <w:trPr>
          <w:cantSplit/>
        </w:trPr>
        <w:tc>
          <w:tcPr>
            <w:tcW w:type="dxa" w:w="237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Independent implementations</w:t>
            </w:r>
          </w:p>
        </w:tc>
        <w:tc>
          <w:tcPr>
            <w:tcW w:type="dxa" w:w="770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Critical identities are checked in at least two systems with independent code paths; outputs are compared in canonical normal form.</w:t>
            </w:r>
          </w:p>
        </w:tc>
      </w:tr>
      <w:tr>
        <w:trPr>
          <w:cantSplit/>
        </w:trPr>
        <w:tc>
          <w:tcPr>
            <w:tcW w:type="dxa" w:w="237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Common-domain discipline</w:t>
            </w:r>
          </w:p>
        </w:tc>
        <w:tc>
          <w:tcPr>
            <w:tcW w:type="dxa" w:w="770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Every operator claim states the Hilbert space, initial domain, closure, adjoint, and topology. Formal commutators are never presented as exponentiated CCR results.</w:t>
            </w:r>
          </w:p>
        </w:tc>
      </w:tr>
      <w:tr>
        <w:trPr>
          <w:cantSplit/>
        </w:trPr>
        <w:tc>
          <w:tcPr>
            <w:tcW w:type="dxa" w:w="237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Evidence-labelled claims</w:t>
            </w:r>
          </w:p>
        </w:tc>
        <w:tc>
          <w:tcPr>
            <w:tcW w:type="dxa" w:w="770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Public outputs label claims by the A-G evidence ladder and distinguish theorem, computation, conjecture, and physical interpretation.</w:t>
            </w:r>
          </w:p>
        </w:tc>
      </w:tr>
      <w:tr>
        <w:trPr>
          <w:cantSplit/>
        </w:trPr>
        <w:tc>
          <w:tcPr>
            <w:tcW w:type="dxa" w:w="237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Reproducible environments</w:t>
            </w:r>
          </w:p>
        </w:tc>
        <w:tc>
          <w:tcPr>
            <w:tcW w:type="dxa" w:w="770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Lean/mathlib, CAS, and simulation dependencies are pinned; continuous integration rebuilds proofs and exact computations from clean environments.</w:t>
            </w:r>
          </w:p>
        </w:tc>
      </w:tr>
      <w:tr>
        <w:trPr>
          <w:cantSplit/>
        </w:trPr>
        <w:tc>
          <w:tcPr>
            <w:tcW w:type="dxa" w:w="237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Human accountability for AI use</w:t>
            </w:r>
          </w:p>
        </w:tc>
        <w:tc>
          <w:tcPr>
            <w:tcW w:type="dxa" w:w="770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AI-assisted discovery or code generation is disclosed. Named researchers review, understand, and take responsibility for every released claim.</w:t>
            </w:r>
          </w:p>
        </w:tc>
      </w:tr>
    </w:tbl>
    <w:p>
      <w:pPr>
        <w:spacing w:after="0"/>
      </w:pPr>
    </w:p>
    <w:p>
      <w:pPr>
        <w:pStyle w:val="Heading2"/>
        <w:keepNext/>
        <w:spacing w:before="140" w:after="100" w:line="240" w:lineRule="auto"/>
      </w:pPr>
      <w:r>
        <w:rPr>
          <w:rFonts w:ascii="Lato" w:hAnsi="Lato" w:eastAsia="Lato" w:cs="Lato"/>
          <w:b/>
          <w:color w:val="0B7D86"/>
          <w:sz w:val="22"/>
        </w:rPr>
        <w:t xml:space="preserve">6.2  </w:t>
      </w:r>
      <w:r>
        <w:rPr>
          <w:rFonts w:ascii="Lato" w:hAnsi="Lato" w:eastAsia="Lato" w:cs="Lato"/>
          <w:b/>
          <w:color w:val="17324D"/>
          <w:sz w:val="24"/>
        </w:rPr>
        <w:t>Core toolchain</w:t>
      </w:r>
    </w:p>
    <w:p>
      <w:pPr>
        <w:pStyle w:val="ListBullet"/>
        <w:spacing w:after="50" w:line="259" w:lineRule="auto"/>
        <w:ind w:left="317" w:hanging="173"/>
      </w:pPr>
      <w:r>
        <w:rPr>
          <w:rFonts w:ascii="Noto Sans" w:hAnsi="Noto Sans" w:eastAsia="Noto Sans" w:cs="Noto Sans"/>
          <w:color w:val="111111"/>
          <w:sz w:val="18"/>
        </w:rPr>
        <w:t>Formal methods: Lean 4 and mathlib; optional cross-check in another proof assistant for selected identities.</w:t>
      </w:r>
    </w:p>
    <w:p>
      <w:pPr>
        <w:pStyle w:val="ListBullet"/>
        <w:spacing w:after="50" w:line="259" w:lineRule="auto"/>
        <w:ind w:left="317" w:hanging="173"/>
      </w:pPr>
      <w:r>
        <w:rPr>
          <w:rFonts w:ascii="Noto Sans" w:hAnsi="Noto Sans" w:eastAsia="Noto Sans" w:cs="Noto Sans"/>
          <w:color w:val="111111"/>
          <w:sz w:val="18"/>
        </w:rPr>
        <w:t>Exact algebra: SageMath, Singular, Macaulay2, SymPy, and one independent proprietary CAS where available.</w:t>
      </w:r>
    </w:p>
    <w:p>
      <w:pPr>
        <w:pStyle w:val="ListBullet"/>
        <w:spacing w:after="50" w:line="259" w:lineRule="auto"/>
        <w:ind w:left="317" w:hanging="173"/>
      </w:pPr>
      <w:r>
        <w:rPr>
          <w:rFonts w:ascii="Noto Sans" w:hAnsi="Noto Sans" w:eastAsia="Noto Sans" w:cs="Noto Sans"/>
          <w:color w:val="111111"/>
          <w:sz w:val="18"/>
        </w:rPr>
        <w:t>Operator numerics: interval arithmetic, sparse spectral discretization, validated ODE integration, and symbolic asymptotics.</w:t>
      </w:r>
    </w:p>
    <w:p>
      <w:pPr>
        <w:pStyle w:val="ListBullet"/>
        <w:spacing w:after="50" w:line="259" w:lineRule="auto"/>
        <w:ind w:left="317" w:hanging="173"/>
      </w:pPr>
      <w:r>
        <w:rPr>
          <w:rFonts w:ascii="Noto Sans" w:hAnsi="Noto Sans" w:eastAsia="Noto Sans" w:cs="Noto Sans"/>
          <w:color w:val="111111"/>
          <w:sz w:val="18"/>
        </w:rPr>
        <w:t>Software practices: version control, code review, reproducible containers, signed releases, archived hashes, and machine-readable metadata.</w:t>
      </w:r>
    </w:p>
    <w:p>
      <w:pPr>
        <w:pStyle w:val="ListBullet"/>
        <w:spacing w:after="50" w:line="259" w:lineRule="auto"/>
        <w:ind w:left="317" w:hanging="173"/>
      </w:pPr>
      <w:r>
        <w:rPr>
          <w:rFonts w:ascii="Noto Sans" w:hAnsi="Noto Sans" w:eastAsia="Noto Sans" w:cs="Noto Sans"/>
          <w:color w:val="111111"/>
          <w:sz w:val="18"/>
        </w:rPr>
        <w:t>Publication: preprints with executable appendices, proof objects, and a concise nontechnical claims summary.</w:t>
      </w:r>
    </w:p>
    <w:p>
      <w:pPr>
        <w:pStyle w:val="Heading2"/>
        <w:keepNext/>
        <w:spacing w:before="140" w:after="100" w:line="240" w:lineRule="auto"/>
      </w:pPr>
      <w:r>
        <w:rPr>
          <w:rFonts w:ascii="Lato" w:hAnsi="Lato" w:eastAsia="Lato" w:cs="Lato"/>
          <w:b/>
          <w:color w:val="0B7D86"/>
          <w:sz w:val="22"/>
        </w:rPr>
        <w:t xml:space="preserve">6.3  </w:t>
      </w:r>
      <w:r>
        <w:rPr>
          <w:rFonts w:ascii="Lato" w:hAnsi="Lato" w:eastAsia="Lato" w:cs="Lato"/>
          <w:b/>
          <w:color w:val="17324D"/>
          <w:sz w:val="24"/>
        </w:rPr>
        <w:t>Research integrity and communication controls</w:t>
      </w:r>
    </w:p>
    <w:tbl>
      <w:tblPr>
        <w:tblW w:type="auto" w:w="0"/>
        <w:jc w:val="center"/>
        <w:tblLayout w:type="fixed"/>
        <w:tblLook w:firstColumn="1" w:firstRow="1" w:lastColumn="0" w:lastRow="0" w:noHBand="0" w:noVBand="1" w:val="04A0"/>
      </w:tblPr>
      <w:tblGrid>
        <w:gridCol w:w="10166"/>
      </w:tblGrid>
      <w:tr>
        <w:tc>
          <w:tcPr>
            <w:tcW w:type="dxa" w:w="10080"/>
            <w:shd w:fill="F7E5E5" w:val="clear"/>
            <w:tcMar>
              <w:top w:w="130" w:type="dxa"/>
              <w:start w:w="170" w:type="dxa"/>
              <w:bottom w:w="130" w:type="dxa"/>
              <w:end w:w="170" w:type="dxa"/>
            </w:tcMar>
            <w:tcBorders>
              <w:top w:val="single" w:sz="10" w:color="A53939"/>
              <w:start w:val="single" w:sz="18" w:color="A53939"/>
              <w:bottom w:val="single" w:sz="10" w:color="A53939"/>
              <w:end w:val="single" w:sz="10" w:color="A53939"/>
            </w:tcBorders>
          </w:tcPr>
          <w:p>
            <w:pPr>
              <w:spacing w:after="40"/>
            </w:pPr>
            <w:r>
              <w:rPr>
                <w:rFonts w:ascii="Lato" w:hAnsi="Lato" w:eastAsia="Lato" w:cs="Lato"/>
                <w:b/>
                <w:color w:val="17324D"/>
                <w:sz w:val="20"/>
              </w:rPr>
              <w:t>Claim-control rule</w:t>
            </w:r>
          </w:p>
          <w:p>
            <w:pPr>
              <w:spacing w:before="0" w:after="0" w:line="264" w:lineRule="auto"/>
            </w:pPr>
            <w:r>
              <w:rPr>
                <w:rFonts w:ascii="Noto Sans" w:hAnsi="Noto Sans" w:eastAsia="Noto Sans" w:cs="Noto Sans"/>
                <w:color w:val="111111"/>
                <w:sz w:val="18"/>
              </w:rPr>
              <w:t>No statement may use the words "physical symmetry," "quantum operation," "channel," "gate," or "computational advantage" unless the corresponding evidence level and gate have been passed.</w:t>
            </w:r>
          </w:p>
        </w:tc>
      </w:tr>
    </w:tbl>
    <w:p>
      <w:pPr>
        <w:spacing w:after="0"/>
      </w:pPr>
    </w:p>
    <w:p>
      <w:pPr>
        <w:pStyle w:val="ListBullet"/>
        <w:spacing w:after="50" w:line="259" w:lineRule="auto"/>
        <w:ind w:left="317" w:hanging="173"/>
      </w:pPr>
      <w:r>
        <w:rPr>
          <w:rFonts w:ascii="Noto Sans" w:hAnsi="Noto Sans" w:eastAsia="Noto Sans" w:cs="Noto Sans"/>
          <w:color w:val="111111"/>
          <w:sz w:val="18"/>
        </w:rPr>
        <w:t>Maintain a living claims ledger with owner, evidence, dependencies, external reviewer, and current status.</w:t>
      </w:r>
    </w:p>
    <w:p>
      <w:pPr>
        <w:pStyle w:val="ListBullet"/>
        <w:spacing w:after="50" w:line="259" w:lineRule="auto"/>
        <w:ind w:left="317" w:hanging="173"/>
      </w:pPr>
      <w:r>
        <w:rPr>
          <w:rFonts w:ascii="Noto Sans" w:hAnsi="Noto Sans" w:eastAsia="Noto Sans" w:cs="Noto Sans"/>
          <w:color w:val="111111"/>
          <w:sz w:val="18"/>
        </w:rPr>
        <w:t>Release corrections prominently and preserve superseded versions for auditability.</w:t>
      </w:r>
    </w:p>
    <w:p>
      <w:pPr>
        <w:pStyle w:val="ListBullet"/>
        <w:spacing w:after="50" w:line="259" w:lineRule="auto"/>
        <w:ind w:left="317" w:hanging="173"/>
      </w:pPr>
      <w:r>
        <w:rPr>
          <w:rFonts w:ascii="Noto Sans" w:hAnsi="Noto Sans" w:eastAsia="Noto Sans" w:cs="Noto Sans"/>
          <w:color w:val="111111"/>
          <w:sz w:val="18"/>
        </w:rPr>
        <w:t>Invite independent red-team review at G1, G2, and G3, including at least one expert with no project affiliation.</w:t>
      </w:r>
    </w:p>
    <w:p>
      <w:pPr>
        <w:pStyle w:val="ListBullet"/>
        <w:spacing w:after="50" w:line="259" w:lineRule="auto"/>
        <w:ind w:left="317" w:hanging="173"/>
      </w:pPr>
      <w:r>
        <w:rPr>
          <w:rFonts w:ascii="Noto Sans" w:hAnsi="Noto Sans" w:eastAsia="Noto Sans" w:cs="Noto Sans"/>
          <w:color w:val="111111"/>
          <w:sz w:val="18"/>
        </w:rPr>
        <w:t>Avoid press releases until G1; avoid physics-impact announcements until G3; avoid application claims until G4.</w:t>
      </w:r>
    </w:p>
    <w:p>
      <w:pPr>
        <w:pStyle w:val="Heading1"/>
        <w:keepNext/>
        <w:spacing w:before="240" w:after="100" w:line="240" w:lineRule="auto"/>
      </w:pPr>
      <w:r>
        <w:rPr>
          <w:rFonts w:ascii="Lato" w:hAnsi="Lato" w:eastAsia="Lato" w:cs="Lato"/>
          <w:b/>
          <w:color w:val="0B7D86"/>
          <w:sz w:val="26"/>
        </w:rPr>
        <w:t xml:space="preserve">7  </w:t>
      </w:r>
      <w:r>
        <w:rPr>
          <w:rFonts w:ascii="Lato" w:hAnsi="Lato" w:eastAsia="Lato" w:cs="Lato"/>
          <w:b/>
          <w:color w:val="17324D"/>
          <w:sz w:val="30"/>
        </w:rPr>
        <w:t>Team, governance, and decision rights</w:t>
      </w:r>
    </w:p>
    <w:p>
      <w:pPr>
        <w:pStyle w:val="Heading2"/>
        <w:keepNext/>
        <w:spacing w:before="140" w:after="100" w:line="240" w:lineRule="auto"/>
      </w:pPr>
      <w:r>
        <w:rPr>
          <w:rFonts w:ascii="Lato" w:hAnsi="Lato" w:eastAsia="Lato" w:cs="Lato"/>
          <w:b/>
          <w:color w:val="0B7D86"/>
          <w:sz w:val="22"/>
        </w:rPr>
        <w:t xml:space="preserve">7.1  </w:t>
      </w:r>
      <w:r>
        <w:rPr>
          <w:rFonts w:ascii="Lato" w:hAnsi="Lato" w:eastAsia="Lato" w:cs="Lato"/>
          <w:b/>
          <w:color w:val="17324D"/>
          <w:sz w:val="24"/>
        </w:rPr>
        <w:t>Recommended team</w:t>
      </w:r>
    </w:p>
    <w:tbl>
      <w:tblPr>
        <w:tblW w:type="auto" w:w="0"/>
        <w:jc w:val="center"/>
        <w:tblLayout w:type="fixed"/>
        <w:tblLook w:firstColumn="1" w:firstRow="1" w:lastColumn="0" w:lastRow="0" w:noHBand="0" w:noVBand="1" w:val="04A0"/>
      </w:tblPr>
      <w:tblGrid>
        <w:gridCol w:w="5083"/>
        <w:gridCol w:w="5083"/>
      </w:tblGrid>
      <w:tr>
        <w:trPr>
          <w:cantSplit/>
        </w:trPr>
        <w:tc>
          <w:tcPr>
            <w:tcW w:type="dxa" w:w="2952"/>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Principal investigator</w:t>
            </w:r>
          </w:p>
        </w:tc>
        <w:tc>
          <w:tcPr>
            <w:tcW w:type="dxa" w:w="7128"/>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Owns scientific coherence, gate decisions, claim discipline, and sponsor reporting.</w:t>
            </w:r>
          </w:p>
        </w:tc>
      </w:tr>
      <w:tr>
        <w:trPr>
          <w:cantSplit/>
        </w:trPr>
        <w:tc>
          <w:tcPr>
            <w:tcW w:type="dxa" w:w="2952"/>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Algebraic geometry / polynomial maps lead</w:t>
            </w:r>
          </w:p>
        </w:tc>
        <w:tc>
          <w:tcPr>
            <w:tcW w:type="dxa" w:w="7128"/>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Anchor map, fibers, asymptotic geometry, reductions, and exact algebra.</w:t>
            </w:r>
          </w:p>
        </w:tc>
      </w:tr>
      <w:tr>
        <w:trPr>
          <w:cantSplit/>
        </w:trPr>
        <w:tc>
          <w:tcPr>
            <w:tcW w:type="dxa" w:w="2952"/>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Poisson / symplectic geometry lead</w:t>
            </w:r>
          </w:p>
        </w:tc>
        <w:tc>
          <w:tcPr>
            <w:tcW w:type="dxa" w:w="7128"/>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Cotangent lift, canonical relations, Lagrangian correspondences, and classical flows.</w:t>
            </w:r>
          </w:p>
        </w:tc>
      </w:tr>
      <w:tr>
        <w:trPr>
          <w:cantSplit/>
        </w:trPr>
        <w:tc>
          <w:tcPr>
            <w:tcW w:type="dxa" w:w="2952"/>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Noncommutative algebra lead</w:t>
            </w:r>
          </w:p>
        </w:tc>
        <w:tc>
          <w:tcPr>
            <w:tcW w:type="dxa" w:w="7128"/>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Weyl endomorphism, filtrations, image subalgebra, centralizers, and properness.</w:t>
            </w:r>
          </w:p>
        </w:tc>
      </w:tr>
      <w:tr>
        <w:trPr>
          <w:cantSplit/>
        </w:trPr>
        <w:tc>
          <w:tcPr>
            <w:tcW w:type="dxa" w:w="2952"/>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Unbounded-operator lead</w:t>
            </w:r>
          </w:p>
        </w:tc>
        <w:tc>
          <w:tcPr>
            <w:tcW w:type="dxa" w:w="7128"/>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Domains, closures, adjoints, self-adjointness, strong commutation, and spectra.</w:t>
            </w:r>
          </w:p>
        </w:tc>
      </w:tr>
      <w:tr>
        <w:trPr>
          <w:cantSplit/>
        </w:trPr>
        <w:tc>
          <w:tcPr>
            <w:tcW w:type="dxa" w:w="2952"/>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Operator-algebra lead</w:t>
            </w:r>
          </w:p>
        </w:tc>
        <w:tc>
          <w:tcPr>
            <w:tcW w:type="dxa" w:w="7128"/>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CCR/resolvent C*-algebras, normal extensions, positivity, CP maps, and dilations.</w:t>
            </w:r>
          </w:p>
        </w:tc>
      </w:tr>
      <w:tr>
        <w:trPr>
          <w:cantSplit/>
        </w:trPr>
        <w:tc>
          <w:tcPr>
            <w:tcW w:type="dxa" w:w="2952"/>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Continuous-variable quantum information lead</w:t>
            </w:r>
          </w:p>
        </w:tc>
        <w:tc>
          <w:tcPr>
            <w:tcW w:type="dxa" w:w="7128"/>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Operational models, finite-energy approximations, protocols, and resource analysis.</w:t>
            </w:r>
          </w:p>
        </w:tc>
      </w:tr>
      <w:tr>
        <w:trPr>
          <w:cantSplit/>
        </w:trPr>
        <w:tc>
          <w:tcPr>
            <w:tcW w:type="dxa" w:w="2952"/>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Formal methods / research software lead</w:t>
            </w:r>
          </w:p>
        </w:tc>
        <w:tc>
          <w:tcPr>
            <w:tcW w:type="dxa" w:w="7128"/>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Proof assistant, CAS cross-checks, CI, benchmark releases, and provenance.</w:t>
            </w:r>
          </w:p>
        </w:tc>
      </w:tr>
      <w:tr>
        <w:trPr>
          <w:cantSplit/>
        </w:trPr>
        <w:tc>
          <w:tcPr>
            <w:tcW w:type="dxa" w:w="2952"/>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External advisory panel</w:t>
            </w:r>
          </w:p>
        </w:tc>
        <w:tc>
          <w:tcPr>
            <w:tcW w:type="dxa" w:w="7128"/>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Quarterly challenge review across algebra, mathematical physics, and quantum information.</w:t>
            </w:r>
          </w:p>
        </w:tc>
      </w:tr>
    </w:tbl>
    <w:p>
      <w:pPr>
        <w:spacing w:after="0"/>
      </w:pPr>
    </w:p>
    <w:p>
      <w:pPr>
        <w:pStyle w:val="Heading2"/>
        <w:keepNext/>
        <w:spacing w:before="140" w:after="100" w:line="240" w:lineRule="auto"/>
      </w:pPr>
      <w:r>
        <w:rPr>
          <w:rFonts w:ascii="Lato" w:hAnsi="Lato" w:eastAsia="Lato" w:cs="Lato"/>
          <w:b/>
          <w:color w:val="0B7D86"/>
          <w:sz w:val="22"/>
        </w:rPr>
        <w:t xml:space="preserve">7.2  </w:t>
      </w:r>
      <w:r>
        <w:rPr>
          <w:rFonts w:ascii="Lato" w:hAnsi="Lato" w:eastAsia="Lato" w:cs="Lato"/>
          <w:b/>
          <w:color w:val="17324D"/>
          <w:sz w:val="24"/>
        </w:rPr>
        <w:t>Governance cadence</w:t>
      </w:r>
    </w:p>
    <w:tbl>
      <w:tblPr>
        <w:tblW w:type="auto" w:w="0"/>
        <w:jc w:val="center"/>
        <w:tblLayout w:type="fixed"/>
        <w:tblLook w:firstColumn="1" w:firstRow="1" w:lastColumn="0" w:lastRow="0" w:noHBand="0" w:noVBand="1" w:val="04A0"/>
      </w:tblPr>
      <w:tblGrid>
        <w:gridCol w:w="5083"/>
        <w:gridCol w:w="5083"/>
      </w:tblGrid>
      <w:tr>
        <w:trPr>
          <w:cantSplit/>
        </w:trPr>
        <w:tc>
          <w:tcPr>
            <w:tcW w:type="dxa" w:w="1800"/>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Weekly</w:t>
            </w:r>
          </w:p>
        </w:tc>
        <w:tc>
          <w:tcPr>
            <w:tcW w:type="dxa" w:w="8280"/>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Technical working-group review; open issues; proof and computation review.</w:t>
            </w:r>
          </w:p>
        </w:tc>
      </w:tr>
      <w:tr>
        <w:trPr>
          <w:cantSplit/>
        </w:trPr>
        <w:tc>
          <w:tcPr>
            <w:tcW w:type="dxa" w:w="1800"/>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Monthly</w:t>
            </w:r>
          </w:p>
        </w:tc>
        <w:tc>
          <w:tcPr>
            <w:tcW w:type="dxa" w:w="8280"/>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Program integration meeting; risk register; claims ledger; resource allocation.</w:t>
            </w:r>
          </w:p>
        </w:tc>
      </w:tr>
      <w:tr>
        <w:trPr>
          <w:cantSplit/>
        </w:trPr>
        <w:tc>
          <w:tcPr>
            <w:tcW w:type="dxa" w:w="1800"/>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Quarterly</w:t>
            </w:r>
          </w:p>
        </w:tc>
        <w:tc>
          <w:tcPr>
            <w:tcW w:type="dxa" w:w="8280"/>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External advisory review and written challenge memo.</w:t>
            </w:r>
          </w:p>
        </w:tc>
      </w:tr>
      <w:tr>
        <w:trPr>
          <w:cantSplit/>
        </w:trPr>
        <w:tc>
          <w:tcPr>
            <w:tcW w:type="dxa" w:w="1800"/>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At each gate</w:t>
            </w:r>
          </w:p>
        </w:tc>
        <w:tc>
          <w:tcPr>
            <w:tcW w:type="dxa" w:w="8280"/>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Formal evidence packet, independent reviewer sign-off, and sponsor go / pivot / stop decision.</w:t>
            </w:r>
          </w:p>
        </w:tc>
      </w:tr>
      <w:tr>
        <w:trPr>
          <w:cantSplit/>
        </w:trPr>
        <w:tc>
          <w:tcPr>
            <w:tcW w:type="dxa" w:w="1800"/>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At release</w:t>
            </w:r>
          </w:p>
        </w:tc>
        <w:tc>
          <w:tcPr>
            <w:tcW w:type="dxa" w:w="8280"/>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Reproducibility audit, authorship/attribution review, and public claims review.</w:t>
            </w:r>
          </w:p>
        </w:tc>
      </w:tr>
    </w:tbl>
    <w:p>
      <w:pPr>
        <w:spacing w:after="0"/>
      </w:pPr>
    </w:p>
    <w:p>
      <w:pPr>
        <w:pStyle w:val="Heading2"/>
        <w:keepNext/>
        <w:spacing w:before="140" w:after="100" w:line="240" w:lineRule="auto"/>
      </w:pPr>
      <w:r>
        <w:rPr>
          <w:rFonts w:ascii="Lato" w:hAnsi="Lato" w:eastAsia="Lato" w:cs="Lato"/>
          <w:b/>
          <w:color w:val="0B7D86"/>
          <w:sz w:val="22"/>
        </w:rPr>
        <w:t xml:space="preserve">7.3  </w:t>
      </w:r>
      <w:r>
        <w:rPr>
          <w:rFonts w:ascii="Lato" w:hAnsi="Lato" w:eastAsia="Lato" w:cs="Lato"/>
          <w:b/>
          <w:color w:val="17324D"/>
          <w:sz w:val="24"/>
        </w:rPr>
        <w:t>Decision rights</w:t>
      </w:r>
    </w:p>
    <w:p>
      <w:pPr>
        <w:pStyle w:val="ListBullet"/>
        <w:spacing w:after="50" w:line="259" w:lineRule="auto"/>
        <w:ind w:left="317" w:hanging="173"/>
      </w:pPr>
      <w:r>
        <w:rPr>
          <w:rFonts w:ascii="Noto Sans" w:hAnsi="Noto Sans" w:eastAsia="Noto Sans" w:cs="Noto Sans"/>
          <w:color w:val="111111"/>
          <w:sz w:val="18"/>
        </w:rPr>
        <w:t>The PI decides routine scientific priorities within the approved scope.</w:t>
      </w:r>
    </w:p>
    <w:p>
      <w:pPr>
        <w:pStyle w:val="ListBullet"/>
        <w:spacing w:after="50" w:line="259" w:lineRule="auto"/>
        <w:ind w:left="317" w:hanging="173"/>
      </w:pPr>
      <w:r>
        <w:rPr>
          <w:rFonts w:ascii="Noto Sans" w:hAnsi="Noto Sans" w:eastAsia="Noto Sans" w:cs="Noto Sans"/>
          <w:color w:val="111111"/>
          <w:sz w:val="18"/>
        </w:rPr>
        <w:t>Gate passage requires the PI, relevant workstream lead, and at least one external reviewer.</w:t>
      </w:r>
    </w:p>
    <w:p>
      <w:pPr>
        <w:pStyle w:val="ListBullet"/>
        <w:spacing w:after="50" w:line="259" w:lineRule="auto"/>
        <w:ind w:left="317" w:hanging="173"/>
      </w:pPr>
      <w:r>
        <w:rPr>
          <w:rFonts w:ascii="Noto Sans" w:hAnsi="Noto Sans" w:eastAsia="Noto Sans" w:cs="Noto Sans"/>
          <w:color w:val="111111"/>
          <w:sz w:val="18"/>
        </w:rPr>
        <w:t>Scope expansion into experimental work or public application claims requires sponsor approval after G3 or G4, respectively.</w:t>
      </w:r>
    </w:p>
    <w:p>
      <w:pPr>
        <w:pStyle w:val="ListBullet"/>
        <w:spacing w:after="50" w:line="259" w:lineRule="auto"/>
        <w:ind w:left="317" w:hanging="173"/>
      </w:pPr>
      <w:r>
        <w:rPr>
          <w:rFonts w:ascii="Noto Sans" w:hAnsi="Noto Sans" w:eastAsia="Noto Sans" w:cs="Noto Sans"/>
          <w:color w:val="111111"/>
          <w:sz w:val="18"/>
        </w:rPr>
        <w:t>Any team member may trigger a research-integrity hold on a release; the hold remains until documented resolution.</w:t>
      </w:r>
    </w:p>
    <w:p>
      <w:pPr>
        <w:pStyle w:val="Heading1"/>
        <w:keepNext/>
        <w:spacing w:before="240" w:after="100" w:line="240" w:lineRule="auto"/>
      </w:pPr>
      <w:r>
        <w:rPr>
          <w:rFonts w:ascii="Lato" w:hAnsi="Lato" w:eastAsia="Lato" w:cs="Lato"/>
          <w:b/>
          <w:color w:val="0B7D86"/>
          <w:sz w:val="26"/>
        </w:rPr>
        <w:t xml:space="preserve">8  </w:t>
      </w:r>
      <w:r>
        <w:rPr>
          <w:rFonts w:ascii="Lato" w:hAnsi="Lato" w:eastAsia="Lato" w:cs="Lato"/>
          <w:b/>
          <w:color w:val="17324D"/>
          <w:sz w:val="30"/>
        </w:rPr>
        <w:t>Risk register and mitigations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605"/>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4"/>
              </w:rPr>
              <w:t>ID</w:t>
            </w:r>
          </w:p>
        </w:tc>
        <w:tc>
          <w:tcPr>
            <w:tcW w:type="dxa" w:w="2880"/>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4"/>
              </w:rPr>
              <w:t>Risk</w:t>
            </w:r>
          </w:p>
        </w:tc>
        <w:tc>
          <w:tcPr>
            <w:tcW w:type="dxa" w:w="691"/>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4"/>
              </w:rPr>
              <w:t>Prob.</w:t>
            </w:r>
          </w:p>
        </w:tc>
        <w:tc>
          <w:tcPr>
            <w:tcW w:type="dxa" w:w="749"/>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4"/>
              </w:rPr>
              <w:t>Impact</w:t>
            </w:r>
          </w:p>
        </w:tc>
        <w:tc>
          <w:tcPr>
            <w:tcW w:type="dxa" w:w="5155"/>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4"/>
              </w:rPr>
              <w:t>Mitigation</w:t>
            </w:r>
          </w:p>
        </w:tc>
      </w:tr>
      <w:tr>
        <w:trPr>
          <w:cantSplit/>
        </w:trPr>
        <w:tc>
          <w:tcPr>
            <w:tcW w:type="dxa" w:w="605"/>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4"/>
              </w:rPr>
              <w:t>R1</w:t>
            </w:r>
          </w:p>
        </w:tc>
        <w:tc>
          <w:tcPr>
            <w:tcW w:type="dxa" w:w="2880"/>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Anchor changes or provenance dispute</w:t>
            </w:r>
          </w:p>
        </w:tc>
        <w:tc>
          <w:tcPr>
            <w:tcW w:type="dxa" w:w="691"/>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L</w:t>
            </w:r>
          </w:p>
        </w:tc>
        <w:tc>
          <w:tcPr>
            <w:tcW w:type="dxa" w:w="749"/>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H</w:t>
            </w:r>
          </w:p>
        </w:tc>
        <w:tc>
          <w:tcPr>
            <w:tcW w:type="dxa" w:w="5155"/>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Versioned exact data; independent proof; correction protocol; G0 restart rule.</w:t>
            </w:r>
          </w:p>
        </w:tc>
      </w:tr>
      <w:tr>
        <w:trPr>
          <w:cantSplit/>
        </w:trPr>
        <w:tc>
          <w:tcPr>
            <w:tcW w:type="dxa" w:w="605"/>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4"/>
              </w:rPr>
              <w:t>R2</w:t>
            </w:r>
          </w:p>
        </w:tc>
        <w:tc>
          <w:tcPr>
            <w:tcW w:type="dxa" w:w="2880"/>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Logical equivalence mistaken for explicit construction</w:t>
            </w:r>
          </w:p>
        </w:tc>
        <w:tc>
          <w:tcPr>
            <w:tcW w:type="dxa" w:w="691"/>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M</w:t>
            </w:r>
          </w:p>
        </w:tc>
        <w:tc>
          <w:tcPr>
            <w:tcW w:type="dxa" w:w="749"/>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H</w:t>
            </w:r>
          </w:p>
        </w:tc>
        <w:tc>
          <w:tcPr>
            <w:tcW w:type="dxa" w:w="5155"/>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Use direct cotangent/Weyl formulas; state dimensions and implications precisely; external algebra review.</w:t>
            </w:r>
          </w:p>
        </w:tc>
      </w:tr>
      <w:tr>
        <w:trPr>
          <w:cantSplit/>
        </w:trPr>
        <w:tc>
          <w:tcPr>
            <w:tcW w:type="dxa" w:w="605"/>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4"/>
              </w:rPr>
              <w:t>R3</w:t>
            </w:r>
          </w:p>
        </w:tc>
        <w:tc>
          <w:tcPr>
            <w:tcW w:type="dxa" w:w="2880"/>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Expression blow-up makes analysis opaque</w:t>
            </w:r>
          </w:p>
        </w:tc>
        <w:tc>
          <w:tcPr>
            <w:tcW w:type="dxa" w:w="691"/>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H</w:t>
            </w:r>
          </w:p>
        </w:tc>
        <w:tc>
          <w:tcPr>
            <w:tcW w:type="dxa" w:w="749"/>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M</w:t>
            </w:r>
          </w:p>
        </w:tc>
        <w:tc>
          <w:tcPr>
            <w:tcW w:type="dxa" w:w="5155"/>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Exploit weighted grading, sparse normal forms, modular methods, and machine-readable generators.</w:t>
            </w:r>
          </w:p>
        </w:tc>
      </w:tr>
      <w:tr>
        <w:trPr>
          <w:cantSplit/>
        </w:trPr>
        <w:tc>
          <w:tcPr>
            <w:tcW w:type="dxa" w:w="605"/>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4"/>
              </w:rPr>
              <w:t>R4</w:t>
            </w:r>
          </w:p>
        </w:tc>
        <w:tc>
          <w:tcPr>
            <w:tcW w:type="dxa" w:w="2880"/>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Formal symmetry is misreported as self-adjointness</w:t>
            </w:r>
          </w:p>
        </w:tc>
        <w:tc>
          <w:tcPr>
            <w:tcW w:type="dxa" w:w="691"/>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M</w:t>
            </w:r>
          </w:p>
        </w:tc>
        <w:tc>
          <w:tcPr>
            <w:tcW w:type="dxa" w:w="749"/>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H</w:t>
            </w:r>
          </w:p>
        </w:tc>
        <w:tc>
          <w:tcPr>
            <w:tcW w:type="dxa" w:w="5155"/>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Mandatory domain/closure checklist; unbounded-operator lead signs every such claim.</w:t>
            </w:r>
          </w:p>
        </w:tc>
      </w:tr>
      <w:tr>
        <w:trPr>
          <w:cantSplit/>
        </w:trPr>
        <w:tc>
          <w:tcPr>
            <w:tcW w:type="dxa" w:w="605"/>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4"/>
              </w:rPr>
              <w:t>R5</w:t>
            </w:r>
          </w:p>
        </w:tc>
        <w:tc>
          <w:tcPr>
            <w:tcW w:type="dxa" w:w="2880"/>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No C*- or CP extension exists</w:t>
            </w:r>
          </w:p>
        </w:tc>
        <w:tc>
          <w:tcPr>
            <w:tcW w:type="dxa" w:w="691"/>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H</w:t>
            </w:r>
          </w:p>
        </w:tc>
        <w:tc>
          <w:tcPr>
            <w:tcW w:type="dxa" w:w="749"/>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M</w:t>
            </w:r>
          </w:p>
        </w:tc>
        <w:tc>
          <w:tcPr>
            <w:tcW w:type="dxa" w:w="5155"/>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Treat obstruction as a target result; stop protocol work and publish no-go theorem.</w:t>
            </w:r>
          </w:p>
        </w:tc>
      </w:tr>
      <w:tr>
        <w:trPr>
          <w:cantSplit/>
        </w:trPr>
        <w:tc>
          <w:tcPr>
            <w:tcW w:type="dxa" w:w="605"/>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4"/>
              </w:rPr>
              <w:t>R6</w:t>
            </w:r>
          </w:p>
        </w:tc>
        <w:tc>
          <w:tcPr>
            <w:tcW w:type="dxa" w:w="2880"/>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Numerical truncation creates false finite-dimensional evidence</w:t>
            </w:r>
          </w:p>
        </w:tc>
        <w:tc>
          <w:tcPr>
            <w:tcW w:type="dxa" w:w="691"/>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M</w:t>
            </w:r>
          </w:p>
        </w:tc>
        <w:tc>
          <w:tcPr>
            <w:tcW w:type="dxa" w:w="749"/>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H</w:t>
            </w:r>
          </w:p>
        </w:tc>
        <w:tc>
          <w:tcPr>
            <w:tcW w:type="dxa" w:w="5155"/>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Require convergence bounds and comparison to exact infinite-dimensional statements.</w:t>
            </w:r>
          </w:p>
        </w:tc>
      </w:tr>
      <w:tr>
        <w:trPr>
          <w:cantSplit/>
        </w:trPr>
        <w:tc>
          <w:tcPr>
            <w:tcW w:type="dxa" w:w="605"/>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4"/>
              </w:rPr>
              <w:t>R7</w:t>
            </w:r>
          </w:p>
        </w:tc>
        <w:tc>
          <w:tcPr>
            <w:tcW w:type="dxa" w:w="2880"/>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Hype or confusion about nonlinear quantum mechanics</w:t>
            </w:r>
          </w:p>
        </w:tc>
        <w:tc>
          <w:tcPr>
            <w:tcW w:type="dxa" w:w="691"/>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H</w:t>
            </w:r>
          </w:p>
        </w:tc>
        <w:tc>
          <w:tcPr>
            <w:tcW w:type="dxa" w:w="749"/>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H</w:t>
            </w:r>
          </w:p>
        </w:tc>
        <w:tc>
          <w:tcPr>
            <w:tcW w:type="dxa" w:w="5155"/>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Terminology standard; evidence labels; communications gate; no state-nonlinearity framing.</w:t>
            </w:r>
          </w:p>
        </w:tc>
      </w:tr>
      <w:tr>
        <w:trPr>
          <w:cantSplit/>
        </w:trPr>
        <w:tc>
          <w:tcPr>
            <w:tcW w:type="dxa" w:w="605"/>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4"/>
              </w:rPr>
              <w:t>R8</w:t>
            </w:r>
          </w:p>
        </w:tc>
        <w:tc>
          <w:tcPr>
            <w:tcW w:type="dxa" w:w="2880"/>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AI-assisted work weakens trust</w:t>
            </w:r>
          </w:p>
        </w:tc>
        <w:tc>
          <w:tcPr>
            <w:tcW w:type="dxa" w:w="691"/>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M</w:t>
            </w:r>
          </w:p>
        </w:tc>
        <w:tc>
          <w:tcPr>
            <w:tcW w:type="dxa" w:w="749"/>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M</w:t>
            </w:r>
          </w:p>
        </w:tc>
        <w:tc>
          <w:tcPr>
            <w:tcW w:type="dxa" w:w="5155"/>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Full disclosure, human derivations, reproducible proof objects, external red-team review.</w:t>
            </w:r>
          </w:p>
        </w:tc>
      </w:tr>
      <w:tr>
        <w:trPr>
          <w:cantSplit/>
        </w:trPr>
        <w:tc>
          <w:tcPr>
            <w:tcW w:type="dxa" w:w="605"/>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4"/>
              </w:rPr>
              <w:t>R9</w:t>
            </w:r>
          </w:p>
        </w:tc>
        <w:tc>
          <w:tcPr>
            <w:tcW w:type="dxa" w:w="2880"/>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Result is mathematically valid but physically empty</w:t>
            </w:r>
          </w:p>
        </w:tc>
        <w:tc>
          <w:tcPr>
            <w:tcW w:type="dxa" w:w="691"/>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M</w:t>
            </w:r>
          </w:p>
        </w:tc>
        <w:tc>
          <w:tcPr>
            <w:tcW w:type="dxa" w:w="749"/>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M</w:t>
            </w:r>
          </w:p>
        </w:tc>
        <w:tc>
          <w:tcPr>
            <w:tcW w:type="dxa" w:w="5155"/>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Define no-go and boundary theorems as success; prioritize generalizable criteria.</w:t>
            </w:r>
          </w:p>
        </w:tc>
      </w:tr>
      <w:tr>
        <w:trPr>
          <w:cantSplit/>
        </w:trPr>
        <w:tc>
          <w:tcPr>
            <w:tcW w:type="dxa" w:w="605"/>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4"/>
              </w:rPr>
              <w:t>R10</w:t>
            </w:r>
          </w:p>
        </w:tc>
        <w:tc>
          <w:tcPr>
            <w:tcW w:type="dxa" w:w="2880"/>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Team spans incompatible conventions</w:t>
            </w:r>
          </w:p>
        </w:tc>
        <w:tc>
          <w:tcPr>
            <w:tcW w:type="dxa" w:w="691"/>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H</w:t>
            </w:r>
          </w:p>
        </w:tc>
        <w:tc>
          <w:tcPr>
            <w:tcW w:type="dxa" w:w="749"/>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M</w:t>
            </w:r>
          </w:p>
        </w:tc>
        <w:tc>
          <w:tcPr>
            <w:tcW w:type="dxa" w:w="5155"/>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4"/>
              </w:rPr>
              <w:t>Shared notation guide; common benchmark examples; cross-discipline paired reviews.</w:t>
            </w:r>
          </w:p>
        </w:tc>
      </w:tr>
    </w:tbl>
    <w:p>
      <w:pPr>
        <w:spacing w:after="0"/>
      </w:pPr>
    </w:p>
    <w:p>
      <w:pPr>
        <w:pStyle w:val="Heading1"/>
        <w:keepNext/>
        <w:spacing w:before="240" w:after="100" w:line="240" w:lineRule="auto"/>
      </w:pPr>
      <w:r>
        <w:rPr>
          <w:rFonts w:ascii="Lato" w:hAnsi="Lato" w:eastAsia="Lato" w:cs="Lato"/>
          <w:b/>
          <w:color w:val="0B7D86"/>
          <w:sz w:val="26"/>
        </w:rPr>
        <w:t xml:space="preserve">9  </w:t>
      </w:r>
      <w:r>
        <w:rPr>
          <w:rFonts w:ascii="Lato" w:hAnsi="Lato" w:eastAsia="Lato" w:cs="Lato"/>
          <w:b/>
          <w:color w:val="17324D"/>
          <w:sz w:val="30"/>
        </w:rPr>
        <w:t>Resource model</w:t>
      </w:r>
    </w:p>
    <w:p>
      <w:pPr>
        <w:pStyle w:val="Heading2"/>
        <w:keepNext/>
        <w:spacing w:before="140" w:after="100" w:line="240" w:lineRule="auto"/>
      </w:pPr>
      <w:r>
        <w:rPr>
          <w:rFonts w:ascii="Lato" w:hAnsi="Lato" w:eastAsia="Lato" w:cs="Lato"/>
          <w:b/>
          <w:color w:val="0B7D86"/>
          <w:sz w:val="22"/>
        </w:rPr>
        <w:t xml:space="preserve">9.1  </w:t>
      </w:r>
      <w:r>
        <w:rPr>
          <w:rFonts w:ascii="Lato" w:hAnsi="Lato" w:eastAsia="Lato" w:cs="Lato"/>
          <w:b/>
          <w:color w:val="17324D"/>
          <w:sz w:val="24"/>
        </w:rPr>
        <w:t>People</w:t>
      </w:r>
    </w:p>
    <w:p>
      <w:pPr>
        <w:keepLines w:val="0"/>
        <w:spacing w:before="0" w:after="100" w:line="269" w:lineRule="auto"/>
      </w:pPr>
      <w:r>
        <w:rPr>
          <w:rFonts w:ascii="Noto Sans" w:hAnsi="Noto Sans" w:eastAsia="Noto Sans" w:cs="Noto Sans"/>
          <w:i w:val="0"/>
          <w:color w:val="111111"/>
          <w:sz w:val="19"/>
        </w:rPr>
        <w:t>Recommended steady-state staffing is approximately 6-8 full-time-equivalent researchers, with the disciplinary roles listed above distributed across faculty, postdoctoral researchers, doctoral researchers, and research software engineering. External advisory effort is additional and part-time.</w:t>
      </w:r>
    </w:p>
    <w:p>
      <w:pPr>
        <w:pStyle w:val="Heading2"/>
        <w:keepNext/>
        <w:spacing w:before="140" w:after="100" w:line="240" w:lineRule="auto"/>
      </w:pPr>
      <w:r>
        <w:rPr>
          <w:rFonts w:ascii="Lato" w:hAnsi="Lato" w:eastAsia="Lato" w:cs="Lato"/>
          <w:b/>
          <w:color w:val="0B7D86"/>
          <w:sz w:val="22"/>
        </w:rPr>
        <w:t xml:space="preserve">9.2  </w:t>
      </w:r>
      <w:r>
        <w:rPr>
          <w:rFonts w:ascii="Lato" w:hAnsi="Lato" w:eastAsia="Lato" w:cs="Lato"/>
          <w:b/>
          <w:color w:val="17324D"/>
          <w:sz w:val="24"/>
        </w:rPr>
        <w:t>Compute and facilities</w:t>
      </w:r>
    </w:p>
    <w:p>
      <w:pPr>
        <w:pStyle w:val="ListBullet"/>
        <w:spacing w:after="50" w:line="259" w:lineRule="auto"/>
        <w:ind w:left="317" w:hanging="173"/>
      </w:pPr>
      <w:r>
        <w:rPr>
          <w:rFonts w:ascii="Noto Sans" w:hAnsi="Noto Sans" w:eastAsia="Noto Sans" w:cs="Noto Sans"/>
          <w:color w:val="111111"/>
          <w:sz w:val="18"/>
        </w:rPr>
        <w:t>Modest CPU and memory resources for exact symbolic algebra, proof compilation, interval ODEs, and sparse spectral calculations.</w:t>
      </w:r>
    </w:p>
    <w:p>
      <w:pPr>
        <w:pStyle w:val="ListBullet"/>
        <w:spacing w:after="50" w:line="259" w:lineRule="auto"/>
        <w:ind w:left="317" w:hanging="173"/>
      </w:pPr>
      <w:r>
        <w:rPr>
          <w:rFonts w:ascii="Noto Sans" w:hAnsi="Noto Sans" w:eastAsia="Noto Sans" w:cs="Noto Sans"/>
          <w:color w:val="111111"/>
          <w:sz w:val="18"/>
        </w:rPr>
        <w:t>No quantum hardware is required during the first 18 months.</w:t>
      </w:r>
    </w:p>
    <w:p>
      <w:pPr>
        <w:pStyle w:val="ListBullet"/>
        <w:spacing w:after="50" w:line="259" w:lineRule="auto"/>
        <w:ind w:left="317" w:hanging="173"/>
      </w:pPr>
      <w:r>
        <w:rPr>
          <w:rFonts w:ascii="Noto Sans" w:hAnsi="Noto Sans" w:eastAsia="Noto Sans" w:cs="Noto Sans"/>
          <w:color w:val="111111"/>
          <w:sz w:val="18"/>
        </w:rPr>
        <w:t>Secure, versioned source control and archival storage for proof objects and reproducibility images.</w:t>
      </w:r>
    </w:p>
    <w:p>
      <w:pPr>
        <w:pStyle w:val="ListBullet"/>
        <w:spacing w:after="50" w:line="259" w:lineRule="auto"/>
        <w:ind w:left="317" w:hanging="173"/>
      </w:pPr>
      <w:r>
        <w:rPr>
          <w:rFonts w:ascii="Noto Sans" w:hAnsi="Noto Sans" w:eastAsia="Noto Sans" w:cs="Noto Sans"/>
          <w:color w:val="111111"/>
          <w:sz w:val="18"/>
        </w:rPr>
        <w:t>Workshop and visiting-researcher support at G2-G4 to integrate otherwise separate expert communities.</w:t>
      </w:r>
    </w:p>
    <w:p>
      <w:pPr>
        <w:pStyle w:val="Heading2"/>
        <w:keepNext/>
        <w:spacing w:before="140" w:after="100" w:line="240" w:lineRule="auto"/>
      </w:pPr>
      <w:r>
        <w:rPr>
          <w:rFonts w:ascii="Lato" w:hAnsi="Lato" w:eastAsia="Lato" w:cs="Lato"/>
          <w:b/>
          <w:color w:val="0B7D86"/>
          <w:sz w:val="22"/>
        </w:rPr>
        <w:t xml:space="preserve">9.3  </w:t>
      </w:r>
      <w:r>
        <w:rPr>
          <w:rFonts w:ascii="Lato" w:hAnsi="Lato" w:eastAsia="Lato" w:cs="Lato"/>
          <w:b/>
          <w:color w:val="17324D"/>
          <w:sz w:val="24"/>
        </w:rPr>
        <w:t>Budget categories</w:t>
      </w:r>
    </w:p>
    <w:p>
      <w:pPr>
        <w:pStyle w:val="ListBullet"/>
        <w:spacing w:after="50" w:line="259" w:lineRule="auto"/>
        <w:ind w:left="317" w:hanging="173"/>
      </w:pPr>
      <w:r>
        <w:rPr>
          <w:rFonts w:ascii="Noto Sans" w:hAnsi="Noto Sans" w:eastAsia="Noto Sans" w:cs="Noto Sans"/>
          <w:color w:val="111111"/>
          <w:sz w:val="18"/>
        </w:rPr>
        <w:t>Personnel and postdoctoral support; formal-methods/research-software engineering.</w:t>
      </w:r>
    </w:p>
    <w:p>
      <w:pPr>
        <w:pStyle w:val="ListBullet"/>
        <w:spacing w:after="50" w:line="259" w:lineRule="auto"/>
        <w:ind w:left="317" w:hanging="173"/>
      </w:pPr>
      <w:r>
        <w:rPr>
          <w:rFonts w:ascii="Noto Sans" w:hAnsi="Noto Sans" w:eastAsia="Noto Sans" w:cs="Noto Sans"/>
          <w:color w:val="111111"/>
          <w:sz w:val="18"/>
        </w:rPr>
        <w:t>Compute, storage, software licenses, and archival services.</w:t>
      </w:r>
    </w:p>
    <w:p>
      <w:pPr>
        <w:pStyle w:val="ListBullet"/>
        <w:spacing w:after="50" w:line="259" w:lineRule="auto"/>
        <w:ind w:left="317" w:hanging="173"/>
      </w:pPr>
      <w:r>
        <w:rPr>
          <w:rFonts w:ascii="Noto Sans" w:hAnsi="Noto Sans" w:eastAsia="Noto Sans" w:cs="Noto Sans"/>
          <w:color w:val="111111"/>
          <w:sz w:val="18"/>
        </w:rPr>
        <w:t>External review, focused workshops, and cross-disciplinary visitor support.</w:t>
      </w:r>
    </w:p>
    <w:p>
      <w:pPr>
        <w:pStyle w:val="ListBullet"/>
        <w:spacing w:after="50" w:line="259" w:lineRule="auto"/>
        <w:ind w:left="317" w:hanging="173"/>
      </w:pPr>
      <w:r>
        <w:rPr>
          <w:rFonts w:ascii="Noto Sans" w:hAnsi="Noto Sans" w:eastAsia="Noto Sans" w:cs="Noto Sans"/>
          <w:color w:val="111111"/>
          <w:sz w:val="18"/>
        </w:rPr>
        <w:t>Open-access publication and long-term artifact preservation.</w:t>
      </w:r>
    </w:p>
    <w:p>
      <w:pPr>
        <w:keepLines w:val="0"/>
        <w:spacing w:before="0" w:after="100" w:line="269" w:lineRule="auto"/>
      </w:pPr>
      <w:r>
        <w:rPr>
          <w:rFonts w:ascii="Noto Sans" w:hAnsi="Noto Sans" w:eastAsia="Noto Sans" w:cs="Noto Sans"/>
          <w:i w:val="0"/>
          <w:color w:val="111111"/>
          <w:sz w:val="19"/>
        </w:rPr>
        <w:t>A detailed monetary budget should be prepared after sponsor, host institution, and staffing model are selected. The charter does not assume major capital expenditure.</w:t>
      </w:r>
    </w:p>
    <w:p>
      <w:r>
        <w:br w:type="page"/>
      </w:r>
    </w:p>
    <w:p>
      <w:pPr>
        <w:pStyle w:val="Heading1"/>
        <w:keepNext/>
        <w:spacing w:before="240" w:after="100" w:line="240" w:lineRule="auto"/>
      </w:pPr>
      <w:r>
        <w:rPr>
          <w:rFonts w:ascii="Lato" w:hAnsi="Lato" w:eastAsia="Lato" w:cs="Lato"/>
          <w:b/>
          <w:color w:val="0B7D86"/>
          <w:sz w:val="26"/>
        </w:rPr>
        <w:t xml:space="preserve">10  </w:t>
      </w:r>
      <w:r>
        <w:rPr>
          <w:rFonts w:ascii="Lato" w:hAnsi="Lato" w:eastAsia="Lato" w:cs="Lato"/>
          <w:b/>
          <w:color w:val="17324D"/>
          <w:sz w:val="30"/>
        </w:rPr>
        <w:t>First 90 days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6"/>
              </w:rPr>
              <w:t>Period</w:t>
            </w:r>
          </w:p>
        </w:tc>
        <w:tc>
          <w:tcPr>
            <w:tcW w:type="dxa" w:w="2088"/>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6"/>
              </w:rPr>
              <w:t>Theme</w:t>
            </w:r>
          </w:p>
        </w:tc>
        <w:tc>
          <w:tcPr>
            <w:tcW w:type="dxa" w:w="6480"/>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6"/>
              </w:rPr>
              <w:t>Required output</w:t>
            </w:r>
          </w:p>
        </w:tc>
      </w:tr>
      <w:tr>
        <w:trPr>
          <w:cantSplit/>
        </w:trPr>
        <w:tc>
          <w:tcPr>
            <w:tcW w:type="dxa" w:w="151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Days 0-30</w:t>
            </w:r>
          </w:p>
        </w:tc>
        <w:tc>
          <w:tcPr>
            <w:tcW w:type="dxa" w:w="2088"/>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Validate and freeze</w:t>
            </w:r>
          </w:p>
        </w:tc>
        <w:tc>
          <w:tcPr>
            <w:tcW w:type="dxa" w:w="6480"/>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Reproduce determinant and collisions; build Lean proof; normalize map; create claims ledger; appoint external reviewers; publish D0 candidate.</w:t>
            </w:r>
          </w:p>
        </w:tc>
      </w:tr>
      <w:tr>
        <w:trPr>
          <w:cantSplit/>
        </w:trPr>
        <w:tc>
          <w:tcPr>
            <w:tcW w:type="dxa" w:w="151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Days 31-60</w:t>
            </w:r>
          </w:p>
        </w:tc>
        <w:tc>
          <w:tcPr>
            <w:tcW w:type="dxa" w:w="2088"/>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Construct and certify</w:t>
            </w:r>
          </w:p>
        </w:tc>
        <w:tc>
          <w:tcPr>
            <w:tcW w:type="dxa" w:w="6480"/>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Compute B; prove Poisson relations and noninjectivity; build Weyl candidate; verify commutators and divergence identity; draft D1/D2.</w:t>
            </w:r>
          </w:p>
        </w:tc>
      </w:tr>
      <w:tr>
        <w:trPr>
          <w:cantSplit/>
        </w:trPr>
        <w:tc>
          <w:tcPr>
            <w:tcW w:type="dxa" w:w="151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6"/>
              </w:rPr>
              <w:t>Days 61-90</w:t>
            </w:r>
          </w:p>
        </w:tc>
        <w:tc>
          <w:tcPr>
            <w:tcW w:type="dxa" w:w="2088"/>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Open the analytic front</w:t>
            </w:r>
          </w:p>
        </w:tc>
        <w:tc>
          <w:tcPr>
            <w:tcW w:type="dxa" w:w="6480"/>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6"/>
              </w:rPr>
              <w:t>Map real fibers and escape directions; define Schwartz-core operators; begin flow completeness and deficiency-index analysis; hold G1 challenge workshop.</w:t>
            </w:r>
          </w:p>
        </w:tc>
      </w:tr>
    </w:tbl>
    <w:p>
      <w:pPr>
        <w:spacing w:after="0"/>
      </w:pPr>
    </w:p>
    <w:p>
      <w:pPr>
        <w:pStyle w:val="Heading2"/>
        <w:keepNext/>
        <w:spacing w:before="140" w:after="100" w:line="240" w:lineRule="auto"/>
      </w:pPr>
      <w:r>
        <w:rPr>
          <w:rFonts w:ascii="Lato" w:hAnsi="Lato" w:eastAsia="Lato" w:cs="Lato"/>
          <w:b/>
          <w:color w:val="0B7D86"/>
          <w:sz w:val="22"/>
        </w:rPr>
        <w:t xml:space="preserve">10.1  </w:t>
      </w:r>
      <w:r>
        <w:rPr>
          <w:rFonts w:ascii="Lato" w:hAnsi="Lato" w:eastAsia="Lato" w:cs="Lato"/>
          <w:b/>
          <w:color w:val="17324D"/>
          <w:sz w:val="24"/>
        </w:rPr>
        <w:t>Day-90 decision package</w:t>
      </w:r>
    </w:p>
    <w:p>
      <w:pPr>
        <w:pStyle w:val="ListBullet"/>
        <w:spacing w:after="50" w:line="259" w:lineRule="auto"/>
        <w:ind w:left="317" w:hanging="173"/>
      </w:pPr>
      <w:r>
        <w:rPr>
          <w:rFonts w:ascii="Noto Sans" w:hAnsi="Noto Sans" w:eastAsia="Noto Sans" w:cs="Noto Sans"/>
          <w:color w:val="111111"/>
          <w:sz w:val="18"/>
        </w:rPr>
        <w:t>Validated anchor release and independent review report.</w:t>
      </w:r>
    </w:p>
    <w:p>
      <w:pPr>
        <w:pStyle w:val="ListBullet"/>
        <w:spacing w:after="50" w:line="259" w:lineRule="auto"/>
        <w:ind w:left="317" w:hanging="173"/>
      </w:pPr>
      <w:r>
        <w:rPr>
          <w:rFonts w:ascii="Noto Sans" w:hAnsi="Noto Sans" w:eastAsia="Noto Sans" w:cs="Noto Sans"/>
          <w:color w:val="111111"/>
          <w:sz w:val="18"/>
        </w:rPr>
        <w:t>Explicit cotangent-lift Poisson endomorphism with exact noninjectivity witness.</w:t>
      </w:r>
    </w:p>
    <w:p>
      <w:pPr>
        <w:pStyle w:val="ListBullet"/>
        <w:spacing w:after="50" w:line="259" w:lineRule="auto"/>
        <w:ind w:left="317" w:hanging="173"/>
      </w:pPr>
      <w:r>
        <w:rPr>
          <w:rFonts w:ascii="Noto Sans" w:hAnsi="Noto Sans" w:eastAsia="Noto Sans" w:cs="Noto Sans"/>
          <w:color w:val="111111"/>
          <w:sz w:val="18"/>
        </w:rPr>
        <w:t>Explicit Weyl generator substitution with verified commutators and a proof-status report on properness.</w:t>
      </w:r>
    </w:p>
    <w:p>
      <w:pPr>
        <w:pStyle w:val="ListBullet"/>
        <w:spacing w:after="50" w:line="259" w:lineRule="auto"/>
        <w:ind w:left="317" w:hanging="173"/>
      </w:pPr>
      <w:r>
        <w:rPr>
          <w:rFonts w:ascii="Noto Sans" w:hAnsi="Noto Sans" w:eastAsia="Noto Sans" w:cs="Noto Sans"/>
          <w:color w:val="111111"/>
          <w:sz w:val="18"/>
        </w:rPr>
        <w:t>Formal-adjoint and divergence calculation in the real Schrodinger representation.</w:t>
      </w:r>
    </w:p>
    <w:p>
      <w:pPr>
        <w:pStyle w:val="ListBullet"/>
        <w:spacing w:after="50" w:line="259" w:lineRule="auto"/>
        <w:ind w:left="317" w:hanging="173"/>
      </w:pPr>
      <w:r>
        <w:rPr>
          <w:rFonts w:ascii="Noto Sans" w:hAnsi="Noto Sans" w:eastAsia="Noto Sans" w:cs="Noto Sans"/>
          <w:color w:val="111111"/>
          <w:sz w:val="18"/>
        </w:rPr>
        <w:t>Ranked analytic hypotheses for incompleteness, self-adjointness, and C*-extension.</w:t>
      </w:r>
    </w:p>
    <w:p>
      <w:pPr>
        <w:pStyle w:val="ListBullet"/>
        <w:spacing w:after="50" w:line="259" w:lineRule="auto"/>
        <w:ind w:left="317" w:hanging="173"/>
      </w:pPr>
      <w:r>
        <w:rPr>
          <w:rFonts w:ascii="Noto Sans" w:hAnsi="Noto Sans" w:eastAsia="Noto Sans" w:cs="Noto Sans"/>
          <w:color w:val="111111"/>
          <w:sz w:val="18"/>
        </w:rPr>
        <w:t>Updated 21-month plan, budget, and gate criteria based on actual complexity.</w:t>
      </w:r>
    </w:p>
    <w:p>
      <w:pPr>
        <w:pStyle w:val="Heading1"/>
        <w:keepNext/>
        <w:spacing w:before="240" w:after="100" w:line="240" w:lineRule="auto"/>
      </w:pPr>
      <w:r>
        <w:rPr>
          <w:rFonts w:ascii="Lato" w:hAnsi="Lato" w:eastAsia="Lato" w:cs="Lato"/>
          <w:b/>
          <w:color w:val="0B7D86"/>
          <w:sz w:val="26"/>
        </w:rPr>
        <w:t xml:space="preserve">11  </w:t>
      </w:r>
      <w:r>
        <w:rPr>
          <w:rFonts w:ascii="Lato" w:hAnsi="Lato" w:eastAsia="Lato" w:cs="Lato"/>
          <w:b/>
          <w:color w:val="17324D"/>
          <w:sz w:val="30"/>
        </w:rPr>
        <w:t>Approval and charter authority</w:t>
      </w:r>
    </w:p>
    <w:p>
      <w:pPr>
        <w:keepLines w:val="0"/>
        <w:spacing w:before="0" w:after="100" w:line="269" w:lineRule="auto"/>
      </w:pPr>
      <w:r>
        <w:rPr>
          <w:rFonts w:ascii="Noto Sans" w:hAnsi="Noto Sans" w:eastAsia="Noto Sans" w:cs="Noto Sans"/>
          <w:i w:val="0"/>
          <w:color w:val="111111"/>
          <w:sz w:val="19"/>
        </w:rPr>
        <w:t>Approval authorizes only the 90-day launch phase and the planning assumptions in this charter. Continued funding beyond Gate 1 is contingent on the evidence packet and revised work plan.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tcBorders>
              <w:top w:val="single" w:sz="5" w:color="BFC8CF"/>
              <w:start w:val="single" w:sz="5" w:color="BFC8CF"/>
              <w:bottom w:val="single" w:sz="5" w:color="BFC8CF"/>
              <w:end w:val="single" w:sz="5" w:color="BFC8CF"/>
            </w:tcBorders>
            <w:shd w:fill="17324D" w:val="clear"/>
          </w:tcPr>
          <w:p>
            <w:pPr>
              <w:spacing w:before="0" w:after="0" w:line="259" w:lineRule="auto"/>
            </w:pPr>
            <w:r>
              <w:rPr>
                <w:rFonts w:ascii="Lato" w:hAnsi="Lato" w:eastAsia="Lato" w:cs="Lato"/>
                <w:b/>
                <w:color w:val="FFFFFF"/>
                <w:sz w:val="17"/>
              </w:rPr>
              <w:t>Role</w:t>
            </w:r>
          </w:p>
        </w:tc>
        <w:tc>
          <w:tcPr>
            <w:tcW w:type="dxa" w:w="3456"/>
            <w:tcBorders>
              <w:top w:val="single" w:sz="5" w:color="BFC8CF"/>
              <w:start w:val="single" w:sz="5" w:color="BFC8CF"/>
              <w:bottom w:val="single" w:sz="5" w:color="BFC8CF"/>
              <w:end w:val="single" w:sz="5" w:color="BFC8CF"/>
            </w:tcBorders>
            <w:shd w:fill="17324D" w:val="clear"/>
          </w:tcPr>
          <w:p>
            <w:pPr>
              <w:spacing w:before="0" w:after="0" w:line="259" w:lineRule="auto"/>
            </w:pPr>
            <w:r>
              <w:rPr>
                <w:rFonts w:ascii="Lato" w:hAnsi="Lato" w:eastAsia="Lato" w:cs="Lato"/>
                <w:b/>
                <w:color w:val="FFFFFF"/>
                <w:sz w:val="17"/>
              </w:rPr>
              <w:t>Name / signature</w:t>
            </w:r>
          </w:p>
        </w:tc>
        <w:tc>
          <w:tcPr>
            <w:tcW w:type="dxa" w:w="3456"/>
            <w:tcBorders>
              <w:top w:val="single" w:sz="5" w:color="BFC8CF"/>
              <w:start w:val="single" w:sz="5" w:color="BFC8CF"/>
              <w:bottom w:val="single" w:sz="5" w:color="BFC8CF"/>
              <w:end w:val="single" w:sz="5" w:color="BFC8CF"/>
            </w:tcBorders>
            <w:shd w:fill="17324D" w:val="clear"/>
          </w:tcPr>
          <w:p>
            <w:pPr>
              <w:spacing w:before="0" w:after="0" w:line="259" w:lineRule="auto"/>
            </w:pPr>
            <w:r>
              <w:rPr>
                <w:rFonts w:ascii="Lato" w:hAnsi="Lato" w:eastAsia="Lato" w:cs="Lato"/>
                <w:b/>
                <w:color w:val="FFFFFF"/>
                <w:sz w:val="17"/>
              </w:rPr>
              <w:t>Date</w:t>
            </w:r>
          </w:p>
        </w:tc>
      </w:tr>
      <w:tr>
        <w:trPr>
          <w:trHeight w:val="792"/>
        </w:trPr>
        <w:tc>
          <w:tcPr>
            <w:tcW w:type="dxa" w:w="3168"/>
            <w:tcBorders>
              <w:top w:val="single" w:sz="5" w:color="BFC8CF"/>
              <w:start w:val="single" w:sz="5" w:color="BFC8CF"/>
              <w:bottom w:val="single" w:sz="5" w:color="BFC8CF"/>
              <w:end w:val="single" w:sz="5" w:color="BFC8CF"/>
            </w:tcBorders>
            <w:tcMar>
              <w:top w:w="120" w:type="dxa"/>
              <w:start w:w="110" w:type="dxa"/>
              <w:bottom w:w="120" w:type="dxa"/>
              <w:end w:w="110" w:type="dxa"/>
            </w:tcMar>
          </w:tcPr>
          <w:p>
            <w:pPr>
              <w:spacing w:before="0" w:after="0" w:line="259" w:lineRule="auto"/>
            </w:pPr>
            <w:r>
              <w:rPr>
                <w:rFonts w:ascii="Noto Sans" w:hAnsi="Noto Sans" w:eastAsia="Noto Sans" w:cs="Noto Sans"/>
                <w:b/>
                <w:color w:val="17324D"/>
                <w:sz w:val="17"/>
              </w:rPr>
              <w:t>Sponsor</w:t>
            </w:r>
          </w:p>
        </w:tc>
        <w:tc>
          <w:tcPr>
            <w:tcW w:type="dxa" w:w="3456"/>
            <w:tcBorders>
              <w:top w:val="single" w:sz="5" w:color="BFC8CF"/>
              <w:start w:val="single" w:sz="5" w:color="BFC8CF"/>
              <w:bottom w:val="single" w:sz="5" w:color="BFC8CF"/>
              <w:end w:val="single" w:sz="5" w:color="BFC8CF"/>
            </w:tcBorders>
            <w:tcMar>
              <w:top w:w="120" w:type="dxa"/>
              <w:start w:w="110" w:type="dxa"/>
              <w:bottom w:w="120" w:type="dxa"/>
              <w:end w:w="110" w:type="dxa"/>
            </w:tcMar>
          </w:tcPr>
          <w:p>
            <w:pPr>
              <w:spacing w:before="0" w:after="0" w:line="259" w:lineRule="auto"/>
            </w:pPr>
            <w:r>
              <w:rPr>
                <w:rFonts w:ascii="Noto Sans" w:hAnsi="Noto Sans" w:eastAsia="Noto Sans" w:cs="Noto Sans"/>
                <w:b w:val="0"/>
                <w:color w:val="111111"/>
                <w:sz w:val="17"/>
              </w:rPr>
            </w:r>
          </w:p>
        </w:tc>
        <w:tc>
          <w:tcPr>
            <w:tcW w:type="dxa" w:w="3456"/>
            <w:tcBorders>
              <w:top w:val="single" w:sz="5" w:color="BFC8CF"/>
              <w:start w:val="single" w:sz="5" w:color="BFC8CF"/>
              <w:bottom w:val="single" w:sz="5" w:color="BFC8CF"/>
              <w:end w:val="single" w:sz="5" w:color="BFC8CF"/>
            </w:tcBorders>
            <w:tcMar>
              <w:top w:w="120" w:type="dxa"/>
              <w:start w:w="110" w:type="dxa"/>
              <w:bottom w:w="120" w:type="dxa"/>
              <w:end w:w="110" w:type="dxa"/>
            </w:tcMar>
          </w:tcPr>
          <w:p>
            <w:pPr>
              <w:spacing w:before="0" w:after="0" w:line="259" w:lineRule="auto"/>
            </w:pPr>
            <w:r>
              <w:rPr>
                <w:rFonts w:ascii="Noto Sans" w:hAnsi="Noto Sans" w:eastAsia="Noto Sans" w:cs="Noto Sans"/>
                <w:b w:val="0"/>
                <w:color w:val="111111"/>
                <w:sz w:val="17"/>
              </w:rPr>
            </w:r>
          </w:p>
        </w:tc>
      </w:tr>
      <w:tr>
        <w:trPr>
          <w:trHeight w:val="792"/>
        </w:trPr>
        <w:tc>
          <w:tcPr>
            <w:tcW w:type="dxa" w:w="3168"/>
            <w:tcBorders>
              <w:top w:val="single" w:sz="5" w:color="BFC8CF"/>
              <w:start w:val="single" w:sz="5" w:color="BFC8CF"/>
              <w:bottom w:val="single" w:sz="5" w:color="BFC8CF"/>
              <w:end w:val="single" w:sz="5" w:color="BFC8CF"/>
            </w:tcBorders>
            <w:tcMar>
              <w:top w:w="120" w:type="dxa"/>
              <w:start w:w="110" w:type="dxa"/>
              <w:bottom w:w="120" w:type="dxa"/>
              <w:end w:w="110" w:type="dxa"/>
            </w:tcMar>
          </w:tcPr>
          <w:p>
            <w:pPr>
              <w:spacing w:before="0" w:after="0" w:line="259" w:lineRule="auto"/>
            </w:pPr>
            <w:r>
              <w:rPr>
                <w:rFonts w:ascii="Noto Sans" w:hAnsi="Noto Sans" w:eastAsia="Noto Sans" w:cs="Noto Sans"/>
                <w:b/>
                <w:color w:val="17324D"/>
                <w:sz w:val="17"/>
              </w:rPr>
              <w:t>Principal investigator</w:t>
            </w:r>
          </w:p>
        </w:tc>
        <w:tc>
          <w:tcPr>
            <w:tcW w:type="dxa" w:w="3456"/>
            <w:tcBorders>
              <w:top w:val="single" w:sz="5" w:color="BFC8CF"/>
              <w:start w:val="single" w:sz="5" w:color="BFC8CF"/>
              <w:bottom w:val="single" w:sz="5" w:color="BFC8CF"/>
              <w:end w:val="single" w:sz="5" w:color="BFC8CF"/>
            </w:tcBorders>
            <w:tcMar>
              <w:top w:w="120" w:type="dxa"/>
              <w:start w:w="110" w:type="dxa"/>
              <w:bottom w:w="120" w:type="dxa"/>
              <w:end w:w="110" w:type="dxa"/>
            </w:tcMar>
          </w:tcPr>
          <w:p>
            <w:pPr>
              <w:spacing w:before="0" w:after="0" w:line="259" w:lineRule="auto"/>
            </w:pPr>
            <w:r>
              <w:rPr>
                <w:rFonts w:ascii="Noto Sans" w:hAnsi="Noto Sans" w:eastAsia="Noto Sans" w:cs="Noto Sans"/>
                <w:b w:val="0"/>
                <w:color w:val="111111"/>
                <w:sz w:val="17"/>
              </w:rPr>
            </w:r>
          </w:p>
        </w:tc>
        <w:tc>
          <w:tcPr>
            <w:tcW w:type="dxa" w:w="3456"/>
            <w:tcBorders>
              <w:top w:val="single" w:sz="5" w:color="BFC8CF"/>
              <w:start w:val="single" w:sz="5" w:color="BFC8CF"/>
              <w:bottom w:val="single" w:sz="5" w:color="BFC8CF"/>
              <w:end w:val="single" w:sz="5" w:color="BFC8CF"/>
            </w:tcBorders>
            <w:tcMar>
              <w:top w:w="120" w:type="dxa"/>
              <w:start w:w="110" w:type="dxa"/>
              <w:bottom w:w="120" w:type="dxa"/>
              <w:end w:w="110" w:type="dxa"/>
            </w:tcMar>
          </w:tcPr>
          <w:p>
            <w:pPr>
              <w:spacing w:before="0" w:after="0" w:line="259" w:lineRule="auto"/>
            </w:pPr>
            <w:r>
              <w:rPr>
                <w:rFonts w:ascii="Noto Sans" w:hAnsi="Noto Sans" w:eastAsia="Noto Sans" w:cs="Noto Sans"/>
                <w:b w:val="0"/>
                <w:color w:val="111111"/>
                <w:sz w:val="17"/>
              </w:rPr>
            </w:r>
          </w:p>
        </w:tc>
      </w:tr>
      <w:tr>
        <w:trPr>
          <w:trHeight w:val="792"/>
        </w:trPr>
        <w:tc>
          <w:tcPr>
            <w:tcW w:type="dxa" w:w="3168"/>
            <w:tcBorders>
              <w:top w:val="single" w:sz="5" w:color="BFC8CF"/>
              <w:start w:val="single" w:sz="5" w:color="BFC8CF"/>
              <w:bottom w:val="single" w:sz="5" w:color="BFC8CF"/>
              <w:end w:val="single" w:sz="5" w:color="BFC8CF"/>
            </w:tcBorders>
            <w:tcMar>
              <w:top w:w="120" w:type="dxa"/>
              <w:start w:w="110" w:type="dxa"/>
              <w:bottom w:w="120" w:type="dxa"/>
              <w:end w:w="110" w:type="dxa"/>
            </w:tcMar>
          </w:tcPr>
          <w:p>
            <w:pPr>
              <w:spacing w:before="0" w:after="0" w:line="259" w:lineRule="auto"/>
            </w:pPr>
            <w:r>
              <w:rPr>
                <w:rFonts w:ascii="Noto Sans" w:hAnsi="Noto Sans" w:eastAsia="Noto Sans" w:cs="Noto Sans"/>
                <w:b/>
                <w:color w:val="17324D"/>
                <w:sz w:val="17"/>
              </w:rPr>
              <w:t>External technical reviewer</w:t>
            </w:r>
          </w:p>
        </w:tc>
        <w:tc>
          <w:tcPr>
            <w:tcW w:type="dxa" w:w="3456"/>
            <w:tcBorders>
              <w:top w:val="single" w:sz="5" w:color="BFC8CF"/>
              <w:start w:val="single" w:sz="5" w:color="BFC8CF"/>
              <w:bottom w:val="single" w:sz="5" w:color="BFC8CF"/>
              <w:end w:val="single" w:sz="5" w:color="BFC8CF"/>
            </w:tcBorders>
            <w:tcMar>
              <w:top w:w="120" w:type="dxa"/>
              <w:start w:w="110" w:type="dxa"/>
              <w:bottom w:w="120" w:type="dxa"/>
              <w:end w:w="110" w:type="dxa"/>
            </w:tcMar>
          </w:tcPr>
          <w:p>
            <w:pPr>
              <w:spacing w:before="0" w:after="0" w:line="259" w:lineRule="auto"/>
            </w:pPr>
            <w:r>
              <w:rPr>
                <w:rFonts w:ascii="Noto Sans" w:hAnsi="Noto Sans" w:eastAsia="Noto Sans" w:cs="Noto Sans"/>
                <w:b w:val="0"/>
                <w:color w:val="111111"/>
                <w:sz w:val="17"/>
              </w:rPr>
            </w:r>
          </w:p>
        </w:tc>
        <w:tc>
          <w:tcPr>
            <w:tcW w:type="dxa" w:w="3456"/>
            <w:tcBorders>
              <w:top w:val="single" w:sz="5" w:color="BFC8CF"/>
              <w:start w:val="single" w:sz="5" w:color="BFC8CF"/>
              <w:bottom w:val="single" w:sz="5" w:color="BFC8CF"/>
              <w:end w:val="single" w:sz="5" w:color="BFC8CF"/>
            </w:tcBorders>
            <w:tcMar>
              <w:top w:w="120" w:type="dxa"/>
              <w:start w:w="110" w:type="dxa"/>
              <w:bottom w:w="120" w:type="dxa"/>
              <w:end w:w="110" w:type="dxa"/>
            </w:tcMar>
          </w:tcPr>
          <w:p>
            <w:pPr>
              <w:spacing w:before="0" w:after="0" w:line="259" w:lineRule="auto"/>
            </w:pPr>
            <w:r>
              <w:rPr>
                <w:rFonts w:ascii="Noto Sans" w:hAnsi="Noto Sans" w:eastAsia="Noto Sans" w:cs="Noto Sans"/>
                <w:b w:val="0"/>
                <w:color w:val="111111"/>
                <w:sz w:val="17"/>
              </w:rPr>
            </w:r>
          </w:p>
        </w:tc>
      </w:tr>
    </w:tbl>
    <w:p>
      <w:r>
        <w:br w:type="page"/>
      </w:r>
    </w:p>
    <w:p>
      <w:pPr>
        <w:pStyle w:val="Heading1"/>
        <w:keepNext/>
        <w:spacing w:before="240" w:after="100" w:line="240" w:lineRule="auto"/>
      </w:pPr>
      <w:r>
        <w:rPr>
          <w:rFonts w:ascii="Lato" w:hAnsi="Lato" w:eastAsia="Lato" w:cs="Lato"/>
          <w:b/>
          <w:color w:val="17324D"/>
          <w:sz w:val="30"/>
        </w:rPr>
        <w:t>Appendix A - Technical anchor and initial theorem checklist</w:t>
      </w:r>
    </w:p>
    <w:p>
      <w:pPr>
        <w:pStyle w:val="Heading2"/>
        <w:keepNext/>
        <w:spacing w:before="140" w:after="100" w:line="240" w:lineRule="auto"/>
      </w:pPr>
      <w:r>
        <w:rPr>
          <w:rFonts w:ascii="Lato" w:hAnsi="Lato" w:eastAsia="Lato" w:cs="Lato"/>
          <w:b/>
          <w:color w:val="17324D"/>
          <w:sz w:val="24"/>
        </w:rPr>
        <w:t>A.1  Exact collision witness</w:t>
      </w:r>
    </w:p>
    <w:tbl>
      <w:tblPr>
        <w:tblW w:type="auto" w:w="0"/>
        <w:jc w:val="center"/>
        <w:tblLook w:firstColumn="1" w:firstRow="1" w:lastColumn="0" w:lastRow="0" w:noHBand="0" w:noVBand="1" w:val="04A0"/>
      </w:tblPr>
      <w:tblGrid>
        <w:gridCol w:w="10166"/>
      </w:tblGrid>
      <w:tr>
        <w:tc>
          <w:tcPr>
            <w:tcW w:type="dxa" w:w="10166"/>
            <w:shd w:fill="F6EEDB" w:val="clear"/>
            <w:tcMar>
              <w:top w:w="120" w:type="dxa"/>
              <w:start w:w="170" w:type="dxa"/>
              <w:bottom w:w="120" w:type="dxa"/>
              <w:end w:w="170" w:type="dxa"/>
            </w:tcMar>
            <w:tcBorders>
              <w:top w:val="single" w:sz="6" w:color="D9DEE3"/>
              <w:start w:val="single" w:sz="6" w:color="D9DEE3"/>
              <w:bottom w:val="single" w:sz="6" w:color="D9DEE3"/>
              <w:end w:val="single" w:sz="6" w:color="D9DEE3"/>
            </w:tcBorders>
          </w:tcPr>
          <w:p>
            <w:pPr>
              <w:spacing w:after="0"/>
              <w:jc w:val="center"/>
            </w:pPr>
            <w:r>
              <w:rPr>
                <w:rFonts w:ascii="Noto Serif" w:hAnsi="Noto Serif" w:eastAsia="Noto Serif" w:cs="Noto Serif"/>
                <w:i/>
                <w:color w:val="111111"/>
                <w:sz w:val="19"/>
              </w:rPr>
              <w:t>F(0, 0, -1/4) = (-1/4, 0, 0)</w:t>
            </w:r>
            <w:r>
              <w:br/>
            </w:r>
            <w:r>
              <w:rPr>
                <w:rFonts w:ascii="Noto Serif" w:hAnsi="Noto Serif" w:eastAsia="Noto Serif" w:cs="Noto Serif"/>
                <w:i/>
                <w:color w:val="111111"/>
                <w:sz w:val="19"/>
              </w:rPr>
              <w:t>F(1, -3/2, 13/2) = (-1/4, 0, 0)</w:t>
            </w:r>
            <w:r>
              <w:br/>
            </w:r>
            <w:r>
              <w:rPr>
                <w:rFonts w:ascii="Noto Serif" w:hAnsi="Noto Serif" w:eastAsia="Noto Serif" w:cs="Noto Serif"/>
                <w:i/>
                <w:color w:val="111111"/>
                <w:sz w:val="19"/>
              </w:rPr>
              <w:t>F(-1, 3/2, 13/2) = (-1/4, 0, 0)</w:t>
            </w:r>
          </w:p>
        </w:tc>
      </w:tr>
    </w:tbl>
    <w:p>
      <w:pPr>
        <w:spacing w:after="0"/>
      </w:pPr>
    </w:p>
    <w:p>
      <w:pPr>
        <w:keepLines w:val="0"/>
        <w:spacing w:before="0" w:after="100" w:line="269" w:lineRule="auto"/>
      </w:pPr>
      <w:r>
        <w:rPr>
          <w:rFonts w:ascii="Noto Sans" w:hAnsi="Noto Sans" w:eastAsia="Noto Sans" w:cs="Noto Sans"/>
          <w:i w:val="0"/>
          <w:color w:val="111111"/>
          <w:sz w:val="19"/>
        </w:rPr>
        <w:t>Together with det DF = -2, this gives a finite exact disproof of global polynomial invertibility for the displayed map. The program will preserve exact rational witnesses in every release.</w:t>
      </w:r>
    </w:p>
    <w:p>
      <w:pPr>
        <w:pStyle w:val="Heading2"/>
        <w:keepNext/>
        <w:spacing w:before="140" w:after="100" w:line="240" w:lineRule="auto"/>
      </w:pPr>
      <w:r>
        <w:rPr>
          <w:rFonts w:ascii="Lato" w:hAnsi="Lato" w:eastAsia="Lato" w:cs="Lato"/>
          <w:b/>
          <w:color w:val="17324D"/>
          <w:sz w:val="24"/>
        </w:rPr>
        <w:t>A.2  Initial theorem checklist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5"/>
              </w:rPr>
              <w:t>ID</w:t>
            </w:r>
          </w:p>
        </w:tc>
        <w:tc>
          <w:tcPr>
            <w:tcW w:type="dxa" w:w="5328"/>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5"/>
              </w:rPr>
              <w:t>Statement</w:t>
            </w:r>
          </w:p>
        </w:tc>
        <w:tc>
          <w:tcPr>
            <w:tcW w:type="dxa" w:w="2736"/>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5"/>
              </w:rPr>
              <w:t>Method</w:t>
            </w:r>
          </w:p>
        </w:tc>
        <w:tc>
          <w:tcPr>
            <w:tcW w:type="dxa" w:w="1224"/>
            <w:tcBorders>
              <w:top w:val="single" w:sz="5" w:color="C9D0D6"/>
              <w:start w:val="single" w:sz="5" w:color="C9D0D6"/>
              <w:bottom w:val="single" w:sz="5" w:color="C9D0D6"/>
              <w:end w:val="single" w:sz="5" w:color="C9D0D6"/>
            </w:tcBorders>
            <w:shd w:fill="17324D" w:val="clear"/>
            <w:tcMar>
              <w:top w:w="85" w:type="dxa"/>
              <w:start w:w="80" w:type="dxa"/>
              <w:bottom w:w="85" w:type="dxa"/>
              <w:end w:w="80" w:type="dxa"/>
            </w:tcMar>
            <w:vAlign w:val="center"/>
          </w:tcPr>
          <w:p>
            <w:pPr>
              <w:spacing w:before="0" w:after="0" w:line="240" w:lineRule="auto"/>
              <w:jc w:val="left"/>
            </w:pPr>
            <w:r>
              <w:rPr>
                <w:rFonts w:ascii="Lato" w:hAnsi="Lato" w:eastAsia="Lato" w:cs="Lato"/>
                <w:b/>
                <w:color w:val="FFFFFF"/>
                <w:sz w:val="15"/>
              </w:rPr>
              <w:t>Gate</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T0.1</w:t>
            </w:r>
          </w:p>
        </w:tc>
        <w:tc>
          <w:tcPr>
            <w:tcW w:type="dxa" w:w="5328"/>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det DF is the stated nonzero constant</w:t>
            </w:r>
          </w:p>
        </w:tc>
        <w:tc>
          <w:tcPr>
            <w:tcW w:type="dxa" w:w="273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Exact CAS + Lean</w:t>
            </w:r>
          </w:p>
        </w:tc>
        <w:tc>
          <w:tcPr>
            <w:tcW w:type="dxa" w:w="1224"/>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G0</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T0.2</w:t>
            </w:r>
          </w:p>
        </w:tc>
        <w:tc>
          <w:tcPr>
            <w:tcW w:type="dxa" w:w="5328"/>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The three collision identities hold</w:t>
            </w:r>
          </w:p>
        </w:tc>
        <w:tc>
          <w:tcPr>
            <w:tcW w:type="dxa" w:w="273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Exact CAS + Lean</w:t>
            </w:r>
          </w:p>
        </w:tc>
        <w:tc>
          <w:tcPr>
            <w:tcW w:type="dxa" w:w="1224"/>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G0</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T1.1</w:t>
            </w:r>
          </w:p>
        </w:tc>
        <w:tc>
          <w:tcPr>
            <w:tcW w:type="dxa" w:w="5328"/>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B = DF^(-T) has polynomial entries</w:t>
            </w:r>
          </w:p>
        </w:tc>
        <w:tc>
          <w:tcPr>
            <w:tcW w:type="dxa" w:w="273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Adjugate formula</w:t>
            </w:r>
          </w:p>
        </w:tc>
        <w:tc>
          <w:tcPr>
            <w:tcW w:type="dxa" w:w="1224"/>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G1</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T1.2</w:t>
            </w:r>
          </w:p>
        </w:tc>
        <w:tc>
          <w:tcPr>
            <w:tcW w:type="dxa" w:w="5328"/>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Phi(q,p) = (F(q),B(q)p) preserves the canonical Poisson bracket</w:t>
            </w:r>
          </w:p>
        </w:tc>
        <w:tc>
          <w:tcPr>
            <w:tcW w:type="dxa" w:w="273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Symbolic proof + geometric proof</w:t>
            </w:r>
          </w:p>
        </w:tc>
        <w:tc>
          <w:tcPr>
            <w:tcW w:type="dxa" w:w="1224"/>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G1</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T1.3</w:t>
            </w:r>
          </w:p>
        </w:tc>
        <w:tc>
          <w:tcPr>
            <w:tcW w:type="dxa" w:w="5328"/>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Phi is not an automorphism</w:t>
            </w:r>
          </w:p>
        </w:tc>
        <w:tc>
          <w:tcPr>
            <w:tcW w:type="dxa" w:w="273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Explicit lifted collision</w:t>
            </w:r>
          </w:p>
        </w:tc>
        <w:tc>
          <w:tcPr>
            <w:tcW w:type="dxa" w:w="1224"/>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G1</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T1.4</w:t>
            </w:r>
          </w:p>
        </w:tc>
        <w:tc>
          <w:tcPr>
            <w:tcW w:type="dxa" w:w="5328"/>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The Weyl substitution preserves all canonical commutators</w:t>
            </w:r>
          </w:p>
        </w:tc>
        <w:tc>
          <w:tcPr>
            <w:tcW w:type="dxa" w:w="273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Noncommutative symbolic proof</w:t>
            </w:r>
          </w:p>
        </w:tc>
        <w:tc>
          <w:tcPr>
            <w:tcW w:type="dxa" w:w="1224"/>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G1</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T1.5</w:t>
            </w:r>
          </w:p>
        </w:tc>
        <w:tc>
          <w:tcPr>
            <w:tcW w:type="dxa" w:w="5328"/>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The Weyl endomorphism is not surjective</w:t>
            </w:r>
          </w:p>
        </w:tc>
        <w:tc>
          <w:tcPr>
            <w:tcW w:type="dxa" w:w="273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Direct theorem / standard construction</w:t>
            </w:r>
          </w:p>
        </w:tc>
        <w:tc>
          <w:tcPr>
            <w:tcW w:type="dxa" w:w="1224"/>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G1-G2</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T2.1</w:t>
            </w:r>
          </w:p>
        </w:tc>
        <w:tc>
          <w:tcPr>
            <w:tcW w:type="dxa" w:w="5328"/>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Row-wise div B = 0</w:t>
            </w:r>
          </w:p>
        </w:tc>
        <w:tc>
          <w:tcPr>
            <w:tcW w:type="dxa" w:w="273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Piola identity + exact check</w:t>
            </w:r>
          </w:p>
        </w:tc>
        <w:tc>
          <w:tcPr>
            <w:tcW w:type="dxa" w:w="1224"/>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G2</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T2.2</w:t>
            </w:r>
          </w:p>
        </w:tc>
        <w:tc>
          <w:tcPr>
            <w:tcW w:type="dxa" w:w="5328"/>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Transformed momenta are formally symmetric on S(R^3)</w:t>
            </w:r>
          </w:p>
        </w:tc>
        <w:tc>
          <w:tcPr>
            <w:tcW w:type="dxa" w:w="273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Integration by parts</w:t>
            </w:r>
          </w:p>
        </w:tc>
        <w:tc>
          <w:tcPr>
            <w:tcW w:type="dxa" w:w="1224"/>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G2</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T2.3</w:t>
            </w:r>
          </w:p>
        </w:tc>
        <w:tc>
          <w:tcPr>
            <w:tcW w:type="dxa" w:w="5328"/>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At least one dual vector field is incomplete, or a countervailing theorem is found</w:t>
            </w:r>
          </w:p>
        </w:tc>
        <w:tc>
          <w:tcPr>
            <w:tcW w:type="dxa" w:w="273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Flow/geometry analysis</w:t>
            </w:r>
          </w:p>
        </w:tc>
        <w:tc>
          <w:tcPr>
            <w:tcW w:type="dxa" w:w="1224"/>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G2</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T3.1</w:t>
            </w:r>
          </w:p>
        </w:tc>
        <w:tc>
          <w:tcPr>
            <w:tcW w:type="dxa" w:w="5328"/>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Essential self-adjointness and strong commutation are classified</w:t>
            </w:r>
          </w:p>
        </w:tc>
        <w:tc>
          <w:tcPr>
            <w:tcW w:type="dxa" w:w="273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Operator theory</w:t>
            </w:r>
          </w:p>
        </w:tc>
        <w:tc>
          <w:tcPr>
            <w:tcW w:type="dxa" w:w="1224"/>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G2-G3</w:t>
            </w:r>
          </w:p>
        </w:tc>
      </w:tr>
      <w:tr>
        <w:trPr>
          <w:cantSplit/>
        </w:trPr>
        <w:tc>
          <w:tcPr>
            <w:tcW w:type="dxa" w:w="792"/>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T4.1</w:t>
            </w:r>
          </w:p>
        </w:tc>
        <w:tc>
          <w:tcPr>
            <w:tcW w:type="dxa" w:w="5328"/>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Selected C*- / resolvent extension exists or is impossible</w:t>
            </w:r>
          </w:p>
        </w:tc>
        <w:tc>
          <w:tcPr>
            <w:tcW w:type="dxa" w:w="2736"/>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Operator-algebra theorem</w:t>
            </w:r>
          </w:p>
        </w:tc>
        <w:tc>
          <w:tcPr>
            <w:tcW w:type="dxa" w:w="1224"/>
            <w:tcBorders>
              <w:top w:val="single" w:sz="5" w:color="C9D0D6"/>
              <w:start w:val="single" w:sz="5" w:color="C9D0D6"/>
              <w:bottom w:val="single" w:sz="5" w:color="C9D0D6"/>
              <w:end w:val="single" w:sz="5" w:color="C9D0D6"/>
            </w:tcBorders>
            <w:shd w:fill="FAFBFC" w:val="clear"/>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G3</w:t>
            </w:r>
          </w:p>
        </w:tc>
      </w:tr>
      <w:tr>
        <w:trPr>
          <w:cantSplit/>
        </w:trPr>
        <w:tc>
          <w:tcPr>
            <w:tcW w:type="dxa" w:w="792"/>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color w:val="17324D"/>
                <w:sz w:val="15"/>
              </w:rPr>
              <w:t>T5.1</w:t>
            </w:r>
          </w:p>
        </w:tc>
        <w:tc>
          <w:tcPr>
            <w:tcW w:type="dxa" w:w="5328"/>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Operational CP/dilation model exists or selected classes are excluded</w:t>
            </w:r>
          </w:p>
        </w:tc>
        <w:tc>
          <w:tcPr>
            <w:tcW w:type="dxa" w:w="2736"/>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Quantum channel theory</w:t>
            </w:r>
          </w:p>
        </w:tc>
        <w:tc>
          <w:tcPr>
            <w:tcW w:type="dxa" w:w="1224"/>
            <w:tcBorders>
              <w:top w:val="single" w:sz="5" w:color="C9D0D6"/>
              <w:start w:val="single" w:sz="5" w:color="C9D0D6"/>
              <w:bottom w:val="single" w:sz="5" w:color="C9D0D6"/>
              <w:end w:val="single" w:sz="5" w:color="C9D0D6"/>
            </w:tcBorders>
            <w:tcMar>
              <w:top w:w="75" w:type="dxa"/>
              <w:start w:w="80" w:type="dxa"/>
              <w:bottom w:w="75" w:type="dxa"/>
              <w:end w:w="80" w:type="dxa"/>
            </w:tcMar>
            <w:vAlign w:val="top"/>
          </w:tcPr>
          <w:p>
            <w:pPr>
              <w:spacing w:before="0" w:after="0" w:line="250" w:lineRule="auto"/>
            </w:pPr>
            <w:r>
              <w:rPr>
                <w:rFonts w:ascii="Noto Sans" w:hAnsi="Noto Sans" w:eastAsia="Noto Sans" w:cs="Noto Sans"/>
                <w:b w:val="0"/>
                <w:color w:val="111111"/>
                <w:sz w:val="15"/>
              </w:rPr>
              <w:t>G4</w:t>
            </w:r>
          </w:p>
        </w:tc>
      </w:tr>
    </w:tbl>
    <w:p>
      <w:pPr>
        <w:spacing w:after="0"/>
      </w:pPr>
    </w:p>
    <w:p>
      <w:pPr>
        <w:pStyle w:val="Heading2"/>
        <w:keepNext/>
        <w:spacing w:before="140" w:after="100" w:line="240" w:lineRule="auto"/>
      </w:pPr>
      <w:r>
        <w:rPr>
          <w:rFonts w:ascii="Lato" w:hAnsi="Lato" w:eastAsia="Lato" w:cs="Lato"/>
          <w:b/>
          <w:color w:val="17324D"/>
          <w:sz w:val="24"/>
        </w:rPr>
        <w:t>A.3  Interpretation matrix</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456"/>
            <w:tcBorders>
              <w:top w:val="single" w:sz="6" w:color="D9DEE3"/>
              <w:start w:val="single" w:sz="6" w:color="D9DEE3"/>
              <w:bottom w:val="single" w:sz="6" w:color="D9DEE3"/>
              <w:end w:val="single" w:sz="6" w:color="D9DEE3"/>
            </w:tcBorders>
            <w:shd w:fill="17324D" w:val="clear"/>
            <w:vAlign w:val="center"/>
          </w:tcPr>
          <w:p>
            <w:pPr>
              <w:spacing w:before="0" w:after="0" w:line="240" w:lineRule="auto"/>
              <w:jc w:val="left"/>
            </w:pPr>
            <w:r>
              <w:rPr>
                <w:rFonts w:ascii="Lato" w:hAnsi="Lato" w:eastAsia="Lato" w:cs="Lato"/>
                <w:b/>
                <w:color w:val="FFFFFF"/>
                <w:sz w:val="17"/>
              </w:rPr>
              <w:t>Highest level reached</w:t>
            </w:r>
          </w:p>
        </w:tc>
        <w:tc>
          <w:tcPr>
            <w:tcW w:type="dxa" w:w="6624"/>
            <w:tcBorders>
              <w:top w:val="single" w:sz="6" w:color="D9DEE3"/>
              <w:start w:val="single" w:sz="6" w:color="D9DEE3"/>
              <w:bottom w:val="single" w:sz="6" w:color="D9DEE3"/>
              <w:end w:val="single" w:sz="6" w:color="D9DEE3"/>
            </w:tcBorders>
            <w:shd w:fill="17324D" w:val="clear"/>
            <w:vAlign w:val="center"/>
          </w:tcPr>
          <w:p>
            <w:pPr>
              <w:spacing w:before="0" w:after="0" w:line="240" w:lineRule="auto"/>
              <w:jc w:val="left"/>
            </w:pPr>
            <w:r>
              <w:rPr>
                <w:rFonts w:ascii="Lato" w:hAnsi="Lato" w:eastAsia="Lato" w:cs="Lato"/>
                <w:b/>
                <w:color w:val="FFFFFF"/>
                <w:sz w:val="17"/>
              </w:rPr>
              <w:t>Permitted interpretation</w:t>
            </w:r>
          </w:p>
        </w:tc>
      </w:tr>
      <w:tr>
        <w:trPr>
          <w:cantSplit/>
        </w:trPr>
        <w:tc>
          <w:tcPr>
            <w:tcW w:type="dxa" w:w="345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Poisson endomorphism only</w:t>
            </w:r>
          </w:p>
        </w:tc>
        <w:tc>
          <w:tcPr>
            <w:tcW w:type="dxa" w:w="662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New classical algebraic example; no quantum claim.</w:t>
            </w:r>
          </w:p>
        </w:tc>
      </w:tr>
      <w:tr>
        <w:trPr>
          <w:cantSplit/>
        </w:trPr>
        <w:tc>
          <w:tcPr>
            <w:tcW w:type="dxa" w:w="345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Weyl algebra *-endomorphism on a core</w:t>
            </w:r>
          </w:p>
        </w:tc>
        <w:tc>
          <w:tcPr>
            <w:tcW w:type="dxa" w:w="662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Nonlinear observable substitution; still not a physical operation.</w:t>
            </w:r>
          </w:p>
        </w:tc>
      </w:tr>
      <w:tr>
        <w:trPr>
          <w:cantSplit/>
        </w:trPr>
        <w:tc>
          <w:tcPr>
            <w:tcW w:type="dxa" w:w="345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Self-adjoint regular realization</w:t>
            </w:r>
          </w:p>
        </w:tc>
        <w:tc>
          <w:tcPr>
            <w:tcW w:type="dxa" w:w="662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Canonical observables exist analytically; unitary implementation remains impossible if proper.</w:t>
            </w:r>
          </w:p>
        </w:tc>
      </w:tr>
      <w:tr>
        <w:trPr>
          <w:cantSplit/>
        </w:trPr>
        <w:tc>
          <w:tcPr>
            <w:tcW w:type="dxa" w:w="345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C*-endomorphism</w:t>
            </w:r>
          </w:p>
        </w:tc>
        <w:tc>
          <w:tcPr>
            <w:tcW w:type="dxa" w:w="662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A bounded algebraic quantum structure exists; operational meaning depends on representation and normality.</w:t>
            </w:r>
          </w:p>
        </w:tc>
      </w:tr>
      <w:tr>
        <w:trPr>
          <w:cantSplit/>
        </w:trPr>
        <w:tc>
          <w:tcPr>
            <w:tcW w:type="dxa" w:w="3456"/>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Unital CP map / dilation</w:t>
            </w:r>
          </w:p>
        </w:tc>
        <w:tc>
          <w:tcPr>
            <w:tcW w:type="dxa" w:w="6624"/>
            <w:tcBorders>
              <w:top w:val="single" w:sz="6" w:color="D9DEE3"/>
              <w:start w:val="single" w:sz="6" w:color="D9DEE3"/>
              <w:bottom w:val="single" w:sz="6" w:color="D9DEE3"/>
              <w:end w:val="single" w:sz="6" w:color="D9DEE3"/>
            </w:tcBorders>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Legitimate open-system Heisenberg operation; investigate information loss and subsystem structure.</w:t>
            </w:r>
          </w:p>
        </w:tc>
      </w:tr>
      <w:tr>
        <w:trPr>
          <w:cantSplit/>
        </w:trPr>
        <w:tc>
          <w:tcPr>
            <w:tcW w:type="dxa" w:w="3456"/>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color w:val="17324D"/>
                <w:sz w:val="17"/>
              </w:rPr>
              <w:t>Finite-energy protocol</w:t>
            </w:r>
          </w:p>
        </w:tc>
        <w:tc>
          <w:tcPr>
            <w:tcW w:type="dxa" w:w="6624"/>
            <w:tcBorders>
              <w:top w:val="single" w:sz="6" w:color="D9DEE3"/>
              <w:start w:val="single" w:sz="6" w:color="D9DEE3"/>
              <w:bottom w:val="single" w:sz="6" w:color="D9DEE3"/>
              <w:end w:val="single" w:sz="6" w:color="D9DEE3"/>
            </w:tcBorders>
            <w:shd w:fill="FAFBFC" w:val="clear"/>
            <w:vAlign w:val="top"/>
            <w:tcMar>
              <w:top w:w="90" w:type="dxa"/>
              <w:start w:w="110" w:type="dxa"/>
              <w:bottom w:w="90" w:type="dxa"/>
              <w:end w:w="110" w:type="dxa"/>
            </w:tcMar>
          </w:tcPr>
          <w:p>
            <w:pPr>
              <w:spacing w:before="0" w:after="0" w:line="259" w:lineRule="auto"/>
            </w:pPr>
            <w:r>
              <w:rPr>
                <w:rFonts w:ascii="Noto Sans" w:hAnsi="Noto Sans" w:eastAsia="Noto Sans" w:cs="Noto Sans"/>
                <w:b w:val="0"/>
                <w:color w:val="111111"/>
                <w:sz w:val="17"/>
              </w:rPr>
              <w:t>Candidate continuous-variable primitive; only then assess complexity or experimental feasibility.</w:t>
            </w:r>
          </w:p>
        </w:tc>
      </w:tr>
    </w:tbl>
    <w:p>
      <w:pPr>
        <w:spacing w:after="0"/>
      </w:pPr>
    </w:p>
    <w:p>
      <w:pPr>
        <w:pStyle w:val="Heading1"/>
        <w:keepNext/>
        <w:spacing w:before="240" w:after="100" w:line="240" w:lineRule="auto"/>
      </w:pPr>
      <w:r>
        <w:rPr>
          <w:rFonts w:ascii="Lato" w:hAnsi="Lato" w:eastAsia="Lato" w:cs="Lato"/>
          <w:b/>
          <w:color w:val="17324D"/>
          <w:sz w:val="30"/>
        </w:rPr>
        <w:t>Appendix B - Selected references</w:t>
      </w:r>
    </w:p>
    <w:p>
      <w:pPr>
        <w:spacing w:before="0" w:after="70" w:line="252" w:lineRule="auto"/>
        <w:ind w:left="288" w:hanging="288"/>
      </w:pPr>
      <w:r>
        <w:rPr>
          <w:rFonts w:ascii="Noto Sans" w:hAnsi="Noto Sans" w:eastAsia="Noto Sans" w:cs="Noto Sans"/>
          <w:color w:val="39434D"/>
          <w:sz w:val="16"/>
        </w:rPr>
        <w:t>[1] L. Alpöge, announcement of an explicit three-variable Jacobian counterexample, X post, 19 July 2026, status 2079028340955197566.</w:t>
      </w:r>
    </w:p>
    <w:p>
      <w:pPr>
        <w:spacing w:before="0" w:after="70" w:line="252" w:lineRule="auto"/>
        <w:ind w:left="288" w:hanging="288"/>
      </w:pPr>
      <w:r>
        <w:rPr>
          <w:rFonts w:ascii="Noto Sans" w:hAnsi="Noto Sans" w:eastAsia="Noto Sans" w:cs="Noto Sans"/>
          <w:color w:val="39434D"/>
          <w:sz w:val="16"/>
        </w:rPr>
        <w:t>[2] D. Cureton, "Levent Alpöge/Fable 5's counterexample to the Jacobian conjecture in Lean 4," public repository deancureton/jacobian, accessed 20 July 2026.</w:t>
      </w:r>
    </w:p>
    <w:p>
      <w:pPr>
        <w:spacing w:before="0" w:after="70" w:line="252" w:lineRule="auto"/>
        <w:ind w:left="288" w:hanging="288"/>
      </w:pPr>
      <w:r>
        <w:rPr>
          <w:rFonts w:ascii="Noto Sans" w:hAnsi="Noto Sans" w:eastAsia="Noto Sans" w:cs="Noto Sans"/>
          <w:color w:val="39434D"/>
          <w:sz w:val="16"/>
        </w:rPr>
        <w:t>[3] D. Speyer, "The new counterexample to the Jacobian conjecture," Secret Blogging Seminar, 20 July 2026.</w:t>
      </w:r>
    </w:p>
    <w:p>
      <w:pPr>
        <w:spacing w:before="0" w:after="70" w:line="252" w:lineRule="auto"/>
        <w:ind w:left="288" w:hanging="288"/>
      </w:pPr>
      <w:r>
        <w:rPr>
          <w:rFonts w:ascii="Noto Sans" w:hAnsi="Noto Sans" w:eastAsia="Noto Sans" w:cs="Noto Sans"/>
          <w:color w:val="39434D"/>
          <w:sz w:val="16"/>
        </w:rPr>
        <w:t>[4] A. Belov-Kanel and M. Kontsevich, "The Jacobian conjecture is stably equivalent to the Dixmier conjecture," Moscow Mathematical Journal 7 (2007), 209-218; arXiv:math/0512171; doi:10.17323/1609-4514-2007-7-2-209-218.</w:t>
      </w:r>
    </w:p>
    <w:p>
      <w:pPr>
        <w:spacing w:before="0" w:after="70" w:line="252" w:lineRule="auto"/>
        <w:ind w:left="288" w:hanging="288"/>
      </w:pPr>
      <w:r>
        <w:rPr>
          <w:rFonts w:ascii="Noto Sans" w:hAnsi="Noto Sans" w:eastAsia="Noto Sans" w:cs="Noto Sans"/>
          <w:color w:val="39434D"/>
          <w:sz w:val="16"/>
        </w:rPr>
        <w:t>[5] P. K. Adjamagbo and A. van den Essen, "A proof of the equivalence of the Dixmier, Jacobian and Poisson conjectures," Acta Mathematica Vietnamica 32 (2007), 205-214; arXiv:math/0608009.</w:t>
      </w:r>
    </w:p>
    <w:p>
      <w:pPr>
        <w:spacing w:before="0" w:after="70" w:line="252" w:lineRule="auto"/>
        <w:ind w:left="288" w:hanging="288"/>
      </w:pPr>
      <w:r>
        <w:rPr>
          <w:rFonts w:ascii="Noto Sans" w:hAnsi="Noto Sans" w:eastAsia="Noto Sans" w:cs="Noto Sans"/>
          <w:color w:val="39434D"/>
          <w:sz w:val="16"/>
        </w:rPr>
        <w:t>[6] Y. Tsuchimoto, "Endomorphisms of Weyl algebra and p-curvatures," Osaka Journal of Mathematics 42 (2005), 435-452.</w:t>
      </w:r>
    </w:p>
    <w:p>
      <w:pPr>
        <w:spacing w:before="0" w:after="70" w:line="252" w:lineRule="auto"/>
        <w:ind w:left="288" w:hanging="288"/>
      </w:pPr>
      <w:r>
        <w:rPr>
          <w:rFonts w:ascii="Noto Sans" w:hAnsi="Noto Sans" w:eastAsia="Noto Sans" w:cs="Noto Sans"/>
          <w:color w:val="39434D"/>
          <w:sz w:val="16"/>
        </w:rPr>
        <w:t>[7] H. J. Groenewold, "On the principles of elementary quantum mechanics," Physica 12 (1946), 405-460; doi:10.1016/S0031-8914(46)80059-4.</w:t>
      </w:r>
    </w:p>
    <w:p>
      <w:pPr>
        <w:spacing w:before="0" w:after="70" w:line="252" w:lineRule="auto"/>
        <w:ind w:left="288" w:hanging="288"/>
      </w:pPr>
      <w:r>
        <w:rPr>
          <w:rFonts w:ascii="Noto Sans" w:hAnsi="Noto Sans" w:eastAsia="Noto Sans" w:cs="Noto Sans"/>
          <w:color w:val="39434D"/>
          <w:sz w:val="16"/>
        </w:rPr>
        <w:t>[8] W. F. Stinespring, "Positive functions on C*-algebras," Proceedings of the American Mathematical Society 6 (1955), 211-216; doi:10.1090/S0002-9939-1955-0069403-4.</w:t>
      </w:r>
    </w:p>
    <w:p>
      <w:pPr>
        <w:spacing w:before="0" w:after="70" w:line="252" w:lineRule="auto"/>
        <w:ind w:left="288" w:hanging="288"/>
      </w:pPr>
      <w:r>
        <w:rPr>
          <w:rFonts w:ascii="Noto Sans" w:hAnsi="Noto Sans" w:eastAsia="Noto Sans" w:cs="Noto Sans"/>
          <w:color w:val="39434D"/>
          <w:sz w:val="16"/>
        </w:rPr>
        <w:t>[9] D. Buchholz and H. Grundling, "The resolvent algebra: A new approach to canonical quantum systems," Journal of Functional Analysis 254 (2008), 2725-2779; arXiv:0705.1988; doi:10.1016/j.jfa.2008.02.011.</w:t>
      </w:r>
    </w:p>
    <w:p>
      <w:pPr>
        <w:spacing w:before="0" w:after="70" w:line="252" w:lineRule="auto"/>
        <w:ind w:left="288" w:hanging="288"/>
      </w:pPr>
      <w:r>
        <w:rPr>
          <w:rFonts w:ascii="Noto Sans" w:hAnsi="Noto Sans" w:eastAsia="Noto Sans" w:cs="Noto Sans"/>
          <w:color w:val="39434D"/>
          <w:sz w:val="16"/>
        </w:rPr>
        <w:t>[10] P. R. Chernoff, "Essential self-adjointness of powers of generators of hyperbolic equations," Journal of Functional Analysis 12 (1973), 401-414; doi:10.1016/0022-1236(73)90003-7.</w:t>
      </w:r>
    </w:p>
    <w:p>
      <w:pPr>
        <w:spacing w:before="0" w:after="70" w:line="252" w:lineRule="auto"/>
        <w:ind w:left="288" w:hanging="288"/>
      </w:pPr>
      <w:r>
        <w:rPr>
          <w:rFonts w:ascii="Noto Sans" w:hAnsi="Noto Sans" w:eastAsia="Noto Sans" w:cs="Noto Sans"/>
          <w:color w:val="39434D"/>
          <w:sz w:val="16"/>
        </w:rPr>
        <w:t>[11] S. Lloyd and S. L. Braunstein, "Quantum computation over continuous variables," Physical Review Letters 82 (1999), 1784-1787; arXiv:quant-ph/9810082; doi:10.1103/PhysRevLett.82.1784.</w:t>
      </w:r>
    </w:p>
    <w:p>
      <w:pPr>
        <w:spacing w:before="0" w:after="70" w:line="252" w:lineRule="auto"/>
        <w:ind w:left="288" w:hanging="288"/>
      </w:pPr>
      <w:r>
        <w:rPr>
          <w:rFonts w:ascii="Noto Sans" w:hAnsi="Noto Sans" w:eastAsia="Noto Sans" w:cs="Noto Sans"/>
          <w:color w:val="39434D"/>
          <w:sz w:val="16"/>
        </w:rPr>
        <w:t>[12] S. L. Braunstein and P. van Loock, "Quantum information with continuous variables," Reviews of Modern Physics 77 (2005), 513-577; doi:10.1103/RevModPhys.77.513.</w:t>
      </w:r>
    </w:p>
    <w:p>
      <w:pPr>
        <w:spacing w:before="0" w:after="70" w:line="252" w:lineRule="auto"/>
        <w:ind w:left="288" w:hanging="288"/>
      </w:pPr>
      <w:r>
        <w:rPr>
          <w:rFonts w:ascii="Noto Sans" w:hAnsi="Noto Sans" w:eastAsia="Noto Sans" w:cs="Noto Sans"/>
          <w:color w:val="39434D"/>
          <w:sz w:val="16"/>
        </w:rPr>
        <w:t>[13] H. Bass, E. H. Connell, and D. Wright, "The Jacobian conjecture: Reduction of degree and formal expansion of the inverse," Bulletin of the American Mathematical Society 7 (1982), 287-330.</w:t>
      </w:r>
    </w:p>
    <w:tbl>
      <w:tblPr>
        <w:tblW w:type="auto" w:w="0"/>
        <w:jc w:val="center"/>
        <w:tblLayout w:type="fixed"/>
        <w:tblLook w:firstColumn="1" w:firstRow="1" w:lastColumn="0" w:lastRow="0" w:noHBand="0" w:noVBand="1" w:val="04A0"/>
      </w:tblPr>
      <w:tblGrid>
        <w:gridCol w:w="10166"/>
      </w:tblGrid>
      <w:tr>
        <w:tc>
          <w:tcPr>
            <w:tcW w:type="dxa" w:w="10080"/>
            <w:shd w:fill="F6EEDB" w:val="clear"/>
            <w:tcMar>
              <w:top w:w="130" w:type="dxa"/>
              <w:start w:w="170" w:type="dxa"/>
              <w:bottom w:w="130" w:type="dxa"/>
              <w:end w:w="170" w:type="dxa"/>
            </w:tcMar>
            <w:tcBorders>
              <w:top w:val="single" w:sz="10" w:color="B98A2E"/>
              <w:start w:val="single" w:sz="18" w:color="B98A2E"/>
              <w:bottom w:val="single" w:sz="10" w:color="B98A2E"/>
              <w:end w:val="single" w:sz="10" w:color="B98A2E"/>
            </w:tcBorders>
          </w:tcPr>
          <w:p>
            <w:pPr>
              <w:spacing w:after="40"/>
            </w:pPr>
            <w:r>
              <w:rPr>
                <w:rFonts w:ascii="Lato" w:hAnsi="Lato" w:eastAsia="Lato" w:cs="Lato"/>
                <w:b/>
                <w:color w:val="17324D"/>
                <w:sz w:val="20"/>
              </w:rPr>
              <w:t>Reference status note</w:t>
            </w:r>
          </w:p>
          <w:p>
            <w:pPr>
              <w:spacing w:before="0" w:after="0" w:line="264" w:lineRule="auto"/>
            </w:pPr>
            <w:r>
              <w:rPr>
                <w:rFonts w:ascii="Noto Sans" w:hAnsi="Noto Sans" w:eastAsia="Noto Sans" w:cs="Noto Sans"/>
                <w:color w:val="111111"/>
                <w:sz w:val="18"/>
              </w:rPr>
              <w:t>References [1]-[3] document a result announced within one day of this charter. They are included for provenance and current context, not as substitutes for the project's independent Gate 0 validation.</w:t>
            </w:r>
          </w:p>
        </w:tc>
      </w:tr>
    </w:tbl>
    <w:p>
      <w:pPr>
        <w:spacing w:after="0"/>
      </w:pPr>
    </w:p>
    <w:sectPr w:rsidR="00FC693F" w:rsidRPr="0006063C" w:rsidSect="00034616">
      <w:headerReference w:type="default" r:id="rId9"/>
      <w:footerReference w:type="default" r:id="rId10"/>
      <w:pgSz w:w="12240" w:h="15840"/>
      <w:pgMar w:top="936" w:right="1037" w:bottom="936"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s="Noto Sans"/>
        <w:color w:val="66727D"/>
        <w:sz w:val="16"/>
      </w:rPr>
      <w:t xml:space="preserve">Page </w:t>
    </w:r>
    <w:r>
      <w:rPr>
        <w:rFonts w:ascii="Noto Sans" w:hAnsi="Noto Sans"/>
        <w:sz w:val="16"/>
        <w:color w:val="66727D"/>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Bdr>
        <w:bottom w:val="single" w:sz="6" w:space="3" w:color="B8C2CA"/>
      </w:pBdr>
    </w:pPr>
    <w:r>
      <w:rPr>
        <w:rFonts w:ascii="Lato" w:hAnsi="Lato" w:eastAsia="Lato" w:cs="Lato"/>
        <w:b/>
        <w:color w:val="0B7D86"/>
        <w:sz w:val="16"/>
      </w:rPr>
      <w:t>PROJECT EXOTIC-CCR</w:t>
    </w:r>
    <w:r>
      <w:rPr>
        <w:rFonts w:ascii="Noto Sans" w:hAnsi="Noto Sans" w:eastAsia="Noto Sans" w:cs="Noto Sans"/>
        <w:color w:val="66727D"/>
        <w:sz w:val="16"/>
      </w:rPr>
      <w:t xml:space="preserve">   |   Research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Noto Sans" w:hAnsi="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ato" w:hAnsi="Lato"/>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ato" w:hAnsi="Lato"/>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ato" w:hAnsi="Lato"/>
      <w:b/>
      <w:bCs/>
      <w:color w:val="1732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i/>
      <w:iCs/>
      <w:color w:val="0B7D8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EXOTIC-CCR Research Project Charter</dc:title>
  <dc:subject>Research charter for explicit Poisson and Weyl endomorphisms induced by the 2026 Jacobian counterexample</dc:subject>
  <dc:creator>OpenAI</dc:creator>
  <cp:keywords>Jacobian conjecture, Poisson algebra, Dixmier conjecture, Weyl algebra, quantum information, operator algebra, research charter</cp:keywords>
  <dc:description>Version 1.0, 20 July 2026</dc:description>
  <cp:lastModifiedBy/>
  <cp:revision>1</cp:revision>
  <dcterms:created xsi:type="dcterms:W3CDTF">2013-12-23T23:15:00Z</dcterms:created>
  <dcterms:modified xsi:type="dcterms:W3CDTF">2013-12-23T23:15:00Z</dcterms:modified>
  <cp:category/>
</cp:coreProperties>
</file>