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0C3C24" w14:textId="77777777" w:rsidR="00F927F8" w:rsidRDefault="00000000">
      <w:pPr>
        <w:pStyle w:val="a7"/>
        <w:jc w:val="left"/>
        <w:rPr>
          <w:rFonts w:hint="eastAsia"/>
        </w:rPr>
      </w:pPr>
      <w:bookmarkStart w:id="0" w:name="_Hlk195377464"/>
      <w:bookmarkEnd w:id="0"/>
      <w:r>
        <w:rPr>
          <w:rFonts w:hint="eastAsia"/>
        </w:rPr>
        <w:t>六、模型构建与实验</w:t>
      </w:r>
    </w:p>
    <w:p w14:paraId="1D6BF8F0" w14:textId="77777777" w:rsidR="00F927F8" w:rsidRDefault="00000000">
      <w:pPr>
        <w:jc w:val="left"/>
        <w:rPr>
          <w:rStyle w:val="ac"/>
          <w:rFonts w:hint="eastAsia"/>
        </w:rPr>
      </w:pPr>
      <w:r>
        <w:rPr>
          <w:rStyle w:val="ac"/>
        </w:rPr>
        <w:t>（一）</w:t>
      </w:r>
      <w:r>
        <w:rPr>
          <w:rStyle w:val="ac"/>
          <w:rFonts w:hint="eastAsia"/>
        </w:rPr>
        <w:t>搭建实验环境</w:t>
      </w:r>
    </w:p>
    <w:p w14:paraId="5239CA15" w14:textId="77777777" w:rsidR="00F927F8" w:rsidRDefault="00000000">
      <w:pPr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</w:rPr>
        <w:tab/>
      </w:r>
      <w:r>
        <w:rPr>
          <w:rStyle w:val="ac"/>
          <w:rFonts w:hint="eastAsia"/>
          <w:b w:val="0"/>
          <w:bCs w:val="0"/>
        </w:rPr>
        <w:t>本实验代码使用Python语言编写，调用了当下主流的深度学习库</w:t>
      </w:r>
      <w:proofErr w:type="spellStart"/>
      <w:r>
        <w:rPr>
          <w:rStyle w:val="ac"/>
          <w:rFonts w:hint="eastAsia"/>
          <w:b w:val="0"/>
          <w:bCs w:val="0"/>
        </w:rPr>
        <w:t>PyTorch</w:t>
      </w:r>
      <w:proofErr w:type="spellEnd"/>
      <w:r>
        <w:rPr>
          <w:rStyle w:val="ac"/>
          <w:rFonts w:hint="eastAsia"/>
          <w:b w:val="0"/>
          <w:bCs w:val="0"/>
        </w:rPr>
        <w:t>以搭建卷积神经网络模型，并使用Pandas、OpenCV</w:t>
      </w:r>
      <w:proofErr w:type="gramStart"/>
      <w:r>
        <w:rPr>
          <w:rStyle w:val="ac"/>
          <w:rFonts w:hint="eastAsia"/>
          <w:b w:val="0"/>
          <w:bCs w:val="0"/>
        </w:rPr>
        <w:t>等库对</w:t>
      </w:r>
      <w:proofErr w:type="gramEnd"/>
      <w:r>
        <w:rPr>
          <w:rStyle w:val="ac"/>
          <w:rFonts w:hint="eastAsia"/>
          <w:b w:val="0"/>
          <w:bCs w:val="0"/>
        </w:rPr>
        <w:t>图像数据进行读取、变换，使用</w:t>
      </w:r>
      <w:proofErr w:type="spellStart"/>
      <w:r>
        <w:rPr>
          <w:rStyle w:val="ac"/>
          <w:rFonts w:hint="eastAsia"/>
          <w:b w:val="0"/>
          <w:bCs w:val="0"/>
        </w:rPr>
        <w:t>Ultralytics</w:t>
      </w:r>
      <w:proofErr w:type="spellEnd"/>
      <w:r>
        <w:rPr>
          <w:rStyle w:val="ac"/>
          <w:rFonts w:hint="eastAsia"/>
          <w:b w:val="0"/>
          <w:bCs w:val="0"/>
        </w:rPr>
        <w:t>库中的YOLOv8-n模型进行目标检测，使用</w:t>
      </w:r>
      <w:proofErr w:type="spellStart"/>
      <w:r>
        <w:rPr>
          <w:rStyle w:val="ac"/>
          <w:rFonts w:hint="eastAsia"/>
          <w:b w:val="0"/>
          <w:bCs w:val="0"/>
        </w:rPr>
        <w:t>Sklearn</w:t>
      </w:r>
      <w:proofErr w:type="spellEnd"/>
      <w:r>
        <w:rPr>
          <w:rStyle w:val="ac"/>
          <w:rFonts w:hint="eastAsia"/>
          <w:b w:val="0"/>
          <w:bCs w:val="0"/>
        </w:rPr>
        <w:t>中的相关方法计算Kappa系数等模型评估数据，调用</w:t>
      </w:r>
      <w:proofErr w:type="spellStart"/>
      <w:r>
        <w:rPr>
          <w:rStyle w:val="ac"/>
          <w:rFonts w:hint="eastAsia"/>
          <w:b w:val="0"/>
          <w:bCs w:val="0"/>
        </w:rPr>
        <w:t>Optuna</w:t>
      </w:r>
      <w:proofErr w:type="spellEnd"/>
      <w:r>
        <w:rPr>
          <w:rStyle w:val="ac"/>
          <w:rFonts w:hint="eastAsia"/>
          <w:b w:val="0"/>
          <w:bCs w:val="0"/>
        </w:rPr>
        <w:t>中的TPE算法框架对深度学习模型的超参数进行调优。另外，为加速模型训练过程，本实验需要使用GPU进行计算，因此依赖NVIDIA GPU、CUDA框架以及</w:t>
      </w:r>
      <w:proofErr w:type="spellStart"/>
      <w:r>
        <w:rPr>
          <w:rStyle w:val="ac"/>
          <w:rFonts w:hint="eastAsia"/>
          <w:b w:val="0"/>
          <w:bCs w:val="0"/>
        </w:rPr>
        <w:t>Cudnn</w:t>
      </w:r>
      <w:proofErr w:type="spellEnd"/>
      <w:r>
        <w:rPr>
          <w:rStyle w:val="ac"/>
          <w:rFonts w:hint="eastAsia"/>
          <w:b w:val="0"/>
          <w:bCs w:val="0"/>
        </w:rPr>
        <w:t>神经网络训练加速模块。</w:t>
      </w:r>
    </w:p>
    <w:p w14:paraId="0E0A58A1" w14:textId="77777777" w:rsidR="00F927F8" w:rsidRDefault="00F927F8">
      <w:pPr>
        <w:jc w:val="left"/>
        <w:rPr>
          <w:rStyle w:val="ac"/>
          <w:rFonts w:hint="eastAsia"/>
          <w:b w:val="0"/>
          <w:bCs w:val="0"/>
        </w:rPr>
      </w:pPr>
    </w:p>
    <w:p w14:paraId="3DF6D987" w14:textId="77777777" w:rsidR="00F927F8" w:rsidRDefault="00000000">
      <w:pPr>
        <w:jc w:val="left"/>
        <w:rPr>
          <w:rStyle w:val="ac"/>
          <w:rFonts w:hint="eastAsia"/>
        </w:rPr>
      </w:pPr>
      <w:r>
        <w:rPr>
          <w:rStyle w:val="ac"/>
        </w:rPr>
        <w:t>（</w:t>
      </w:r>
      <w:r>
        <w:rPr>
          <w:rStyle w:val="ac"/>
          <w:rFonts w:hint="eastAsia"/>
        </w:rPr>
        <w:t>二</w:t>
      </w:r>
      <w:r>
        <w:rPr>
          <w:rStyle w:val="ac"/>
        </w:rPr>
        <w:t>）</w:t>
      </w:r>
      <w:r>
        <w:rPr>
          <w:rStyle w:val="ac"/>
          <w:rFonts w:hint="eastAsia"/>
        </w:rPr>
        <w:t>数据的读取与处理</w:t>
      </w:r>
    </w:p>
    <w:p w14:paraId="4203DCFF" w14:textId="77777777" w:rsidR="00F927F8" w:rsidRDefault="00000000">
      <w:pPr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</w:rPr>
        <w:tab/>
      </w:r>
      <w:r>
        <w:rPr>
          <w:rStyle w:val="ac"/>
          <w:rFonts w:hint="eastAsia"/>
          <w:b w:val="0"/>
          <w:bCs w:val="0"/>
        </w:rPr>
        <w:t>使用</w:t>
      </w:r>
      <w:proofErr w:type="spellStart"/>
      <w:r>
        <w:rPr>
          <w:rStyle w:val="ac"/>
          <w:rFonts w:hint="eastAsia"/>
          <w:b w:val="0"/>
          <w:bCs w:val="0"/>
        </w:rPr>
        <w:t>Torchvision</w:t>
      </w:r>
      <w:proofErr w:type="spellEnd"/>
      <w:r>
        <w:rPr>
          <w:rStyle w:val="ac"/>
          <w:rFonts w:hint="eastAsia"/>
          <w:b w:val="0"/>
          <w:bCs w:val="0"/>
        </w:rPr>
        <w:t>中的</w:t>
      </w:r>
      <w:proofErr w:type="spellStart"/>
      <w:r>
        <w:rPr>
          <w:rStyle w:val="ac"/>
          <w:rFonts w:hint="eastAsia"/>
          <w:b w:val="0"/>
          <w:bCs w:val="0"/>
        </w:rPr>
        <w:t>ImageFolder</w:t>
      </w:r>
      <w:proofErr w:type="spellEnd"/>
      <w:r>
        <w:rPr>
          <w:rStyle w:val="ac"/>
          <w:rFonts w:hint="eastAsia"/>
          <w:b w:val="0"/>
          <w:bCs w:val="0"/>
        </w:rPr>
        <w:t>类，可以方便地读取已经完成分类且存放在树状文件夹中的图片数据。加载之后的数据集已经分好训练集与验证集，我们随机抽出了验证集中三分之一的数据，用于最终模型效果的测试。以下是训练集中各个类别图片的数量统计：</w:t>
      </w:r>
    </w:p>
    <w:p w14:paraId="2941EB05" w14:textId="77777777" w:rsidR="00F927F8" w:rsidRDefault="00000000">
      <w:pPr>
        <w:pStyle w:val="a9"/>
        <w:widowControl/>
        <w:rPr>
          <w:rStyle w:val="ac"/>
          <w:rFonts w:hint="eastAsia"/>
          <w:b w:val="0"/>
          <w:bCs w:val="0"/>
        </w:rPr>
      </w:pPr>
      <w:r>
        <w:rPr>
          <w:rFonts w:hint="eastAsia"/>
          <w:noProof/>
        </w:rPr>
        <w:drawing>
          <wp:inline distT="0" distB="0" distL="114300" distR="114300" wp14:anchorId="0298D145" wp14:editId="3BA0E722">
            <wp:extent cx="5273675" cy="4037330"/>
            <wp:effectExtent l="0" t="0" r="14605" b="1270"/>
            <wp:docPr id="2" name="图片 2" descr="Graph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Graph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E420" w14:textId="77777777" w:rsidR="00F927F8" w:rsidRDefault="00000000">
      <w:pPr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</w:rPr>
        <w:tab/>
      </w:r>
      <w:r>
        <w:rPr>
          <w:rStyle w:val="ac"/>
          <w:rFonts w:hint="eastAsia"/>
          <w:b w:val="0"/>
          <w:bCs w:val="0"/>
        </w:rPr>
        <w:t>由于训练集中各个类别的数据量并没有出现极端不平衡的现象，因此我们没有使用相关算法均衡数据集。</w:t>
      </w:r>
    </w:p>
    <w:p w14:paraId="54F97A23" w14:textId="77777777" w:rsidR="00F927F8" w:rsidRDefault="00000000">
      <w:pPr>
        <w:ind w:firstLine="420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在读取数据之后，我们选择对图片做数据增强处理。数据增强包括对图片进行平移、旋转、翻转、缩放、对比度调整等操作，这种做法可以增加数据的多样性，从而防止模型过拟合，迫使模型学习更加一般化的特征。下图展示了对一张训练集进行数据增强的过程：</w:t>
      </w:r>
    </w:p>
    <w:p w14:paraId="01CF7ABE" w14:textId="77777777" w:rsidR="00F927F8" w:rsidRDefault="00000000">
      <w:pPr>
        <w:ind w:firstLine="420"/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  <w:noProof/>
        </w:rPr>
        <w:lastRenderedPageBreak/>
        <w:drawing>
          <wp:inline distT="0" distB="0" distL="0" distR="0" wp14:anchorId="26CFDD7F" wp14:editId="0F7108F6">
            <wp:extent cx="5259070" cy="3234690"/>
            <wp:effectExtent l="0" t="0" r="0" b="0"/>
            <wp:docPr id="1468900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00960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47F54" w14:textId="77777777" w:rsidR="00F927F8" w:rsidRDefault="00000000">
      <w:pPr>
        <w:ind w:firstLine="420"/>
        <w:rPr>
          <w:rFonts w:hint="eastAsia"/>
          <w:iCs/>
        </w:rPr>
      </w:pPr>
      <w:r>
        <w:rPr>
          <w:rStyle w:val="ac"/>
          <w:rFonts w:hint="eastAsia"/>
          <w:b w:val="0"/>
          <w:bCs w:val="0"/>
        </w:rPr>
        <w:t>经过数据增强的图像被进一步转化为张量形式，并按通道进行归一化处理。归一化后RGB三通道数据的分布近似是均值为</w:t>
      </w:r>
      <m:oMath>
        <m:r>
          <w:rPr>
            <w:rFonts w:ascii="Cambria Math" w:hAnsi="Cambria Math"/>
          </w:rPr>
          <m:t xml:space="preserve">[0.485, 0.456, 0.406] </m:t>
        </m:r>
      </m:oMath>
      <w:r>
        <w:rPr>
          <w:rFonts w:hint="eastAsia"/>
          <w:iCs/>
        </w:rPr>
        <w:t>，方差为</w:t>
      </w:r>
      <m:oMath>
        <m:r>
          <w:rPr>
            <w:rFonts w:ascii="Cambria Math" w:hAnsi="Cambria Math"/>
          </w:rPr>
          <m:t>[0.229, 0.224, 0.225]</m:t>
        </m:r>
      </m:oMath>
      <w:r>
        <w:rPr>
          <w:rFonts w:hint="eastAsia"/>
          <w:iCs/>
        </w:rPr>
        <w:t>的正态分布。在上图中，经过归一化处理的图像似乎在肉眼观察上会有失真，这是图像不同通道的数据分布偏差造成的，不会影响模型训练效果</w:t>
      </w:r>
      <w:proofErr w:type="gramStart"/>
      <w:r>
        <w:rPr>
          <w:rFonts w:hint="eastAsia"/>
          <w:iCs/>
        </w:rPr>
        <w:t>核最终</w:t>
      </w:r>
      <w:proofErr w:type="gramEnd"/>
      <w:r>
        <w:rPr>
          <w:rFonts w:hint="eastAsia"/>
          <w:iCs/>
        </w:rPr>
        <w:t>表现。</w:t>
      </w:r>
    </w:p>
    <w:p w14:paraId="34B564C1" w14:textId="77777777" w:rsidR="00F927F8" w:rsidRDefault="00F927F8">
      <w:pPr>
        <w:rPr>
          <w:rStyle w:val="ac"/>
          <w:rFonts w:hint="eastAsia"/>
          <w:b w:val="0"/>
          <w:bCs w:val="0"/>
        </w:rPr>
      </w:pPr>
    </w:p>
    <w:p w14:paraId="2DE7032D" w14:textId="77777777" w:rsidR="00F927F8" w:rsidRDefault="00000000">
      <w:pPr>
        <w:jc w:val="left"/>
        <w:rPr>
          <w:rStyle w:val="ac"/>
          <w:rFonts w:hint="eastAsia"/>
        </w:rPr>
      </w:pPr>
      <w:r>
        <w:rPr>
          <w:rStyle w:val="ac"/>
        </w:rPr>
        <w:t>（</w:t>
      </w:r>
      <w:r>
        <w:rPr>
          <w:rStyle w:val="ac"/>
          <w:rFonts w:hint="eastAsia"/>
        </w:rPr>
        <w:t>三</w:t>
      </w:r>
      <w:r>
        <w:rPr>
          <w:rStyle w:val="ac"/>
        </w:rPr>
        <w:t>）</w:t>
      </w:r>
      <w:r>
        <w:rPr>
          <w:rStyle w:val="ac"/>
          <w:rFonts w:hint="eastAsia"/>
        </w:rPr>
        <w:t>模型的构建与调整</w:t>
      </w:r>
    </w:p>
    <w:p w14:paraId="12719EA1" w14:textId="77777777" w:rsidR="00F927F8" w:rsidRDefault="00000000">
      <w:pPr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</w:rPr>
        <w:tab/>
      </w:r>
      <w:r>
        <w:rPr>
          <w:rStyle w:val="ac"/>
          <w:rFonts w:hint="eastAsia"/>
          <w:b w:val="0"/>
          <w:bCs w:val="0"/>
        </w:rPr>
        <w:t>在本研究中，我们使用了三种不同的CNN模型——VGG16模型、ResNet50模型、</w:t>
      </w:r>
      <w:proofErr w:type="spellStart"/>
      <w:r>
        <w:rPr>
          <w:rStyle w:val="ac"/>
          <w:rFonts w:hint="eastAsia"/>
          <w:b w:val="0"/>
          <w:bCs w:val="0"/>
        </w:rPr>
        <w:t>ResNeXt</w:t>
      </w:r>
      <w:proofErr w:type="spellEnd"/>
      <w:r>
        <w:rPr>
          <w:rStyle w:val="ac"/>
          <w:rFonts w:hint="eastAsia"/>
          <w:b w:val="0"/>
          <w:bCs w:val="0"/>
        </w:rPr>
        <w:t>-CBAM模型进行对比试验，以深入探究不同架构的神经网络在训练过程中与最终表现上的差别。下面介绍这三种模型的基本结构和搭建方法。</w:t>
      </w:r>
    </w:p>
    <w:p w14:paraId="2BDF52B1" w14:textId="77777777" w:rsidR="00F927F8" w:rsidRDefault="00000000">
      <w:pPr>
        <w:pStyle w:val="af"/>
        <w:numPr>
          <w:ilvl w:val="0"/>
          <w:numId w:val="1"/>
        </w:numPr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VGG16模型</w:t>
      </w:r>
    </w:p>
    <w:p w14:paraId="31741FBA" w14:textId="77777777" w:rsidR="00F927F8" w:rsidRDefault="00000000">
      <w:pPr>
        <w:pStyle w:val="af"/>
        <w:ind w:left="360"/>
        <w:jc w:val="left"/>
        <w:rPr>
          <w:rFonts w:hint="eastAsia"/>
        </w:rPr>
      </w:pPr>
      <w:r>
        <w:rPr>
          <w:rStyle w:val="ac"/>
          <w:rFonts w:hint="eastAsia"/>
          <w:b w:val="0"/>
          <w:bCs w:val="0"/>
        </w:rPr>
        <w:t>VGG（</w:t>
      </w:r>
      <w:r>
        <w:t>Visual Geometry Group Network</w:t>
      </w:r>
      <w:r>
        <w:rPr>
          <w:rStyle w:val="ac"/>
          <w:rFonts w:hint="eastAsia"/>
          <w:b w:val="0"/>
          <w:bCs w:val="0"/>
        </w:rPr>
        <w:t>）是一种经典的卷积神经网络模型，由</w:t>
      </w:r>
      <w:r>
        <w:t>Visual Geometry Group</w:t>
      </w:r>
      <w:r>
        <w:rPr>
          <w:rFonts w:hint="eastAsia"/>
        </w:rPr>
        <w:t>提出，并在ImageNet数据集上效果优秀。VGG相较之前的卷积神经网络，拥有更小的卷积核与下采样核尺寸，从而减少了模型的参数量，并增加了模型的深度，以便提取更多有效特征。VGG16模型拥有13个卷积层与3个全连接层，并在卷积层和全连接层之间安置了一个自适应平均</w:t>
      </w:r>
      <w:proofErr w:type="gramStart"/>
      <w:r>
        <w:rPr>
          <w:rFonts w:hint="eastAsia"/>
        </w:rPr>
        <w:t>池化层</w:t>
      </w:r>
      <w:proofErr w:type="gramEnd"/>
      <w:r>
        <w:rPr>
          <w:rFonts w:hint="eastAsia"/>
        </w:rPr>
        <w:t>，以控制全连接层的输入张量形状。以下是VGG模型的结构示意图：</w:t>
      </w:r>
    </w:p>
    <w:p w14:paraId="4EF1EABA" w14:textId="77777777" w:rsidR="00F927F8" w:rsidRDefault="00000000">
      <w:pPr>
        <w:pStyle w:val="af"/>
        <w:ind w:left="360"/>
        <w:jc w:val="center"/>
        <w:rPr>
          <w:rStyle w:val="ac"/>
          <w:rFonts w:hint="eastAsia"/>
          <w:b w:val="0"/>
          <w:bCs w:val="0"/>
        </w:rPr>
      </w:pPr>
      <w:r>
        <w:rPr>
          <w:noProof/>
        </w:rPr>
        <w:drawing>
          <wp:inline distT="0" distB="0" distL="0" distR="0" wp14:anchorId="7E718534" wp14:editId="641012CD">
            <wp:extent cx="3895090" cy="2218690"/>
            <wp:effectExtent l="0" t="0" r="0" b="0"/>
            <wp:docPr id="9062103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10381" name="图片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1120" cy="222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6B857" w14:textId="77777777" w:rsidR="00F927F8" w:rsidRDefault="00000000">
      <w:pPr>
        <w:pStyle w:val="af"/>
        <w:numPr>
          <w:ilvl w:val="0"/>
          <w:numId w:val="1"/>
        </w:numPr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lastRenderedPageBreak/>
        <w:t>ResNet50模型</w:t>
      </w:r>
    </w:p>
    <w:p w14:paraId="2F9AA21F" w14:textId="77777777" w:rsidR="00F927F8" w:rsidRDefault="00000000">
      <w:pPr>
        <w:pStyle w:val="af"/>
        <w:ind w:left="360"/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随着卷积神经网络模型深度的增加，学者发现，模型在训练集上的准确率会趋于饱和甚至下降。这并非过拟合所为，因为过拟合现象发生时，模型在训练集上的准确率应该进一步上升。这种深模型的准确率饱和现象被称为退化现象，其原因是在模型训练时，深模型中梯度的反向传播受阻，模型参数难以得到有效优化。</w:t>
      </w:r>
    </w:p>
    <w:p w14:paraId="5A4A41CC" w14:textId="77777777" w:rsidR="00F927F8" w:rsidRDefault="00000000">
      <w:pPr>
        <w:pStyle w:val="af"/>
        <w:ind w:left="360"/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为解决退化现象对模型深度的问题，Kaiming He等人于2017年提出了残差神经网络</w:t>
      </w:r>
      <w:proofErr w:type="spellStart"/>
      <w:r>
        <w:rPr>
          <w:rStyle w:val="ac"/>
          <w:rFonts w:hint="eastAsia"/>
          <w:b w:val="0"/>
          <w:bCs w:val="0"/>
        </w:rPr>
        <w:t>ResNet</w:t>
      </w:r>
      <w:proofErr w:type="spellEnd"/>
      <w:r>
        <w:rPr>
          <w:rStyle w:val="ac"/>
          <w:rFonts w:hint="eastAsia"/>
          <w:b w:val="0"/>
          <w:bCs w:val="0"/>
        </w:rPr>
        <w:t>。该网络在瓶颈卷积模块（Bottleneck）中引入了桥接（Shortcut）的概念，这个结构直接将卷积模块的输入与输出相加，为提供了梯度绕开卷积层继续反向传播的途径，从而有效缓解了深层网络难以优化的问题：</w:t>
      </w:r>
    </w:p>
    <w:p w14:paraId="6DCB1456" w14:textId="77777777" w:rsidR="00F927F8" w:rsidRDefault="00000000">
      <w:pPr>
        <w:pStyle w:val="af"/>
        <w:ind w:left="360"/>
        <w:jc w:val="center"/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  <w:noProof/>
        </w:rPr>
        <w:drawing>
          <wp:inline distT="0" distB="0" distL="0" distR="0" wp14:anchorId="57AE2680" wp14:editId="4F07E925">
            <wp:extent cx="3039110" cy="1572260"/>
            <wp:effectExtent l="0" t="0" r="0" b="8890"/>
            <wp:docPr id="12258158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15884" name="图片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1149" cy="1579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8104B" w14:textId="77777777" w:rsidR="00F927F8" w:rsidRDefault="00000000">
      <w:pPr>
        <w:pStyle w:val="af"/>
        <w:ind w:left="360"/>
        <w:jc w:val="left"/>
        <w:rPr>
          <w:rStyle w:val="ac"/>
          <w:rFonts w:hint="eastAsia"/>
          <w:b w:val="0"/>
          <w:bCs w:val="0"/>
        </w:rPr>
      </w:pPr>
      <w:proofErr w:type="spellStart"/>
      <w:r>
        <w:rPr>
          <w:rStyle w:val="ac"/>
          <w:rFonts w:hint="eastAsia"/>
          <w:b w:val="0"/>
          <w:bCs w:val="0"/>
        </w:rPr>
        <w:t>ResNet</w:t>
      </w:r>
      <w:proofErr w:type="spellEnd"/>
      <w:r>
        <w:rPr>
          <w:rStyle w:val="ac"/>
          <w:rFonts w:hint="eastAsia"/>
          <w:b w:val="0"/>
          <w:bCs w:val="0"/>
        </w:rPr>
        <w:t>的出现为卷积神经网络深度的增加扫清了障碍，使得现代卷积神经网络得以学习到更多特征。ResNet152模型在ImageNet数据集上的错误率仅为3.6%，这一比例甚至低于人类。ResNet50模型作为一种常用的残差模型，拥有4个残差块共计50个卷积层，其使用卷积核边长为7的卷积层作为感知层，并简化了全连接层与分类器的结构。</w:t>
      </w:r>
    </w:p>
    <w:p w14:paraId="55F5DA32" w14:textId="77777777" w:rsidR="00F927F8" w:rsidRDefault="00000000">
      <w:pPr>
        <w:pStyle w:val="af"/>
        <w:ind w:left="360"/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在搭建ResNet50模型时，我们注意到，该模型的感知层卷积核边长为7，移动步长为2，输出通道数直接从3膨胀至64；经过分析我们认为，感受野过大可能会造成感知</w:t>
      </w:r>
      <w:proofErr w:type="gramStart"/>
      <w:r>
        <w:rPr>
          <w:rStyle w:val="ac"/>
          <w:rFonts w:hint="eastAsia"/>
          <w:b w:val="0"/>
          <w:bCs w:val="0"/>
        </w:rPr>
        <w:t>层无法</w:t>
      </w:r>
      <w:proofErr w:type="gramEnd"/>
      <w:r>
        <w:rPr>
          <w:rStyle w:val="ac"/>
          <w:rFonts w:hint="eastAsia"/>
          <w:b w:val="0"/>
          <w:bCs w:val="0"/>
        </w:rPr>
        <w:t>有效提取图像特征，通道膨胀</w:t>
      </w:r>
      <w:proofErr w:type="gramStart"/>
      <w:r>
        <w:rPr>
          <w:rStyle w:val="ac"/>
          <w:rFonts w:hint="eastAsia"/>
          <w:b w:val="0"/>
          <w:bCs w:val="0"/>
        </w:rPr>
        <w:t>过陡会导致</w:t>
      </w:r>
      <w:proofErr w:type="gramEnd"/>
      <w:r>
        <w:rPr>
          <w:rStyle w:val="ac"/>
          <w:rFonts w:hint="eastAsia"/>
          <w:b w:val="0"/>
          <w:bCs w:val="0"/>
        </w:rPr>
        <w:t>特征丢失，因此我们将感知层替换为3层卷积核尺寸为3的卷积层，通过多级卷积缓解通道膨胀陡度，从而有效提取图像特征。</w:t>
      </w:r>
    </w:p>
    <w:p w14:paraId="53C09EE8" w14:textId="77777777" w:rsidR="00F927F8" w:rsidRDefault="00000000">
      <w:pPr>
        <w:pStyle w:val="af"/>
        <w:numPr>
          <w:ilvl w:val="0"/>
          <w:numId w:val="1"/>
        </w:numPr>
        <w:jc w:val="left"/>
        <w:rPr>
          <w:rStyle w:val="ac"/>
          <w:rFonts w:hint="eastAsia"/>
          <w:b w:val="0"/>
          <w:bCs w:val="0"/>
        </w:rPr>
      </w:pPr>
      <w:proofErr w:type="spellStart"/>
      <w:r>
        <w:rPr>
          <w:rStyle w:val="ac"/>
          <w:rFonts w:hint="eastAsia"/>
          <w:b w:val="0"/>
          <w:bCs w:val="0"/>
        </w:rPr>
        <w:t>ResNeXt</w:t>
      </w:r>
      <w:proofErr w:type="spellEnd"/>
      <w:r>
        <w:rPr>
          <w:rStyle w:val="ac"/>
          <w:rFonts w:hint="eastAsia"/>
          <w:b w:val="0"/>
          <w:bCs w:val="0"/>
        </w:rPr>
        <w:t>-CBAM模型</w:t>
      </w:r>
    </w:p>
    <w:p w14:paraId="1F9D15F5" w14:textId="77777777" w:rsidR="00F927F8" w:rsidRDefault="00000000">
      <w:pPr>
        <w:pStyle w:val="af"/>
        <w:ind w:left="360"/>
        <w:jc w:val="left"/>
        <w:rPr>
          <w:rStyle w:val="ac"/>
          <w:rFonts w:hint="eastAsia"/>
          <w:b w:val="0"/>
          <w:bCs w:val="0"/>
        </w:rPr>
      </w:pPr>
      <w:proofErr w:type="spellStart"/>
      <w:r>
        <w:rPr>
          <w:rStyle w:val="ac"/>
          <w:rFonts w:hint="eastAsia"/>
          <w:b w:val="0"/>
          <w:bCs w:val="0"/>
        </w:rPr>
        <w:t>ResNeXt</w:t>
      </w:r>
      <w:proofErr w:type="spellEnd"/>
      <w:r>
        <w:rPr>
          <w:rStyle w:val="ac"/>
          <w:rFonts w:hint="eastAsia"/>
          <w:b w:val="0"/>
          <w:bCs w:val="0"/>
        </w:rPr>
        <w:t>神经网络模型是</w:t>
      </w:r>
      <w:proofErr w:type="spellStart"/>
      <w:r>
        <w:rPr>
          <w:rStyle w:val="ac"/>
          <w:rFonts w:hint="eastAsia"/>
          <w:b w:val="0"/>
          <w:bCs w:val="0"/>
        </w:rPr>
        <w:t>ResNet</w:t>
      </w:r>
      <w:proofErr w:type="spellEnd"/>
      <w:r>
        <w:rPr>
          <w:rStyle w:val="ac"/>
          <w:rFonts w:hint="eastAsia"/>
          <w:b w:val="0"/>
          <w:bCs w:val="0"/>
        </w:rPr>
        <w:t>模型的重要改进，其参数量与普通</w:t>
      </w:r>
      <w:proofErr w:type="spellStart"/>
      <w:r>
        <w:rPr>
          <w:rStyle w:val="ac"/>
          <w:rFonts w:hint="eastAsia"/>
          <w:b w:val="0"/>
          <w:bCs w:val="0"/>
        </w:rPr>
        <w:t>ResNet</w:t>
      </w:r>
      <w:proofErr w:type="spellEnd"/>
      <w:r>
        <w:rPr>
          <w:rStyle w:val="ac"/>
          <w:rFonts w:hint="eastAsia"/>
          <w:b w:val="0"/>
          <w:bCs w:val="0"/>
        </w:rPr>
        <w:t>模型相当，但模型效果却优于</w:t>
      </w:r>
      <w:proofErr w:type="spellStart"/>
      <w:r>
        <w:rPr>
          <w:rStyle w:val="ac"/>
          <w:rFonts w:hint="eastAsia"/>
          <w:b w:val="0"/>
          <w:bCs w:val="0"/>
        </w:rPr>
        <w:t>ResNet</w:t>
      </w:r>
      <w:proofErr w:type="spellEnd"/>
      <w:r>
        <w:rPr>
          <w:rStyle w:val="ac"/>
          <w:rFonts w:hint="eastAsia"/>
          <w:b w:val="0"/>
          <w:bCs w:val="0"/>
        </w:rPr>
        <w:t>，并在训练时更为高效。</w:t>
      </w:r>
      <w:proofErr w:type="spellStart"/>
      <w:r>
        <w:rPr>
          <w:rStyle w:val="ac"/>
          <w:rFonts w:hint="eastAsia"/>
          <w:b w:val="0"/>
          <w:bCs w:val="0"/>
        </w:rPr>
        <w:t>ResNeXt</w:t>
      </w:r>
      <w:proofErr w:type="spellEnd"/>
      <w:r>
        <w:rPr>
          <w:rStyle w:val="ac"/>
          <w:rFonts w:hint="eastAsia"/>
          <w:b w:val="0"/>
          <w:bCs w:val="0"/>
        </w:rPr>
        <w:t>相较原型的最大改变，在于瓶颈卷积模块（Bottleneck）的中间卷积层。受Inception模型中多路径处理的启发，其引入基数（Cardinality）的概念，将该</w:t>
      </w:r>
      <w:proofErr w:type="gramStart"/>
      <w:r>
        <w:rPr>
          <w:rStyle w:val="ac"/>
          <w:rFonts w:hint="eastAsia"/>
          <w:b w:val="0"/>
          <w:bCs w:val="0"/>
        </w:rPr>
        <w:t>卷积层按基数</w:t>
      </w:r>
      <w:proofErr w:type="gramEnd"/>
      <w:r>
        <w:rPr>
          <w:rStyle w:val="ac"/>
          <w:rFonts w:hint="eastAsia"/>
          <w:b w:val="0"/>
          <w:bCs w:val="0"/>
        </w:rPr>
        <w:t>分解为多个通道组，每个</w:t>
      </w:r>
      <w:proofErr w:type="gramStart"/>
      <w:r>
        <w:rPr>
          <w:rStyle w:val="ac"/>
          <w:rFonts w:hint="eastAsia"/>
          <w:b w:val="0"/>
          <w:bCs w:val="0"/>
        </w:rPr>
        <w:t>组独立</w:t>
      </w:r>
      <w:proofErr w:type="gramEnd"/>
      <w:r>
        <w:rPr>
          <w:rStyle w:val="ac"/>
          <w:rFonts w:hint="eastAsia"/>
          <w:b w:val="0"/>
          <w:bCs w:val="0"/>
        </w:rPr>
        <w:t>进行卷积操作，且各组的结构完全一致：</w:t>
      </w:r>
    </w:p>
    <w:p w14:paraId="68600C27" w14:textId="77777777" w:rsidR="00F927F8" w:rsidRDefault="00000000">
      <w:pPr>
        <w:pStyle w:val="af"/>
        <w:ind w:left="360"/>
        <w:jc w:val="center"/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  <w:noProof/>
        </w:rPr>
        <w:lastRenderedPageBreak/>
        <w:drawing>
          <wp:inline distT="0" distB="0" distL="0" distR="0" wp14:anchorId="7D8818D0" wp14:editId="692CE4BD">
            <wp:extent cx="4948555" cy="3033395"/>
            <wp:effectExtent l="0" t="0" r="4445" b="0"/>
            <wp:docPr id="5248209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20944" name="图片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4065" cy="303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F1E31" w14:textId="77777777" w:rsidR="00F927F8" w:rsidRDefault="00000000">
      <w:pPr>
        <w:pStyle w:val="af"/>
        <w:ind w:left="360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在ResNeXt50的基础上，我们创新性地引入了自注意力机制（Self-Attention），即CBAM（Convolutional Block Attention Module）模块。自注意力机制旨在探寻输入信息内部各部分之间的相关性，并为各部分数据赋予对应的权重，并对信息进行加权求和之后送至下一层进行处理。自注意力机制使得模型可以为数据的各部分学习权重，从而使得模型将注意力放在主要信息上，忽略次要特征和噪声。</w:t>
      </w:r>
    </w:p>
    <w:p w14:paraId="09F61878" w14:textId="77777777" w:rsidR="00F927F8" w:rsidRDefault="00000000">
      <w:pPr>
        <w:pStyle w:val="af"/>
        <w:ind w:left="360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2017年Google Brain提出的Transformer架构，使得自注意力机制被广泛应用于自然语言处理（NLP）相关领域，而自注意力机制在计算机视觉任务中也有非凡的效果。在图像识别上，自注意力机制主要用于明确图像不同通道之间的权重关系，以及不同空间位置之间的权重关系；在CBAM模块中，上述功能由</w:t>
      </w:r>
      <w:proofErr w:type="spellStart"/>
      <w:r>
        <w:rPr>
          <w:rStyle w:val="ac"/>
          <w:rFonts w:hint="eastAsia"/>
          <w:b w:val="0"/>
          <w:bCs w:val="0"/>
        </w:rPr>
        <w:t>SEBlock</w:t>
      </w:r>
      <w:proofErr w:type="spellEnd"/>
      <w:r>
        <w:rPr>
          <w:rStyle w:val="ac"/>
          <w:rFonts w:hint="eastAsia"/>
          <w:b w:val="0"/>
          <w:bCs w:val="0"/>
        </w:rPr>
        <w:t>（Squeeze &amp; Excitation Block）和SABlock（Spatial Attention Block）两个子模块实现。</w:t>
      </w:r>
    </w:p>
    <w:p w14:paraId="41155ED4" w14:textId="77777777" w:rsidR="00F927F8" w:rsidRDefault="00000000">
      <w:pPr>
        <w:pStyle w:val="af"/>
        <w:numPr>
          <w:ilvl w:val="0"/>
          <w:numId w:val="2"/>
        </w:numPr>
        <w:rPr>
          <w:rStyle w:val="ac"/>
          <w:rFonts w:hint="eastAsia"/>
          <w:b w:val="0"/>
          <w:bCs w:val="0"/>
        </w:rPr>
      </w:pPr>
      <w:proofErr w:type="spellStart"/>
      <w:r>
        <w:rPr>
          <w:rStyle w:val="ac"/>
          <w:rFonts w:hint="eastAsia"/>
          <w:b w:val="0"/>
          <w:bCs w:val="0"/>
        </w:rPr>
        <w:t>SEBlock</w:t>
      </w:r>
      <w:proofErr w:type="spellEnd"/>
    </w:p>
    <w:p w14:paraId="6BE3BD6F" w14:textId="77777777" w:rsidR="00F927F8" w:rsidRDefault="00000000">
      <w:pPr>
        <w:pStyle w:val="af"/>
        <w:rPr>
          <w:rStyle w:val="ac"/>
          <w:rFonts w:hint="eastAsia"/>
          <w:b w:val="0"/>
          <w:bCs w:val="0"/>
        </w:rPr>
      </w:pPr>
      <w:proofErr w:type="spellStart"/>
      <w:r>
        <w:rPr>
          <w:rStyle w:val="ac"/>
          <w:rFonts w:hint="eastAsia"/>
          <w:b w:val="0"/>
          <w:bCs w:val="0"/>
        </w:rPr>
        <w:t>SEBlock</w:t>
      </w:r>
      <w:proofErr w:type="spellEnd"/>
      <w:r>
        <w:rPr>
          <w:rStyle w:val="ac"/>
          <w:rFonts w:hint="eastAsia"/>
          <w:b w:val="0"/>
          <w:bCs w:val="0"/>
        </w:rPr>
        <w:t>的主要目的是为每一个通道赋予一个注意力权值，并将通道内每个数据与对应权值的</w:t>
      </w:r>
      <w:proofErr w:type="gramStart"/>
      <w:r>
        <w:rPr>
          <w:rStyle w:val="ac"/>
          <w:rFonts w:hint="eastAsia"/>
          <w:b w:val="0"/>
          <w:bCs w:val="0"/>
        </w:rPr>
        <w:t>积作为</w:t>
      </w:r>
      <w:proofErr w:type="gramEnd"/>
      <w:r>
        <w:rPr>
          <w:rStyle w:val="ac"/>
          <w:rFonts w:hint="eastAsia"/>
          <w:b w:val="0"/>
          <w:bCs w:val="0"/>
        </w:rPr>
        <w:t>输出结果。注意力权</w:t>
      </w:r>
      <w:proofErr w:type="gramStart"/>
      <w:r>
        <w:rPr>
          <w:rStyle w:val="ac"/>
          <w:rFonts w:hint="eastAsia"/>
          <w:b w:val="0"/>
          <w:bCs w:val="0"/>
        </w:rPr>
        <w:t>值通过</w:t>
      </w:r>
      <w:proofErr w:type="gramEnd"/>
      <w:r>
        <w:rPr>
          <w:rStyle w:val="ac"/>
          <w:rFonts w:hint="eastAsia"/>
          <w:b w:val="0"/>
          <w:bCs w:val="0"/>
        </w:rPr>
        <w:t>一个线性全连接的挤压-激励（Squeeze &amp; Excitation）单元进行学习，缩减比例（reduction ratio）决定了这个单元对信息的挤压程度。</w:t>
      </w:r>
    </w:p>
    <w:p w14:paraId="1AE74409" w14:textId="77777777" w:rsidR="00F927F8" w:rsidRDefault="00000000">
      <w:pPr>
        <w:pStyle w:val="af"/>
        <w:jc w:val="center"/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  <w:noProof/>
        </w:rPr>
        <w:drawing>
          <wp:inline distT="0" distB="0" distL="0" distR="0" wp14:anchorId="7A500631" wp14:editId="6B0A7657">
            <wp:extent cx="4730115" cy="2096770"/>
            <wp:effectExtent l="0" t="0" r="0" b="0"/>
            <wp:docPr id="11857299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29948" name="图片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2390" cy="209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9D8B9" w14:textId="77777777" w:rsidR="00F927F8" w:rsidRDefault="00000000">
      <w:pPr>
        <w:pStyle w:val="af"/>
        <w:numPr>
          <w:ilvl w:val="0"/>
          <w:numId w:val="2"/>
        </w:numPr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SABlock</w:t>
      </w:r>
    </w:p>
    <w:p w14:paraId="216C07AD" w14:textId="77777777" w:rsidR="00F927F8" w:rsidRDefault="00000000">
      <w:pPr>
        <w:pStyle w:val="af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相比于</w:t>
      </w:r>
      <w:proofErr w:type="spellStart"/>
      <w:r>
        <w:rPr>
          <w:rStyle w:val="ac"/>
          <w:rFonts w:hint="eastAsia"/>
          <w:b w:val="0"/>
          <w:bCs w:val="0"/>
        </w:rPr>
        <w:t>SEBlock</w:t>
      </w:r>
      <w:proofErr w:type="spellEnd"/>
      <w:r>
        <w:rPr>
          <w:rStyle w:val="ac"/>
          <w:rFonts w:hint="eastAsia"/>
          <w:b w:val="0"/>
          <w:bCs w:val="0"/>
        </w:rPr>
        <w:t>对通道注意力权重的学习，SABlock偏向于学习图像的空间注意力权</w:t>
      </w:r>
      <w:r>
        <w:rPr>
          <w:rStyle w:val="ac"/>
          <w:rFonts w:hint="eastAsia"/>
          <w:b w:val="0"/>
          <w:bCs w:val="0"/>
        </w:rPr>
        <w:lastRenderedPageBreak/>
        <w:t>重。这个模块首先将输入图像的每个像素分别进行跨通道最大下采样、平均下采样，从而将通道数降为2。对于这个张量再进行卷积操作，生成的单通道张量便是每个像素的注意力权值。</w:t>
      </w:r>
      <w:proofErr w:type="gramStart"/>
      <w:r>
        <w:rPr>
          <w:rStyle w:val="ac"/>
          <w:rFonts w:hint="eastAsia"/>
          <w:b w:val="0"/>
          <w:bCs w:val="0"/>
        </w:rPr>
        <w:t>将该权值</w:t>
      </w:r>
      <w:proofErr w:type="gramEnd"/>
      <w:r>
        <w:rPr>
          <w:rStyle w:val="ac"/>
          <w:rFonts w:hint="eastAsia"/>
          <w:b w:val="0"/>
          <w:bCs w:val="0"/>
        </w:rPr>
        <w:t>与输入张量的每个通道按元素相乘即可得到输出。</w:t>
      </w:r>
    </w:p>
    <w:p w14:paraId="486F42DA" w14:textId="77777777" w:rsidR="00F927F8" w:rsidRDefault="00000000">
      <w:pPr>
        <w:pStyle w:val="af"/>
        <w:jc w:val="center"/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  <w:noProof/>
        </w:rPr>
        <w:drawing>
          <wp:inline distT="0" distB="0" distL="0" distR="0" wp14:anchorId="0B6AE138" wp14:editId="1E4ECD54">
            <wp:extent cx="4809490" cy="2086610"/>
            <wp:effectExtent l="0" t="0" r="0" b="0"/>
            <wp:docPr id="88692830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28300" name="图片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3583" cy="2101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47837" w14:textId="77777777" w:rsidR="00F927F8" w:rsidRDefault="00000000">
      <w:pPr>
        <w:pStyle w:val="af"/>
        <w:ind w:left="360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以上是CBAM模块的基本构造。在CBAM-</w:t>
      </w:r>
      <w:proofErr w:type="spellStart"/>
      <w:r>
        <w:rPr>
          <w:rStyle w:val="ac"/>
          <w:rFonts w:hint="eastAsia"/>
          <w:b w:val="0"/>
          <w:bCs w:val="0"/>
        </w:rPr>
        <w:t>ResNeXt</w:t>
      </w:r>
      <w:proofErr w:type="spellEnd"/>
      <w:r>
        <w:rPr>
          <w:rStyle w:val="ac"/>
          <w:rFonts w:hint="eastAsia"/>
          <w:b w:val="0"/>
          <w:bCs w:val="0"/>
        </w:rPr>
        <w:t>模型中，CBAM模块位于每一个瓶颈卷积模块的卷积层之后，整个模型一共有16个CBAM模块，有效提升了模型对主要特征的注意力，引导模型忽略次要特征和背景噪声。</w:t>
      </w:r>
    </w:p>
    <w:p w14:paraId="7C64B9B5" w14:textId="77777777" w:rsidR="00F927F8" w:rsidRDefault="00F927F8">
      <w:pPr>
        <w:rPr>
          <w:rStyle w:val="ac"/>
          <w:rFonts w:hint="eastAsia"/>
          <w:b w:val="0"/>
          <w:bCs w:val="0"/>
        </w:rPr>
      </w:pPr>
    </w:p>
    <w:p w14:paraId="3F354BF7" w14:textId="77777777" w:rsidR="00F927F8" w:rsidRDefault="00000000">
      <w:pPr>
        <w:jc w:val="left"/>
        <w:rPr>
          <w:rStyle w:val="ac"/>
          <w:rFonts w:hint="eastAsia"/>
        </w:rPr>
      </w:pPr>
      <w:r>
        <w:rPr>
          <w:rStyle w:val="ac"/>
        </w:rPr>
        <w:t>（</w:t>
      </w:r>
      <w:r>
        <w:rPr>
          <w:rStyle w:val="ac"/>
          <w:rFonts w:hint="eastAsia"/>
        </w:rPr>
        <w:t>四</w:t>
      </w:r>
      <w:r>
        <w:rPr>
          <w:rStyle w:val="ac"/>
        </w:rPr>
        <w:t>）</w:t>
      </w:r>
      <w:r>
        <w:rPr>
          <w:rStyle w:val="ac"/>
          <w:rFonts w:hint="eastAsia"/>
        </w:rPr>
        <w:t>模型的训练与优化</w:t>
      </w:r>
    </w:p>
    <w:p w14:paraId="7AB01C44" w14:textId="77777777" w:rsidR="00F927F8" w:rsidRDefault="00000000">
      <w:pPr>
        <w:ind w:firstLine="360"/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本研究对CNN模型的实验分为三组。第一组为模型探究实验，用于测试VGG16、ResNet50、</w:t>
      </w:r>
      <w:proofErr w:type="spellStart"/>
      <w:r>
        <w:rPr>
          <w:rStyle w:val="ac"/>
          <w:rFonts w:hint="eastAsia"/>
          <w:b w:val="0"/>
          <w:bCs w:val="0"/>
        </w:rPr>
        <w:t>ResNeXt</w:t>
      </w:r>
      <w:proofErr w:type="spellEnd"/>
      <w:r>
        <w:rPr>
          <w:rStyle w:val="ac"/>
          <w:rFonts w:hint="eastAsia"/>
          <w:b w:val="0"/>
          <w:bCs w:val="0"/>
        </w:rPr>
        <w:t>-CBAM三种模型的性能，并选取其中表现最好的模型做进一步优化；探究实验的训练轮数为25。第二组为</w:t>
      </w:r>
      <w:proofErr w:type="gramStart"/>
      <w:r>
        <w:rPr>
          <w:rStyle w:val="ac"/>
          <w:rFonts w:hint="eastAsia"/>
          <w:b w:val="0"/>
          <w:bCs w:val="0"/>
        </w:rPr>
        <w:t>模型超</w:t>
      </w:r>
      <w:proofErr w:type="gramEnd"/>
      <w:r>
        <w:rPr>
          <w:rStyle w:val="ac"/>
          <w:rFonts w:hint="eastAsia"/>
          <w:b w:val="0"/>
          <w:bCs w:val="0"/>
        </w:rPr>
        <w:t>参数搜索实验，用于搜索能使模型损失快速收敛的超参数组合，每一次搜寻尝试会对模型进行10轮训练。第三组实验为模型优化实验，该实验用于在确定最优超参数组合后，对模型进行深度训练，该实验的训练轮数为50。灵活调整不同实验中的训练轮数，可以保证高效获得实验结果。</w:t>
      </w:r>
    </w:p>
    <w:p w14:paraId="51395F3A" w14:textId="77777777" w:rsidR="00F927F8" w:rsidRDefault="00000000">
      <w:pPr>
        <w:pStyle w:val="af"/>
        <w:numPr>
          <w:ilvl w:val="0"/>
          <w:numId w:val="3"/>
        </w:numPr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训练时学习率动态调整策略</w:t>
      </w:r>
    </w:p>
    <w:p w14:paraId="21071E19" w14:textId="77777777" w:rsidR="00F927F8" w:rsidRDefault="00000000">
      <w:pPr>
        <w:pStyle w:val="af"/>
        <w:ind w:left="360"/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在深度学习模型的训练过程中，</w:t>
      </w:r>
      <w:proofErr w:type="gramStart"/>
      <w:r>
        <w:rPr>
          <w:rStyle w:val="ac"/>
          <w:rFonts w:hint="eastAsia"/>
          <w:b w:val="0"/>
          <w:bCs w:val="0"/>
        </w:rPr>
        <w:t>若学习率始终</w:t>
      </w:r>
      <w:proofErr w:type="gramEnd"/>
      <w:r>
        <w:rPr>
          <w:rStyle w:val="ac"/>
          <w:rFonts w:hint="eastAsia"/>
          <w:b w:val="0"/>
          <w:bCs w:val="0"/>
        </w:rPr>
        <w:t>保持不变，模型损失函数值会在一定轮数之后区域收敛，此时模型效果难以进一步提高。该问题的解决方案是动态调整学习率，使得模型参数趋于收敛后仍旧能进一步做局部优化。在本实验中，我们使用了学习率阶梯式衰减策略，即</w:t>
      </w:r>
      <w:proofErr w:type="gramStart"/>
      <w:r>
        <w:rPr>
          <w:rStyle w:val="ac"/>
          <w:rFonts w:hint="eastAsia"/>
          <w:b w:val="0"/>
          <w:bCs w:val="0"/>
        </w:rPr>
        <w:t>每训练</w:t>
      </w:r>
      <w:proofErr w:type="gramEnd"/>
      <w:r>
        <w:rPr>
          <w:rStyle w:val="ac"/>
          <w:rFonts w:hint="eastAsia"/>
          <w:b w:val="0"/>
          <w:bCs w:val="0"/>
        </w:rPr>
        <w:t>10轮，学习率衰减为原来的0.1倍。</w:t>
      </w:r>
    </w:p>
    <w:p w14:paraId="291A5962" w14:textId="77777777" w:rsidR="00F927F8" w:rsidRDefault="00000000">
      <w:pPr>
        <w:pStyle w:val="af"/>
        <w:numPr>
          <w:ilvl w:val="0"/>
          <w:numId w:val="3"/>
        </w:numPr>
        <w:jc w:val="left"/>
        <w:rPr>
          <w:rStyle w:val="ac"/>
          <w:rFonts w:hint="eastAsia"/>
          <w:b w:val="0"/>
          <w:bCs w:val="0"/>
        </w:rPr>
      </w:pPr>
      <w:proofErr w:type="gramStart"/>
      <w:r>
        <w:rPr>
          <w:rStyle w:val="ac"/>
          <w:rFonts w:hint="eastAsia"/>
          <w:b w:val="0"/>
          <w:bCs w:val="0"/>
        </w:rPr>
        <w:t>模型超</w:t>
      </w:r>
      <w:proofErr w:type="gramEnd"/>
      <w:r>
        <w:rPr>
          <w:rStyle w:val="ac"/>
          <w:rFonts w:hint="eastAsia"/>
          <w:b w:val="0"/>
          <w:bCs w:val="0"/>
        </w:rPr>
        <w:t>参数初始值</w:t>
      </w:r>
    </w:p>
    <w:tbl>
      <w:tblPr>
        <w:tblStyle w:val="13"/>
        <w:tblW w:w="8364" w:type="dxa"/>
        <w:tblLook w:val="04A0" w:firstRow="1" w:lastRow="0" w:firstColumn="1" w:lastColumn="0" w:noHBand="0" w:noVBand="1"/>
      </w:tblPr>
      <w:tblGrid>
        <w:gridCol w:w="3261"/>
        <w:gridCol w:w="1984"/>
        <w:gridCol w:w="3119"/>
      </w:tblGrid>
      <w:tr w:rsidR="00F927F8" w14:paraId="52C16581" w14:textId="77777777" w:rsidTr="00F927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61" w:type="dxa"/>
          </w:tcPr>
          <w:p w14:paraId="72E3D632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超参数名称</w:t>
            </w:r>
          </w:p>
        </w:tc>
        <w:tc>
          <w:tcPr>
            <w:tcW w:w="1984" w:type="dxa"/>
          </w:tcPr>
          <w:p w14:paraId="299D34F3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变量名</w:t>
            </w:r>
          </w:p>
        </w:tc>
        <w:tc>
          <w:tcPr>
            <w:tcW w:w="3119" w:type="dxa"/>
          </w:tcPr>
          <w:p w14:paraId="0F0520A0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初始值</w:t>
            </w:r>
          </w:p>
        </w:tc>
      </w:tr>
      <w:tr w:rsidR="00F927F8" w14:paraId="2909FE23" w14:textId="77777777" w:rsidTr="00F927F8">
        <w:tc>
          <w:tcPr>
            <w:tcW w:w="3261" w:type="dxa"/>
          </w:tcPr>
          <w:p w14:paraId="605FD55C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初始学习率</w:t>
            </w:r>
          </w:p>
        </w:tc>
        <w:tc>
          <w:tcPr>
            <w:tcW w:w="1984" w:type="dxa"/>
          </w:tcPr>
          <w:p w14:paraId="57891FE9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proofErr w:type="spellStart"/>
            <w:r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  <w:t>learning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_rate</w:t>
            </w:r>
            <w:proofErr w:type="spellEnd"/>
          </w:p>
        </w:tc>
        <w:tc>
          <w:tcPr>
            <w:tcW w:w="3119" w:type="dxa"/>
          </w:tcPr>
          <w:p w14:paraId="429A004A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0.0001</w:t>
            </w:r>
          </w:p>
        </w:tc>
      </w:tr>
      <w:tr w:rsidR="00F927F8" w14:paraId="0F62DBC9" w14:textId="77777777" w:rsidTr="00F927F8">
        <w:tc>
          <w:tcPr>
            <w:tcW w:w="3261" w:type="dxa"/>
          </w:tcPr>
          <w:p w14:paraId="7F6743BA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每批次样本数</w:t>
            </w:r>
          </w:p>
        </w:tc>
        <w:tc>
          <w:tcPr>
            <w:tcW w:w="1984" w:type="dxa"/>
          </w:tcPr>
          <w:p w14:paraId="379E2D8F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proofErr w:type="spellStart"/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batch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_size</w:t>
            </w:r>
            <w:proofErr w:type="spellEnd"/>
          </w:p>
        </w:tc>
        <w:tc>
          <w:tcPr>
            <w:tcW w:w="3119" w:type="dxa"/>
          </w:tcPr>
          <w:p w14:paraId="4A468B82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16</w:t>
            </w:r>
          </w:p>
        </w:tc>
      </w:tr>
      <w:tr w:rsidR="00F927F8" w14:paraId="40ACEE95" w14:textId="77777777" w:rsidTr="00F927F8">
        <w:tc>
          <w:tcPr>
            <w:tcW w:w="3261" w:type="dxa"/>
          </w:tcPr>
          <w:p w14:paraId="5E967487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Adam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动量衰减系数</w:t>
            </w:r>
          </w:p>
        </w:tc>
        <w:tc>
          <w:tcPr>
            <w:tcW w:w="1984" w:type="dxa"/>
          </w:tcPr>
          <w:p w14:paraId="4D0135F6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beta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3119" w:type="dxa"/>
          </w:tcPr>
          <w:p w14:paraId="427FECD1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0.9</w:t>
            </w:r>
          </w:p>
        </w:tc>
      </w:tr>
      <w:tr w:rsidR="00F927F8" w14:paraId="1469F04C" w14:textId="77777777" w:rsidTr="00F927F8">
        <w:tc>
          <w:tcPr>
            <w:tcW w:w="3261" w:type="dxa"/>
          </w:tcPr>
          <w:p w14:paraId="4549B01B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Adam</w:t>
            </w:r>
            <w:proofErr w:type="gramStart"/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二阶矩衰减系数</w:t>
            </w:r>
            <w:proofErr w:type="gramEnd"/>
          </w:p>
        </w:tc>
        <w:tc>
          <w:tcPr>
            <w:tcW w:w="1984" w:type="dxa"/>
          </w:tcPr>
          <w:p w14:paraId="36F5DDD1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beta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2</w:t>
            </w:r>
          </w:p>
        </w:tc>
        <w:tc>
          <w:tcPr>
            <w:tcW w:w="3119" w:type="dxa"/>
          </w:tcPr>
          <w:p w14:paraId="114B64E2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0.999</w:t>
            </w:r>
          </w:p>
        </w:tc>
      </w:tr>
      <w:tr w:rsidR="00F927F8" w14:paraId="767F964A" w14:textId="77777777" w:rsidTr="00F927F8">
        <w:tc>
          <w:tcPr>
            <w:tcW w:w="3261" w:type="dxa"/>
          </w:tcPr>
          <w:p w14:paraId="3F343DF2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L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2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正则化系数</w:t>
            </w:r>
          </w:p>
        </w:tc>
        <w:tc>
          <w:tcPr>
            <w:tcW w:w="1984" w:type="dxa"/>
          </w:tcPr>
          <w:p w14:paraId="52393871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l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2_lambda</w:t>
            </w:r>
          </w:p>
        </w:tc>
        <w:tc>
          <w:tcPr>
            <w:tcW w:w="3119" w:type="dxa"/>
          </w:tcPr>
          <w:p w14:paraId="7837247C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0.00001</w:t>
            </w:r>
          </w:p>
        </w:tc>
      </w:tr>
    </w:tbl>
    <w:p w14:paraId="17B58ECB" w14:textId="77777777" w:rsidR="00F927F8" w:rsidRDefault="00F927F8">
      <w:pPr>
        <w:jc w:val="left"/>
        <w:rPr>
          <w:rStyle w:val="ac"/>
          <w:rFonts w:hint="eastAsia"/>
          <w:b w:val="0"/>
          <w:bCs w:val="0"/>
        </w:rPr>
      </w:pPr>
    </w:p>
    <w:p w14:paraId="2B33C99B" w14:textId="77777777" w:rsidR="00F927F8" w:rsidRDefault="00000000">
      <w:pPr>
        <w:pStyle w:val="af"/>
        <w:numPr>
          <w:ilvl w:val="0"/>
          <w:numId w:val="3"/>
        </w:numPr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不同模型在探究实验中的表现</w:t>
      </w:r>
    </w:p>
    <w:p w14:paraId="7CC9FA33" w14:textId="77777777" w:rsidR="00F927F8" w:rsidRDefault="00000000">
      <w:pPr>
        <w:pStyle w:val="af"/>
        <w:ind w:left="360"/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在对不同模型的训练中，我们发现，对模型的参数按一定方式进行初始化，可以有效加速模型收敛，并避免梯度消失或梯度爆炸现象的出现。研究表明，Kaiming初始化方案对于使用</w:t>
      </w:r>
      <w:proofErr w:type="spellStart"/>
      <w:r>
        <w:rPr>
          <w:rStyle w:val="ac"/>
          <w:rFonts w:hint="eastAsia"/>
          <w:b w:val="0"/>
          <w:bCs w:val="0"/>
        </w:rPr>
        <w:t>ReLU</w:t>
      </w:r>
      <w:proofErr w:type="spellEnd"/>
      <w:r>
        <w:rPr>
          <w:rStyle w:val="ac"/>
          <w:rFonts w:hint="eastAsia"/>
          <w:b w:val="0"/>
          <w:bCs w:val="0"/>
        </w:rPr>
        <w:t>激活函数的模型较为有效。经过Kaiming初始化方案后，模型参数服从正态分布</w:t>
      </w:r>
      <m:oMath>
        <m:r>
          <w:rPr>
            <w:rStyle w:val="ac"/>
            <w:rFonts w:ascii="Cambria Math" w:hAnsi="Cambria Math" w:hint="eastAsia"/>
          </w:rPr>
          <m:t>N</m:t>
        </m:r>
        <m:r>
          <w:rPr>
            <w:rStyle w:val="ac"/>
            <w:rFonts w:ascii="Cambria Math" w:hAnsi="Cambria Math"/>
          </w:rPr>
          <m:t>(0,</m:t>
        </m:r>
        <m:f>
          <m:fPr>
            <m:ctrlPr>
              <w:rPr>
                <w:rStyle w:val="ac"/>
                <w:rFonts w:ascii="Cambria Math" w:hAnsi="Cambria Math"/>
                <w:b w:val="0"/>
                <w:bCs w:val="0"/>
                <w:i/>
              </w:rPr>
            </m:ctrlPr>
          </m:fPr>
          <m:num>
            <m:r>
              <w:rPr>
                <w:rStyle w:val="ac"/>
                <w:rFonts w:ascii="Cambria Math" w:hAnsi="Cambria Math"/>
              </w:rPr>
              <m:t>2</m:t>
            </m:r>
          </m:num>
          <m:den>
            <m:sSub>
              <m:sSubPr>
                <m:ctrlPr>
                  <w:rPr>
                    <w:rStyle w:val="ac"/>
                    <w:rFonts w:ascii="Cambria Math" w:hAnsi="Cambria Math"/>
                    <w:b w:val="0"/>
                    <w:bCs w:val="0"/>
                    <w:i/>
                  </w:rPr>
                </m:ctrlPr>
              </m:sSubPr>
              <m:e>
                <m:r>
                  <w:rPr>
                    <w:rStyle w:val="ac"/>
                    <w:rFonts w:ascii="Cambria Math" w:hAnsi="Cambria Math"/>
                  </w:rPr>
                  <m:t>n</m:t>
                </m:r>
              </m:e>
              <m:sub>
                <m:r>
                  <w:rPr>
                    <w:rStyle w:val="ac"/>
                    <w:rFonts w:ascii="Cambria Math" w:hAnsi="Cambria Math"/>
                  </w:rPr>
                  <m:t>in</m:t>
                </m:r>
              </m:sub>
            </m:sSub>
          </m:den>
        </m:f>
        <m:r>
          <w:rPr>
            <w:rStyle w:val="ac"/>
            <w:rFonts w:ascii="Cambria Math" w:hAnsi="Cambria Math"/>
          </w:rPr>
          <m:t>)</m:t>
        </m:r>
      </m:oMath>
      <w:r>
        <w:rPr>
          <w:rStyle w:val="ac"/>
          <w:rFonts w:hint="eastAsia"/>
          <w:b w:val="0"/>
          <w:bCs w:val="0"/>
        </w:rPr>
        <w:t>，其中</w:t>
      </w:r>
      <m:oMath>
        <m:sSub>
          <m:sSubPr>
            <m:ctrlPr>
              <w:rPr>
                <w:rStyle w:val="ac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ac"/>
                <w:rFonts w:ascii="Cambria Math" w:hAnsi="Cambria Math"/>
              </w:rPr>
              <m:t>n</m:t>
            </m:r>
          </m:e>
          <m:sub>
            <m:r>
              <w:rPr>
                <w:rStyle w:val="ac"/>
                <w:rFonts w:ascii="Cambria Math" w:hAnsi="Cambria Math"/>
              </w:rPr>
              <m:t>in</m:t>
            </m:r>
          </m:sub>
        </m:sSub>
      </m:oMath>
      <w:r>
        <w:rPr>
          <w:rStyle w:val="ac"/>
          <w:rFonts w:hint="eastAsia"/>
          <w:b w:val="0"/>
          <w:bCs w:val="0"/>
        </w:rPr>
        <w:t>是输入特征数。这样的参数组合保证了特征信息</w:t>
      </w:r>
      <m:oMath>
        <m:r>
          <w:rPr>
            <w:rStyle w:val="ac"/>
            <w:rFonts w:ascii="Cambria Math" w:hAnsi="Cambria Math" w:hint="eastAsia"/>
          </w:rPr>
          <m:t>X</m:t>
        </m:r>
      </m:oMath>
      <w:r>
        <w:rPr>
          <w:rStyle w:val="ac"/>
          <w:rFonts w:hint="eastAsia"/>
          <w:b w:val="0"/>
          <w:bCs w:val="0"/>
        </w:rPr>
        <w:t>在经过</w:t>
      </w:r>
      <w:proofErr w:type="spellStart"/>
      <w:r>
        <w:rPr>
          <w:rStyle w:val="ac"/>
          <w:rFonts w:hint="eastAsia"/>
          <w:b w:val="0"/>
          <w:bCs w:val="0"/>
        </w:rPr>
        <w:lastRenderedPageBreak/>
        <w:t>ReLU</w:t>
      </w:r>
      <w:proofErr w:type="spellEnd"/>
      <w:r>
        <w:rPr>
          <w:rStyle w:val="ac"/>
          <w:rFonts w:hint="eastAsia"/>
          <w:b w:val="0"/>
          <w:bCs w:val="0"/>
        </w:rPr>
        <w:t>激活函数前后方差基本一致，从而保证了特征在正向传播时的分布稳定。以下是VGG16、ResNet50、</w:t>
      </w:r>
      <w:proofErr w:type="spellStart"/>
      <w:r>
        <w:rPr>
          <w:rStyle w:val="ac"/>
          <w:rFonts w:hint="eastAsia"/>
          <w:b w:val="0"/>
          <w:bCs w:val="0"/>
        </w:rPr>
        <w:t>ResNeXt</w:t>
      </w:r>
      <w:proofErr w:type="spellEnd"/>
      <w:r>
        <w:rPr>
          <w:rStyle w:val="ac"/>
          <w:rFonts w:hint="eastAsia"/>
          <w:b w:val="0"/>
          <w:bCs w:val="0"/>
        </w:rPr>
        <w:t>-CBAM三种模型在应用Kaiming初始化方案前后的训练曲线：</w:t>
      </w:r>
    </w:p>
    <w:p w14:paraId="73E58F41" w14:textId="46EB1883" w:rsidR="00AD217F" w:rsidRDefault="00AD217F" w:rsidP="00AD217F">
      <w:pPr>
        <w:pStyle w:val="af"/>
        <w:ind w:left="360"/>
        <w:jc w:val="center"/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  <w:noProof/>
        </w:rPr>
        <w:drawing>
          <wp:inline distT="0" distB="0" distL="0" distR="0" wp14:anchorId="210444CF" wp14:editId="4AEC736E">
            <wp:extent cx="5269230" cy="4019550"/>
            <wp:effectExtent l="0" t="0" r="7620" b="0"/>
            <wp:docPr id="1119870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CE58B" w14:textId="77777777" w:rsidR="00F927F8" w:rsidRDefault="00000000">
      <w:pPr>
        <w:pStyle w:val="af"/>
        <w:ind w:left="360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对三种不同的CNN模型进行对比试验后，我们得到了这些模型在测试集上的准确率、混淆矩阵和Kappa系数：</w:t>
      </w:r>
    </w:p>
    <w:p w14:paraId="38AF6861" w14:textId="4957311B" w:rsidR="003C695C" w:rsidRDefault="004427C6" w:rsidP="003C695C">
      <w:pPr>
        <w:pStyle w:val="af"/>
        <w:ind w:left="360"/>
        <w:jc w:val="center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  <w:noProof/>
          <w:color w:val="FF0000"/>
        </w:rPr>
        <w:lastRenderedPageBreak/>
        <w:drawing>
          <wp:inline distT="0" distB="0" distL="0" distR="0" wp14:anchorId="3DB55054" wp14:editId="3103B712">
            <wp:extent cx="5269230" cy="4178300"/>
            <wp:effectExtent l="0" t="0" r="7620" b="0"/>
            <wp:docPr id="16437735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9EEEB" w14:textId="60DA7B0C" w:rsidR="00F927F8" w:rsidRDefault="00000000" w:rsidP="003C695C">
      <w:pPr>
        <w:pStyle w:val="af"/>
        <w:ind w:left="360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对上述图表数据进行分析，我们可以得出结论：</w:t>
      </w:r>
      <w:proofErr w:type="spellStart"/>
      <w:r>
        <w:rPr>
          <w:rStyle w:val="ac"/>
          <w:rFonts w:hint="eastAsia"/>
          <w:b w:val="0"/>
          <w:bCs w:val="0"/>
        </w:rPr>
        <w:t>ResNeXt</w:t>
      </w:r>
      <w:proofErr w:type="spellEnd"/>
      <w:r>
        <w:rPr>
          <w:rStyle w:val="ac"/>
          <w:rFonts w:hint="eastAsia"/>
          <w:b w:val="0"/>
          <w:bCs w:val="0"/>
        </w:rPr>
        <w:t>-CBAM模型在当前任务上表现最好。VGG16模型由于没有引进残差学习方法，模型深度对模型训练造成了一定的阻碍，难以有效优化；另外，VGG16模型的参数量过大，模型复杂度高，有很大的过拟合风险。ResNet50模型相较于VGG16在效果上改善明显，但应对噪声和背景干扰的能力逊于</w:t>
      </w:r>
      <w:proofErr w:type="spellStart"/>
      <w:r>
        <w:rPr>
          <w:rStyle w:val="ac"/>
          <w:rFonts w:hint="eastAsia"/>
          <w:b w:val="0"/>
          <w:bCs w:val="0"/>
        </w:rPr>
        <w:t>ResNeXt</w:t>
      </w:r>
      <w:proofErr w:type="spellEnd"/>
      <w:r>
        <w:rPr>
          <w:rStyle w:val="ac"/>
          <w:rFonts w:hint="eastAsia"/>
          <w:b w:val="0"/>
          <w:bCs w:val="0"/>
        </w:rPr>
        <w:t>-CBAM。由于引入了自注意力机制，</w:t>
      </w:r>
      <w:proofErr w:type="spellStart"/>
      <w:r>
        <w:rPr>
          <w:rStyle w:val="ac"/>
          <w:rFonts w:hint="eastAsia"/>
          <w:b w:val="0"/>
          <w:bCs w:val="0"/>
        </w:rPr>
        <w:t>ResNeXt</w:t>
      </w:r>
      <w:proofErr w:type="spellEnd"/>
      <w:r>
        <w:rPr>
          <w:rStyle w:val="ac"/>
          <w:rFonts w:hint="eastAsia"/>
          <w:b w:val="0"/>
          <w:bCs w:val="0"/>
        </w:rPr>
        <w:t>-CBAM在当前任务中可以将注意力更多地放在叶片的形状与纹理上，对不同类别图像的特征提取能力更强，因此在当前任务上表现更优。在背景与目标叶片的区别较小、背景复杂的测试用例上，</w:t>
      </w:r>
      <w:proofErr w:type="spellStart"/>
      <w:r>
        <w:rPr>
          <w:rStyle w:val="ac"/>
          <w:rFonts w:hint="eastAsia"/>
          <w:b w:val="0"/>
          <w:bCs w:val="0"/>
        </w:rPr>
        <w:t>ResNeXt</w:t>
      </w:r>
      <w:proofErr w:type="spellEnd"/>
      <w:r>
        <w:rPr>
          <w:rStyle w:val="ac"/>
          <w:rFonts w:hint="eastAsia"/>
          <w:b w:val="0"/>
          <w:bCs w:val="0"/>
        </w:rPr>
        <w:t>-CBAM模型的预测准确率也高于剩余两种模型。基于上述论证，我们选择</w:t>
      </w:r>
      <w:proofErr w:type="spellStart"/>
      <w:r>
        <w:rPr>
          <w:rStyle w:val="ac"/>
          <w:rFonts w:hint="eastAsia"/>
          <w:b w:val="0"/>
          <w:bCs w:val="0"/>
        </w:rPr>
        <w:t>ResNeXt</w:t>
      </w:r>
      <w:proofErr w:type="spellEnd"/>
      <w:r>
        <w:rPr>
          <w:rStyle w:val="ac"/>
          <w:rFonts w:hint="eastAsia"/>
          <w:b w:val="0"/>
          <w:bCs w:val="0"/>
        </w:rPr>
        <w:t>-CBAM模型做后续实验，以对其进行进一步优化。</w:t>
      </w:r>
    </w:p>
    <w:p w14:paraId="622F84BC" w14:textId="77777777" w:rsidR="00F927F8" w:rsidRDefault="00000000">
      <w:pPr>
        <w:pStyle w:val="af"/>
        <w:numPr>
          <w:ilvl w:val="0"/>
          <w:numId w:val="3"/>
        </w:numPr>
        <w:jc w:val="left"/>
        <w:rPr>
          <w:rStyle w:val="ac"/>
          <w:rFonts w:hint="eastAsia"/>
          <w:b w:val="0"/>
          <w:bCs w:val="0"/>
        </w:rPr>
      </w:pPr>
      <w:proofErr w:type="spellStart"/>
      <w:r>
        <w:rPr>
          <w:rStyle w:val="ac"/>
          <w:rFonts w:hint="eastAsia"/>
          <w:b w:val="0"/>
          <w:bCs w:val="0"/>
        </w:rPr>
        <w:t>ResNeXt</w:t>
      </w:r>
      <w:proofErr w:type="spellEnd"/>
      <w:r>
        <w:rPr>
          <w:rStyle w:val="ac"/>
          <w:rFonts w:hint="eastAsia"/>
          <w:b w:val="0"/>
          <w:bCs w:val="0"/>
        </w:rPr>
        <w:t>-CBAM</w:t>
      </w:r>
      <w:proofErr w:type="gramStart"/>
      <w:r>
        <w:rPr>
          <w:rStyle w:val="ac"/>
          <w:rFonts w:hint="eastAsia"/>
          <w:b w:val="0"/>
          <w:bCs w:val="0"/>
        </w:rPr>
        <w:t>模型超</w:t>
      </w:r>
      <w:proofErr w:type="gramEnd"/>
      <w:r>
        <w:rPr>
          <w:rStyle w:val="ac"/>
          <w:rFonts w:hint="eastAsia"/>
          <w:b w:val="0"/>
          <w:bCs w:val="0"/>
        </w:rPr>
        <w:t>参数搜索实验</w:t>
      </w:r>
    </w:p>
    <w:p w14:paraId="5404188E" w14:textId="77777777" w:rsidR="00F927F8" w:rsidRDefault="00000000">
      <w:pPr>
        <w:pStyle w:val="af"/>
        <w:ind w:left="360"/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在</w:t>
      </w:r>
      <w:proofErr w:type="gramStart"/>
      <w:r>
        <w:rPr>
          <w:rStyle w:val="ac"/>
          <w:rFonts w:hint="eastAsia"/>
          <w:b w:val="0"/>
          <w:bCs w:val="0"/>
        </w:rPr>
        <w:t>模型超</w:t>
      </w:r>
      <w:proofErr w:type="gramEnd"/>
      <w:r>
        <w:rPr>
          <w:rStyle w:val="ac"/>
          <w:rFonts w:hint="eastAsia"/>
          <w:b w:val="0"/>
          <w:bCs w:val="0"/>
        </w:rPr>
        <w:t>参数搜索实验中，我们对比使用了SSA搜索算法、TPE搜索算法。下表为模型的待搜索超参数以及其取值范围：</w:t>
      </w:r>
    </w:p>
    <w:tbl>
      <w:tblPr>
        <w:tblStyle w:val="13"/>
        <w:tblW w:w="8222" w:type="dxa"/>
        <w:tblLook w:val="04A0" w:firstRow="1" w:lastRow="0" w:firstColumn="1" w:lastColumn="0" w:noHBand="0" w:noVBand="1"/>
      </w:tblPr>
      <w:tblGrid>
        <w:gridCol w:w="2599"/>
        <w:gridCol w:w="2079"/>
        <w:gridCol w:w="992"/>
        <w:gridCol w:w="2552"/>
      </w:tblGrid>
      <w:tr w:rsidR="00F927F8" w14:paraId="49BA172A" w14:textId="77777777" w:rsidTr="00F927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99" w:type="dxa"/>
          </w:tcPr>
          <w:p w14:paraId="3C2EEDE2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超参数名称</w:t>
            </w:r>
          </w:p>
        </w:tc>
        <w:tc>
          <w:tcPr>
            <w:tcW w:w="2079" w:type="dxa"/>
          </w:tcPr>
          <w:p w14:paraId="6F68B8F6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变量名</w:t>
            </w:r>
          </w:p>
        </w:tc>
        <w:tc>
          <w:tcPr>
            <w:tcW w:w="992" w:type="dxa"/>
          </w:tcPr>
          <w:p w14:paraId="1F8CA89C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类型</w:t>
            </w:r>
          </w:p>
        </w:tc>
        <w:tc>
          <w:tcPr>
            <w:tcW w:w="2552" w:type="dxa"/>
          </w:tcPr>
          <w:p w14:paraId="722D2A3B" w14:textId="77777777" w:rsidR="00F927F8" w:rsidRDefault="00000000">
            <w:pPr>
              <w:jc w:val="center"/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取值范围</w:t>
            </w:r>
          </w:p>
        </w:tc>
      </w:tr>
      <w:tr w:rsidR="00F927F8" w14:paraId="54C8EC07" w14:textId="77777777" w:rsidTr="00F927F8">
        <w:tc>
          <w:tcPr>
            <w:tcW w:w="2599" w:type="dxa"/>
          </w:tcPr>
          <w:p w14:paraId="0317784F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初始学习率</w:t>
            </w:r>
          </w:p>
        </w:tc>
        <w:tc>
          <w:tcPr>
            <w:tcW w:w="2079" w:type="dxa"/>
          </w:tcPr>
          <w:p w14:paraId="366F1E34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proofErr w:type="spellStart"/>
            <w:r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  <w:t>learning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_rate</w:t>
            </w:r>
            <w:proofErr w:type="spellEnd"/>
          </w:p>
        </w:tc>
        <w:tc>
          <w:tcPr>
            <w:tcW w:w="992" w:type="dxa"/>
          </w:tcPr>
          <w:p w14:paraId="5FE690E0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连续型</w:t>
            </w:r>
          </w:p>
        </w:tc>
        <w:tc>
          <w:tcPr>
            <w:tcW w:w="2552" w:type="dxa"/>
          </w:tcPr>
          <w:p w14:paraId="2B50C601" w14:textId="77777777" w:rsidR="00F927F8" w:rsidRDefault="00000000">
            <w:pPr>
              <w:jc w:val="center"/>
              <w:rPr>
                <w:rFonts w:ascii="Times New Roman" w:hAnsi="Times New Roman"/>
                <w:i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[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kern w:val="0"/>
                        <w:sz w:val="20"/>
                        <w:szCs w:val="20"/>
                        <w14:ligatures w14:val="none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kern w:val="0"/>
                        <w:sz w:val="20"/>
                        <w:szCs w:val="20"/>
                        <w14:ligatures w14:val="none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kern w:val="0"/>
                        <w:sz w:val="20"/>
                        <w:szCs w:val="20"/>
                        <w14:ligatures w14:val="none"/>
                      </w:rPr>
                      <m:t>-5</m:t>
                    </m:r>
                  </m:sup>
                </m:sSup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kern w:val="0"/>
                        <w:sz w:val="20"/>
                        <w:szCs w:val="20"/>
                        <w14:ligatures w14:val="none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kern w:val="0"/>
                        <w:sz w:val="20"/>
                        <w:szCs w:val="20"/>
                        <w14:ligatures w14:val="none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kern w:val="0"/>
                        <w:sz w:val="20"/>
                        <w:szCs w:val="20"/>
                        <w14:ligatures w14:val="none"/>
                      </w:rPr>
                      <m:t>-3</m:t>
                    </m:r>
                  </m:sup>
                </m:sSup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]</m:t>
                </m:r>
              </m:oMath>
            </m:oMathPara>
          </w:p>
        </w:tc>
      </w:tr>
      <w:tr w:rsidR="00F927F8" w14:paraId="5213F6BA" w14:textId="77777777" w:rsidTr="00F927F8">
        <w:tc>
          <w:tcPr>
            <w:tcW w:w="2599" w:type="dxa"/>
          </w:tcPr>
          <w:p w14:paraId="3B13B650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Adam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动量衰减系数</w:t>
            </w:r>
          </w:p>
        </w:tc>
        <w:tc>
          <w:tcPr>
            <w:tcW w:w="2079" w:type="dxa"/>
          </w:tcPr>
          <w:p w14:paraId="7E45F8DF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beta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992" w:type="dxa"/>
          </w:tcPr>
          <w:p w14:paraId="5D696CBC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连续型</w:t>
            </w:r>
          </w:p>
        </w:tc>
        <w:tc>
          <w:tcPr>
            <w:tcW w:w="2552" w:type="dxa"/>
          </w:tcPr>
          <w:p w14:paraId="307D4D87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[</m:t>
                </m:r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0.8,0.99</m:t>
                </m:r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]</m:t>
                </m:r>
              </m:oMath>
            </m:oMathPara>
          </w:p>
        </w:tc>
      </w:tr>
      <w:tr w:rsidR="00F927F8" w14:paraId="024C0525" w14:textId="77777777" w:rsidTr="00F927F8">
        <w:tc>
          <w:tcPr>
            <w:tcW w:w="2599" w:type="dxa"/>
          </w:tcPr>
          <w:p w14:paraId="62ED30BC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Adam</w:t>
            </w:r>
            <w:proofErr w:type="gramStart"/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二阶矩衰减系数</w:t>
            </w:r>
            <w:proofErr w:type="gramEnd"/>
          </w:p>
        </w:tc>
        <w:tc>
          <w:tcPr>
            <w:tcW w:w="2079" w:type="dxa"/>
          </w:tcPr>
          <w:p w14:paraId="40737D1B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beta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2</w:t>
            </w:r>
          </w:p>
        </w:tc>
        <w:tc>
          <w:tcPr>
            <w:tcW w:w="992" w:type="dxa"/>
          </w:tcPr>
          <w:p w14:paraId="2993425C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连续型</w:t>
            </w:r>
          </w:p>
        </w:tc>
        <w:tc>
          <w:tcPr>
            <w:tcW w:w="2552" w:type="dxa"/>
          </w:tcPr>
          <w:p w14:paraId="11659D30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[</m:t>
                </m:r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0.98,0.9999</m:t>
                </m:r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]</m:t>
                </m:r>
              </m:oMath>
            </m:oMathPara>
          </w:p>
        </w:tc>
      </w:tr>
      <w:tr w:rsidR="00F927F8" w14:paraId="49B11011" w14:textId="77777777" w:rsidTr="00F927F8">
        <w:tc>
          <w:tcPr>
            <w:tcW w:w="2599" w:type="dxa"/>
          </w:tcPr>
          <w:p w14:paraId="396E1397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L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2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正则化系数</w:t>
            </w:r>
          </w:p>
        </w:tc>
        <w:tc>
          <w:tcPr>
            <w:tcW w:w="2079" w:type="dxa"/>
          </w:tcPr>
          <w:p w14:paraId="4EF255B5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wd</w:t>
            </w:r>
          </w:p>
        </w:tc>
        <w:tc>
          <w:tcPr>
            <w:tcW w:w="992" w:type="dxa"/>
          </w:tcPr>
          <w:p w14:paraId="41CEE708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连续型</w:t>
            </w:r>
          </w:p>
        </w:tc>
        <w:tc>
          <w:tcPr>
            <w:tcW w:w="2552" w:type="dxa"/>
          </w:tcPr>
          <w:p w14:paraId="3981F56C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[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kern w:val="0"/>
                        <w:sz w:val="20"/>
                        <w:szCs w:val="20"/>
                        <w14:ligatures w14:val="none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kern w:val="0"/>
                        <w:sz w:val="20"/>
                        <w:szCs w:val="20"/>
                        <w14:ligatures w14:val="none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kern w:val="0"/>
                        <w:sz w:val="20"/>
                        <w:szCs w:val="20"/>
                        <w14:ligatures w14:val="none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kern w:val="0"/>
                        <w:sz w:val="20"/>
                        <w:szCs w:val="20"/>
                        <w14:ligatures w14:val="none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kern w:val="0"/>
                        <w:sz w:val="20"/>
                        <w:szCs w:val="20"/>
                        <w14:ligatures w14:val="none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kern w:val="0"/>
                        <w:sz w:val="20"/>
                        <w:szCs w:val="20"/>
                        <w14:ligatures w14:val="none"/>
                      </w:rPr>
                      <m:t>-4</m:t>
                    </m:r>
                  </m:sup>
                </m:sSup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]</m:t>
                </m:r>
              </m:oMath>
            </m:oMathPara>
          </w:p>
        </w:tc>
      </w:tr>
      <w:tr w:rsidR="00F927F8" w14:paraId="6587251C" w14:textId="77777777" w:rsidTr="00F927F8">
        <w:tc>
          <w:tcPr>
            <w:tcW w:w="2599" w:type="dxa"/>
          </w:tcPr>
          <w:p w14:paraId="28C2423B" w14:textId="77777777" w:rsidR="00F927F8" w:rsidRDefault="00000000">
            <w:pPr>
              <w:jc w:val="center"/>
              <w:rPr>
                <w:rFonts w:asciiTheme="minorEastAsia" w:eastAsia="Times New Roman" w:hAnsi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dropout</w:t>
            </w: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概率</w:t>
            </w:r>
          </w:p>
        </w:tc>
        <w:tc>
          <w:tcPr>
            <w:tcW w:w="2079" w:type="dxa"/>
          </w:tcPr>
          <w:p w14:paraId="3F73940C" w14:textId="77777777" w:rsidR="00F927F8" w:rsidRDefault="00000000">
            <w:pPr>
              <w:jc w:val="center"/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</w:pPr>
            <w:proofErr w:type="spellStart"/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dropout_rate</w:t>
            </w:r>
            <w:proofErr w:type="spellEnd"/>
          </w:p>
        </w:tc>
        <w:tc>
          <w:tcPr>
            <w:tcW w:w="992" w:type="dxa"/>
          </w:tcPr>
          <w:p w14:paraId="50035631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连续型</w:t>
            </w:r>
          </w:p>
        </w:tc>
        <w:tc>
          <w:tcPr>
            <w:tcW w:w="2552" w:type="dxa"/>
          </w:tcPr>
          <w:p w14:paraId="2B0E7ABB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[</m:t>
                </m:r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0.3,0.6</m:t>
                </m:r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]</m:t>
                </m:r>
              </m:oMath>
            </m:oMathPara>
          </w:p>
        </w:tc>
      </w:tr>
      <w:tr w:rsidR="00F927F8" w14:paraId="7324461E" w14:textId="77777777" w:rsidTr="00F927F8">
        <w:tc>
          <w:tcPr>
            <w:tcW w:w="2599" w:type="dxa"/>
          </w:tcPr>
          <w:p w14:paraId="0CA78076" w14:textId="77777777" w:rsidR="00F927F8" w:rsidRDefault="00000000">
            <w:pPr>
              <w:jc w:val="center"/>
              <w:rPr>
                <w:rFonts w:asciiTheme="minorEastAsia" w:eastAsia="Times New Roman" w:hAnsi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基数</w:t>
            </w:r>
          </w:p>
        </w:tc>
        <w:tc>
          <w:tcPr>
            <w:tcW w:w="2079" w:type="dxa"/>
          </w:tcPr>
          <w:p w14:paraId="10F7E7D1" w14:textId="77777777" w:rsidR="00F927F8" w:rsidRDefault="00000000">
            <w:pPr>
              <w:jc w:val="center"/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cardinality</w:t>
            </w:r>
          </w:p>
        </w:tc>
        <w:tc>
          <w:tcPr>
            <w:tcW w:w="992" w:type="dxa"/>
          </w:tcPr>
          <w:p w14:paraId="1184F234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离散型</w:t>
            </w:r>
          </w:p>
        </w:tc>
        <w:tc>
          <w:tcPr>
            <w:tcW w:w="2552" w:type="dxa"/>
          </w:tcPr>
          <w:p w14:paraId="344C6DFD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[</m:t>
                </m:r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16,32,64</m:t>
                </m:r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]</m:t>
                </m:r>
              </m:oMath>
            </m:oMathPara>
          </w:p>
        </w:tc>
      </w:tr>
      <w:tr w:rsidR="00F927F8" w14:paraId="0C05A4C1" w14:textId="77777777" w:rsidTr="00F927F8">
        <w:tc>
          <w:tcPr>
            <w:tcW w:w="2599" w:type="dxa"/>
          </w:tcPr>
          <w:p w14:paraId="51A2EA7A" w14:textId="77777777" w:rsidR="00F927F8" w:rsidRDefault="00000000">
            <w:pPr>
              <w:jc w:val="center"/>
              <w:rPr>
                <w:rFonts w:asciiTheme="minorEastAsia" w:eastAsia="Times New Roman" w:hAnsi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瓶颈宽度</w:t>
            </w:r>
          </w:p>
        </w:tc>
        <w:tc>
          <w:tcPr>
            <w:tcW w:w="2079" w:type="dxa"/>
          </w:tcPr>
          <w:p w14:paraId="720A34A4" w14:textId="77777777" w:rsidR="00F927F8" w:rsidRDefault="00000000">
            <w:pPr>
              <w:jc w:val="center"/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base</w:t>
            </w:r>
          </w:p>
        </w:tc>
        <w:tc>
          <w:tcPr>
            <w:tcW w:w="992" w:type="dxa"/>
          </w:tcPr>
          <w:p w14:paraId="0C926E1E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离散型</w:t>
            </w:r>
          </w:p>
        </w:tc>
        <w:tc>
          <w:tcPr>
            <w:tcW w:w="2552" w:type="dxa"/>
          </w:tcPr>
          <w:p w14:paraId="68973629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[</m:t>
                </m:r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2,4,8</m:t>
                </m:r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]</m:t>
                </m:r>
              </m:oMath>
            </m:oMathPara>
          </w:p>
        </w:tc>
      </w:tr>
      <w:tr w:rsidR="00F927F8" w14:paraId="242E160B" w14:textId="77777777" w:rsidTr="00F927F8">
        <w:tc>
          <w:tcPr>
            <w:tcW w:w="2599" w:type="dxa"/>
          </w:tcPr>
          <w:p w14:paraId="4F8E3C21" w14:textId="77777777" w:rsidR="00F927F8" w:rsidRDefault="00000000">
            <w:pPr>
              <w:jc w:val="center"/>
              <w:rPr>
                <w:rFonts w:asciiTheme="minorEastAsia" w:eastAsia="Times New Roman" w:hAnsiTheme="minorEastAsia"/>
                <w:kern w:val="0"/>
                <w:sz w:val="20"/>
                <w:szCs w:val="20"/>
                <w14:ligatures w14:val="none"/>
              </w:rPr>
            </w:pPr>
            <w:proofErr w:type="spellStart"/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SEBlock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缩减比例</w:t>
            </w:r>
          </w:p>
        </w:tc>
        <w:tc>
          <w:tcPr>
            <w:tcW w:w="2079" w:type="dxa"/>
          </w:tcPr>
          <w:p w14:paraId="1EA5AAC9" w14:textId="77777777" w:rsidR="00F927F8" w:rsidRDefault="00000000">
            <w:pPr>
              <w:jc w:val="center"/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</w:pPr>
            <w:proofErr w:type="spellStart"/>
            <w:r>
              <w:rPr>
                <w:rFonts w:asciiTheme="minorEastAsia" w:eastAsia="Times New Roman" w:hAnsiTheme="minorEastAsia"/>
                <w:kern w:val="0"/>
                <w:sz w:val="20"/>
                <w:szCs w:val="20"/>
                <w14:ligatures w14:val="none"/>
              </w:rPr>
              <w:t>SE_reduction_ratio</w:t>
            </w:r>
            <w:proofErr w:type="spellEnd"/>
          </w:p>
        </w:tc>
        <w:tc>
          <w:tcPr>
            <w:tcW w:w="992" w:type="dxa"/>
          </w:tcPr>
          <w:p w14:paraId="5495B0F8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离散型</w:t>
            </w:r>
          </w:p>
        </w:tc>
        <w:tc>
          <w:tcPr>
            <w:tcW w:w="2552" w:type="dxa"/>
          </w:tcPr>
          <w:p w14:paraId="0DB2ECAB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[</m:t>
                </m:r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8,16,32</m:t>
                </m:r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]</m:t>
                </m:r>
              </m:oMath>
            </m:oMathPara>
          </w:p>
        </w:tc>
      </w:tr>
      <w:tr w:rsidR="00F927F8" w14:paraId="74D2FB57" w14:textId="77777777" w:rsidTr="00F927F8">
        <w:tc>
          <w:tcPr>
            <w:tcW w:w="2599" w:type="dxa"/>
          </w:tcPr>
          <w:p w14:paraId="17106722" w14:textId="77777777" w:rsidR="00F927F8" w:rsidRDefault="00000000">
            <w:pPr>
              <w:jc w:val="center"/>
              <w:rPr>
                <w:rFonts w:asciiTheme="minorEastAsia" w:eastAsia="Times New Roman" w:hAnsi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SABlock</w:t>
            </w: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卷积核尺寸</w:t>
            </w:r>
          </w:p>
        </w:tc>
        <w:tc>
          <w:tcPr>
            <w:tcW w:w="2079" w:type="dxa"/>
          </w:tcPr>
          <w:p w14:paraId="6B515399" w14:textId="77777777" w:rsidR="00F927F8" w:rsidRDefault="00000000">
            <w:pPr>
              <w:jc w:val="center"/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</w:pPr>
            <w:proofErr w:type="spellStart"/>
            <w:r>
              <w:rPr>
                <w:rFonts w:asciiTheme="minorEastAsia" w:eastAsia="Times New Roman" w:hAnsiTheme="minorEastAsia"/>
                <w:kern w:val="0"/>
                <w:sz w:val="20"/>
                <w:szCs w:val="20"/>
                <w14:ligatures w14:val="none"/>
              </w:rPr>
              <w:t>SA_kernel_size</w:t>
            </w:r>
            <w:proofErr w:type="spellEnd"/>
          </w:p>
        </w:tc>
        <w:tc>
          <w:tcPr>
            <w:tcW w:w="992" w:type="dxa"/>
          </w:tcPr>
          <w:p w14:paraId="2A010307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离散型</w:t>
            </w:r>
          </w:p>
        </w:tc>
        <w:tc>
          <w:tcPr>
            <w:tcW w:w="2552" w:type="dxa"/>
          </w:tcPr>
          <w:p w14:paraId="03DDF37F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[3</m:t>
                </m:r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,5,7,9</m:t>
                </m:r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]</m:t>
                </m:r>
              </m:oMath>
            </m:oMathPara>
          </w:p>
        </w:tc>
      </w:tr>
    </w:tbl>
    <w:p w14:paraId="5D013F40" w14:textId="77777777" w:rsidR="00F927F8" w:rsidRDefault="00000000">
      <w:pPr>
        <w:pStyle w:val="af"/>
        <w:ind w:left="360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lastRenderedPageBreak/>
        <w:t>通过两种搜索算法对比，我们选择TPE搜索算法对超参数进行优化。由上表可知，候选超参数有离散型，也有连续性，而TPE算法对于混合型搜索空间更为友好。另外，SSA算法在处理每一维取值范围窄、搜索空间维数较高时表现一般。</w:t>
      </w:r>
    </w:p>
    <w:p w14:paraId="13E463D4" w14:textId="77777777" w:rsidR="00F927F8" w:rsidRDefault="00000000">
      <w:pPr>
        <w:pStyle w:val="af"/>
        <w:ind w:left="360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在超参数搜索实验中，我们评估当前超参数优劣的方法是，以当前超参数在小数据集上对模型进行10次训练，并评估模型在测试集上的准确率。准确率越高，当前超参数的效果越好。</w:t>
      </w:r>
    </w:p>
    <w:p w14:paraId="3BD66CDF" w14:textId="77777777" w:rsidR="00F927F8" w:rsidRDefault="00000000">
      <w:pPr>
        <w:pStyle w:val="af"/>
        <w:ind w:left="360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以下是使用TPE搜索算法对最优超参数组合进行搜索的过程：</w:t>
      </w:r>
    </w:p>
    <w:p w14:paraId="2C1B6AF9" w14:textId="77777777" w:rsidR="00F927F8" w:rsidRDefault="00000000">
      <w:pPr>
        <w:pStyle w:val="af"/>
        <w:ind w:left="360"/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  <w:noProof/>
        </w:rPr>
        <w:drawing>
          <wp:inline distT="0" distB="0" distL="0" distR="0" wp14:anchorId="5027DAE5" wp14:editId="240552B1">
            <wp:extent cx="5274945" cy="2563495"/>
            <wp:effectExtent l="0" t="0" r="1905" b="8255"/>
            <wp:docPr id="13943426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42659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3A2A2" w14:textId="77777777" w:rsidR="00F927F8" w:rsidRDefault="00000000">
      <w:pPr>
        <w:pStyle w:val="af"/>
        <w:ind w:left="360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分析搜索过程我们得知，TPE算法可以在开始迭代时较快地找到较优的超参数范围。在之后的迭代之中，算法在一定范围内随机采样，试图寻找到更优的超参数组合，并根据采样评估结果缩小下一次迭代时的搜索范围。</w:t>
      </w:r>
    </w:p>
    <w:p w14:paraId="61E2E1F6" w14:textId="77777777" w:rsidR="00F927F8" w:rsidRDefault="00000000">
      <w:pPr>
        <w:pStyle w:val="af"/>
        <w:ind w:left="360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根据结果，我们同样能得到不同超参数对结果的影响程度：</w:t>
      </w:r>
    </w:p>
    <w:p w14:paraId="580394A6" w14:textId="77777777" w:rsidR="00F927F8" w:rsidRDefault="00000000">
      <w:pPr>
        <w:pStyle w:val="af"/>
        <w:ind w:left="360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  <w:noProof/>
        </w:rPr>
        <w:drawing>
          <wp:inline distT="0" distB="0" distL="0" distR="0" wp14:anchorId="7B421F6C" wp14:editId="32BC6B3F">
            <wp:extent cx="5274310" cy="2562860"/>
            <wp:effectExtent l="0" t="0" r="2540" b="8890"/>
            <wp:docPr id="16111243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24313" name="图片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A8EEE" w14:textId="77777777" w:rsidR="00F927F8" w:rsidRDefault="00000000">
      <w:pPr>
        <w:pStyle w:val="af"/>
        <w:ind w:left="360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很明显，初始学习率对训练结果的影响最大。</w:t>
      </w:r>
    </w:p>
    <w:p w14:paraId="3EFA0625" w14:textId="77777777" w:rsidR="00F927F8" w:rsidRDefault="00000000">
      <w:pPr>
        <w:pStyle w:val="af"/>
        <w:ind w:left="360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下表展示了TPE算法搜寻到的最优超参数组合：</w:t>
      </w:r>
    </w:p>
    <w:tbl>
      <w:tblPr>
        <w:tblStyle w:val="13"/>
        <w:tblW w:w="8222" w:type="dxa"/>
        <w:tblLook w:val="04A0" w:firstRow="1" w:lastRow="0" w:firstColumn="1" w:lastColumn="0" w:noHBand="0" w:noVBand="1"/>
      </w:tblPr>
      <w:tblGrid>
        <w:gridCol w:w="2599"/>
        <w:gridCol w:w="2079"/>
        <w:gridCol w:w="992"/>
        <w:gridCol w:w="2552"/>
      </w:tblGrid>
      <w:tr w:rsidR="00F927F8" w14:paraId="30188C75" w14:textId="77777777" w:rsidTr="00F927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99" w:type="dxa"/>
          </w:tcPr>
          <w:p w14:paraId="18CA9070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超参数名称</w:t>
            </w:r>
          </w:p>
        </w:tc>
        <w:tc>
          <w:tcPr>
            <w:tcW w:w="2079" w:type="dxa"/>
          </w:tcPr>
          <w:p w14:paraId="2E13C7BE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变量名</w:t>
            </w:r>
          </w:p>
        </w:tc>
        <w:tc>
          <w:tcPr>
            <w:tcW w:w="992" w:type="dxa"/>
          </w:tcPr>
          <w:p w14:paraId="47E2A08F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类型</w:t>
            </w:r>
          </w:p>
        </w:tc>
        <w:tc>
          <w:tcPr>
            <w:tcW w:w="2552" w:type="dxa"/>
          </w:tcPr>
          <w:p w14:paraId="5C36744D" w14:textId="77777777" w:rsidR="00F927F8" w:rsidRDefault="00000000">
            <w:pPr>
              <w:jc w:val="center"/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最佳取值</w:t>
            </w:r>
          </w:p>
        </w:tc>
      </w:tr>
      <w:tr w:rsidR="00F927F8" w14:paraId="0FF2A4D8" w14:textId="77777777" w:rsidTr="00F927F8">
        <w:tc>
          <w:tcPr>
            <w:tcW w:w="2599" w:type="dxa"/>
          </w:tcPr>
          <w:p w14:paraId="38D14038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初始学习率</w:t>
            </w:r>
          </w:p>
        </w:tc>
        <w:tc>
          <w:tcPr>
            <w:tcW w:w="2079" w:type="dxa"/>
          </w:tcPr>
          <w:p w14:paraId="4E996468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proofErr w:type="spellStart"/>
            <w:r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  <w:t>learning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_rate</w:t>
            </w:r>
            <w:proofErr w:type="spellEnd"/>
          </w:p>
        </w:tc>
        <w:tc>
          <w:tcPr>
            <w:tcW w:w="992" w:type="dxa"/>
          </w:tcPr>
          <w:p w14:paraId="6DADCF3B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连续型</w:t>
            </w:r>
          </w:p>
        </w:tc>
        <w:tc>
          <w:tcPr>
            <w:tcW w:w="2552" w:type="dxa"/>
          </w:tcPr>
          <w:p w14:paraId="3FF40863" w14:textId="77777777" w:rsidR="00F927F8" w:rsidRDefault="00000000">
            <w:pPr>
              <w:jc w:val="center"/>
              <w:rPr>
                <w:rFonts w:ascii="Times New Roman" w:hAnsi="Times New Roman"/>
                <w:i/>
                <w:kern w:val="0"/>
                <w:sz w:val="20"/>
                <w:szCs w:val="20"/>
                <w14:ligatures w14:val="none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kern w:val="0"/>
                        <w:sz w:val="20"/>
                        <w:szCs w:val="20"/>
                        <w14:ligatures w14:val="none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kern w:val="0"/>
                        <w:sz w:val="20"/>
                        <w:szCs w:val="20"/>
                        <w14:ligatures w14:val="none"/>
                      </w:rPr>
                      <m:t>7.88</m:t>
                    </m:r>
                    <m:r>
                      <w:rPr>
                        <w:rFonts w:ascii="Cambria Math" w:hAnsi="Cambria Math" w:hint="eastAsia"/>
                        <w:kern w:val="0"/>
                        <w:sz w:val="20"/>
                        <w:szCs w:val="20"/>
                        <w14:ligatures w14:val="none"/>
                      </w:rPr>
                      <m:t>×</m:t>
                    </m:r>
                    <m:r>
                      <w:rPr>
                        <w:rFonts w:ascii="Cambria Math" w:hAnsi="Cambria Math"/>
                        <w:kern w:val="0"/>
                        <w:sz w:val="20"/>
                        <w:szCs w:val="20"/>
                        <w14:ligatures w14:val="none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kern w:val="0"/>
                        <w:sz w:val="20"/>
                        <w:szCs w:val="20"/>
                        <w14:ligatures w14:val="none"/>
                      </w:rPr>
                      <m:t>-4</m:t>
                    </m:r>
                  </m:sup>
                </m:sSup>
              </m:oMath>
            </m:oMathPara>
          </w:p>
        </w:tc>
      </w:tr>
      <w:tr w:rsidR="00F927F8" w14:paraId="79F3406F" w14:textId="77777777" w:rsidTr="00F927F8">
        <w:tc>
          <w:tcPr>
            <w:tcW w:w="2599" w:type="dxa"/>
          </w:tcPr>
          <w:p w14:paraId="6AAAB501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Adam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动量衰减系数</w:t>
            </w:r>
          </w:p>
        </w:tc>
        <w:tc>
          <w:tcPr>
            <w:tcW w:w="2079" w:type="dxa"/>
          </w:tcPr>
          <w:p w14:paraId="31EECC98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beta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992" w:type="dxa"/>
          </w:tcPr>
          <w:p w14:paraId="312BA5E8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连续型</w:t>
            </w:r>
          </w:p>
        </w:tc>
        <w:tc>
          <w:tcPr>
            <w:tcW w:w="2552" w:type="dxa"/>
          </w:tcPr>
          <w:p w14:paraId="72888214" w14:textId="77777777" w:rsidR="00F927F8" w:rsidRDefault="00000000">
            <w:pPr>
              <w:jc w:val="center"/>
              <w:rPr>
                <w:rFonts w:ascii="Times New Roman" w:hAnsi="Times New Roman"/>
                <w:i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0</m:t>
                </m:r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.86857</m:t>
                </m:r>
              </m:oMath>
            </m:oMathPara>
          </w:p>
        </w:tc>
      </w:tr>
      <w:tr w:rsidR="00F927F8" w14:paraId="39C4A76B" w14:textId="77777777" w:rsidTr="00F927F8">
        <w:tc>
          <w:tcPr>
            <w:tcW w:w="2599" w:type="dxa"/>
          </w:tcPr>
          <w:p w14:paraId="03FBD63E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Adam</w:t>
            </w:r>
            <w:proofErr w:type="gramStart"/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二阶矩衰减系数</w:t>
            </w:r>
            <w:proofErr w:type="gramEnd"/>
          </w:p>
        </w:tc>
        <w:tc>
          <w:tcPr>
            <w:tcW w:w="2079" w:type="dxa"/>
          </w:tcPr>
          <w:p w14:paraId="6F56BBFF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beta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2</w:t>
            </w:r>
          </w:p>
        </w:tc>
        <w:tc>
          <w:tcPr>
            <w:tcW w:w="992" w:type="dxa"/>
          </w:tcPr>
          <w:p w14:paraId="6D771DAB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连续型</w:t>
            </w:r>
          </w:p>
        </w:tc>
        <w:tc>
          <w:tcPr>
            <w:tcW w:w="2552" w:type="dxa"/>
          </w:tcPr>
          <w:p w14:paraId="0DBA2907" w14:textId="77777777" w:rsidR="00F927F8" w:rsidRDefault="00000000">
            <w:pPr>
              <w:jc w:val="center"/>
              <w:rPr>
                <w:rFonts w:ascii="Times New Roman" w:hAnsi="Times New Roman"/>
                <w:i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0</m:t>
                </m:r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.99009</m:t>
                </m:r>
              </m:oMath>
            </m:oMathPara>
          </w:p>
        </w:tc>
      </w:tr>
      <w:tr w:rsidR="00F927F8" w14:paraId="3CC6C3A4" w14:textId="77777777" w:rsidTr="00F927F8">
        <w:tc>
          <w:tcPr>
            <w:tcW w:w="2599" w:type="dxa"/>
          </w:tcPr>
          <w:p w14:paraId="48577E5A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L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2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正则化系数</w:t>
            </w:r>
          </w:p>
        </w:tc>
        <w:tc>
          <w:tcPr>
            <w:tcW w:w="2079" w:type="dxa"/>
          </w:tcPr>
          <w:p w14:paraId="5F970B4D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wd</w:t>
            </w:r>
          </w:p>
        </w:tc>
        <w:tc>
          <w:tcPr>
            <w:tcW w:w="992" w:type="dxa"/>
          </w:tcPr>
          <w:p w14:paraId="40996330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连续型</w:t>
            </w:r>
          </w:p>
        </w:tc>
        <w:tc>
          <w:tcPr>
            <w:tcW w:w="2552" w:type="dxa"/>
          </w:tcPr>
          <w:p w14:paraId="577EF696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kern w:val="0"/>
                        <w:sz w:val="20"/>
                        <w:szCs w:val="20"/>
                        <w14:ligatures w14:val="none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kern w:val="0"/>
                        <w:sz w:val="20"/>
                        <w:szCs w:val="20"/>
                        <w14:ligatures w14:val="none"/>
                      </w:rPr>
                      <m:t>2.80</m:t>
                    </m:r>
                    <m:r>
                      <w:rPr>
                        <w:rFonts w:ascii="Cambria Math" w:hAnsi="Cambria Math" w:hint="eastAsia"/>
                        <w:kern w:val="0"/>
                        <w:sz w:val="20"/>
                        <w:szCs w:val="20"/>
                        <w14:ligatures w14:val="none"/>
                      </w:rPr>
                      <m:t>×</m:t>
                    </m:r>
                    <m:r>
                      <w:rPr>
                        <w:rFonts w:ascii="Cambria Math" w:hAnsi="Cambria Math"/>
                        <w:kern w:val="0"/>
                        <w:sz w:val="20"/>
                        <w:szCs w:val="20"/>
                        <w14:ligatures w14:val="none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kern w:val="0"/>
                        <w:sz w:val="20"/>
                        <w:szCs w:val="20"/>
                        <w14:ligatures w14:val="none"/>
                      </w:rPr>
                      <m:t>-5</m:t>
                    </m:r>
                  </m:sup>
                </m:sSup>
              </m:oMath>
            </m:oMathPara>
          </w:p>
        </w:tc>
      </w:tr>
      <w:tr w:rsidR="00F927F8" w14:paraId="2B54B8F5" w14:textId="77777777" w:rsidTr="00F927F8">
        <w:tc>
          <w:tcPr>
            <w:tcW w:w="2599" w:type="dxa"/>
          </w:tcPr>
          <w:p w14:paraId="304C3AAE" w14:textId="77777777" w:rsidR="00F927F8" w:rsidRDefault="00000000">
            <w:pPr>
              <w:jc w:val="center"/>
              <w:rPr>
                <w:rFonts w:asciiTheme="minorEastAsia" w:eastAsia="Times New Roman" w:hAnsi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lastRenderedPageBreak/>
              <w:t>dropout</w:t>
            </w: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概率</w:t>
            </w:r>
          </w:p>
        </w:tc>
        <w:tc>
          <w:tcPr>
            <w:tcW w:w="2079" w:type="dxa"/>
          </w:tcPr>
          <w:p w14:paraId="7773DF5A" w14:textId="77777777" w:rsidR="00F927F8" w:rsidRDefault="00000000">
            <w:pPr>
              <w:jc w:val="center"/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</w:pPr>
            <w:proofErr w:type="spellStart"/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dropout_rate</w:t>
            </w:r>
            <w:proofErr w:type="spellEnd"/>
          </w:p>
        </w:tc>
        <w:tc>
          <w:tcPr>
            <w:tcW w:w="992" w:type="dxa"/>
          </w:tcPr>
          <w:p w14:paraId="334C7E1A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连续型</w:t>
            </w:r>
          </w:p>
        </w:tc>
        <w:tc>
          <w:tcPr>
            <w:tcW w:w="2552" w:type="dxa"/>
          </w:tcPr>
          <w:p w14:paraId="188E6F68" w14:textId="77777777" w:rsidR="00F927F8" w:rsidRDefault="00000000">
            <w:pPr>
              <w:jc w:val="center"/>
              <w:rPr>
                <w:rFonts w:ascii="Times New Roman" w:hAnsi="Times New Roman"/>
                <w:i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0</m:t>
                </m:r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.46643</m:t>
                </m:r>
              </m:oMath>
            </m:oMathPara>
          </w:p>
        </w:tc>
      </w:tr>
      <w:tr w:rsidR="00F927F8" w14:paraId="654B2F45" w14:textId="77777777" w:rsidTr="00F927F8">
        <w:tc>
          <w:tcPr>
            <w:tcW w:w="2599" w:type="dxa"/>
          </w:tcPr>
          <w:p w14:paraId="6C48501D" w14:textId="77777777" w:rsidR="00F927F8" w:rsidRDefault="00000000">
            <w:pPr>
              <w:jc w:val="center"/>
              <w:rPr>
                <w:rFonts w:asciiTheme="minorEastAsia" w:eastAsia="Times New Roman" w:hAnsi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基数</w:t>
            </w:r>
          </w:p>
        </w:tc>
        <w:tc>
          <w:tcPr>
            <w:tcW w:w="2079" w:type="dxa"/>
          </w:tcPr>
          <w:p w14:paraId="2D3662D2" w14:textId="77777777" w:rsidR="00F927F8" w:rsidRDefault="00000000">
            <w:pPr>
              <w:jc w:val="center"/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cardinality</w:t>
            </w:r>
          </w:p>
        </w:tc>
        <w:tc>
          <w:tcPr>
            <w:tcW w:w="992" w:type="dxa"/>
          </w:tcPr>
          <w:p w14:paraId="1A79D68D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离散型</w:t>
            </w:r>
          </w:p>
        </w:tc>
        <w:tc>
          <w:tcPr>
            <w:tcW w:w="2552" w:type="dxa"/>
          </w:tcPr>
          <w:p w14:paraId="4F28A4E8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16</m:t>
                </m:r>
              </m:oMath>
            </m:oMathPara>
          </w:p>
        </w:tc>
      </w:tr>
      <w:tr w:rsidR="00F927F8" w14:paraId="0DAC3143" w14:textId="77777777" w:rsidTr="00F927F8">
        <w:tc>
          <w:tcPr>
            <w:tcW w:w="2599" w:type="dxa"/>
          </w:tcPr>
          <w:p w14:paraId="106165DA" w14:textId="77777777" w:rsidR="00F927F8" w:rsidRDefault="00000000">
            <w:pPr>
              <w:jc w:val="center"/>
              <w:rPr>
                <w:rFonts w:asciiTheme="minorEastAsia" w:eastAsia="Times New Roman" w:hAnsi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瓶颈宽度</w:t>
            </w:r>
          </w:p>
        </w:tc>
        <w:tc>
          <w:tcPr>
            <w:tcW w:w="2079" w:type="dxa"/>
          </w:tcPr>
          <w:p w14:paraId="038D125F" w14:textId="77777777" w:rsidR="00F927F8" w:rsidRDefault="00000000">
            <w:pPr>
              <w:jc w:val="center"/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base</w:t>
            </w:r>
          </w:p>
        </w:tc>
        <w:tc>
          <w:tcPr>
            <w:tcW w:w="992" w:type="dxa"/>
          </w:tcPr>
          <w:p w14:paraId="56068680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离散型</w:t>
            </w:r>
          </w:p>
        </w:tc>
        <w:tc>
          <w:tcPr>
            <w:tcW w:w="2552" w:type="dxa"/>
          </w:tcPr>
          <w:p w14:paraId="5362BAFC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4</m:t>
                </m:r>
              </m:oMath>
            </m:oMathPara>
          </w:p>
        </w:tc>
      </w:tr>
      <w:tr w:rsidR="00F927F8" w14:paraId="62D71051" w14:textId="77777777" w:rsidTr="00F927F8">
        <w:tc>
          <w:tcPr>
            <w:tcW w:w="2599" w:type="dxa"/>
          </w:tcPr>
          <w:p w14:paraId="21EA9768" w14:textId="77777777" w:rsidR="00F927F8" w:rsidRDefault="00000000">
            <w:pPr>
              <w:jc w:val="center"/>
              <w:rPr>
                <w:rFonts w:asciiTheme="minorEastAsia" w:eastAsia="Times New Roman" w:hAnsiTheme="minorEastAsia"/>
                <w:kern w:val="0"/>
                <w:sz w:val="20"/>
                <w:szCs w:val="20"/>
                <w14:ligatures w14:val="none"/>
              </w:rPr>
            </w:pPr>
            <w:proofErr w:type="spellStart"/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SEBlock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缩减比例</w:t>
            </w:r>
          </w:p>
        </w:tc>
        <w:tc>
          <w:tcPr>
            <w:tcW w:w="2079" w:type="dxa"/>
          </w:tcPr>
          <w:p w14:paraId="3FBF2FDF" w14:textId="77777777" w:rsidR="00F927F8" w:rsidRDefault="00000000">
            <w:pPr>
              <w:jc w:val="center"/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</w:pPr>
            <w:proofErr w:type="spellStart"/>
            <w:r>
              <w:rPr>
                <w:rFonts w:asciiTheme="minorEastAsia" w:eastAsia="Times New Roman" w:hAnsiTheme="minorEastAsia"/>
                <w:kern w:val="0"/>
                <w:sz w:val="20"/>
                <w:szCs w:val="20"/>
                <w14:ligatures w14:val="none"/>
              </w:rPr>
              <w:t>SE_reduction_ratio</w:t>
            </w:r>
            <w:proofErr w:type="spellEnd"/>
          </w:p>
        </w:tc>
        <w:tc>
          <w:tcPr>
            <w:tcW w:w="992" w:type="dxa"/>
          </w:tcPr>
          <w:p w14:paraId="249C559B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离散型</w:t>
            </w:r>
          </w:p>
        </w:tc>
        <w:tc>
          <w:tcPr>
            <w:tcW w:w="2552" w:type="dxa"/>
          </w:tcPr>
          <w:p w14:paraId="1C8CDBC0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16</m:t>
                </m:r>
              </m:oMath>
            </m:oMathPara>
          </w:p>
        </w:tc>
      </w:tr>
      <w:tr w:rsidR="00F927F8" w14:paraId="1352AE5C" w14:textId="77777777" w:rsidTr="00F927F8">
        <w:tc>
          <w:tcPr>
            <w:tcW w:w="2599" w:type="dxa"/>
          </w:tcPr>
          <w:p w14:paraId="6F99DCC6" w14:textId="77777777" w:rsidR="00F927F8" w:rsidRDefault="00000000">
            <w:pPr>
              <w:jc w:val="center"/>
              <w:rPr>
                <w:rFonts w:asciiTheme="minorEastAsia" w:eastAsia="Times New Roman" w:hAnsi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SABlock</w:t>
            </w: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卷积核尺寸</w:t>
            </w:r>
          </w:p>
        </w:tc>
        <w:tc>
          <w:tcPr>
            <w:tcW w:w="2079" w:type="dxa"/>
          </w:tcPr>
          <w:p w14:paraId="7CB7809A" w14:textId="77777777" w:rsidR="00F927F8" w:rsidRDefault="00000000">
            <w:pPr>
              <w:jc w:val="center"/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</w:pPr>
            <w:proofErr w:type="spellStart"/>
            <w:r>
              <w:rPr>
                <w:rFonts w:asciiTheme="minorEastAsia" w:eastAsia="Times New Roman" w:hAnsiTheme="minorEastAsia"/>
                <w:kern w:val="0"/>
                <w:sz w:val="20"/>
                <w:szCs w:val="20"/>
                <w14:ligatures w14:val="none"/>
              </w:rPr>
              <w:t>SA_kernel_size</w:t>
            </w:r>
            <w:proofErr w:type="spellEnd"/>
          </w:p>
        </w:tc>
        <w:tc>
          <w:tcPr>
            <w:tcW w:w="992" w:type="dxa"/>
          </w:tcPr>
          <w:p w14:paraId="26CD8AB5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离散型</w:t>
            </w:r>
          </w:p>
        </w:tc>
        <w:tc>
          <w:tcPr>
            <w:tcW w:w="2552" w:type="dxa"/>
          </w:tcPr>
          <w:p w14:paraId="364F17D9" w14:textId="77777777" w:rsidR="00F927F8" w:rsidRDefault="00000000">
            <w:pPr>
              <w:jc w:val="center"/>
              <w:rPr>
                <w:rFonts w:ascii="Times New Roman" w:hAnsi="Times New Roman"/>
                <w:i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3</m:t>
                </m:r>
              </m:oMath>
            </m:oMathPara>
          </w:p>
        </w:tc>
      </w:tr>
    </w:tbl>
    <w:p w14:paraId="65F7C0AF" w14:textId="77777777" w:rsidR="00F927F8" w:rsidRDefault="00F927F8">
      <w:pPr>
        <w:pStyle w:val="af"/>
        <w:ind w:left="360"/>
        <w:jc w:val="center"/>
        <w:rPr>
          <w:rStyle w:val="ac"/>
          <w:rFonts w:hint="eastAsia"/>
          <w:b w:val="0"/>
          <w:bCs w:val="0"/>
          <w:color w:val="FF0000"/>
        </w:rPr>
      </w:pPr>
    </w:p>
    <w:p w14:paraId="6CA7DB6E" w14:textId="77777777" w:rsidR="00F927F8" w:rsidRDefault="00000000">
      <w:pPr>
        <w:pStyle w:val="af"/>
        <w:numPr>
          <w:ilvl w:val="0"/>
          <w:numId w:val="3"/>
        </w:numPr>
        <w:jc w:val="left"/>
        <w:rPr>
          <w:rStyle w:val="ac"/>
          <w:rFonts w:hint="eastAsia"/>
          <w:b w:val="0"/>
          <w:bCs w:val="0"/>
        </w:rPr>
      </w:pPr>
      <w:proofErr w:type="spellStart"/>
      <w:r>
        <w:rPr>
          <w:rStyle w:val="ac"/>
          <w:rFonts w:hint="eastAsia"/>
          <w:b w:val="0"/>
          <w:bCs w:val="0"/>
        </w:rPr>
        <w:t>ResNeXt</w:t>
      </w:r>
      <w:proofErr w:type="spellEnd"/>
      <w:r>
        <w:rPr>
          <w:rStyle w:val="ac"/>
          <w:rFonts w:hint="eastAsia"/>
          <w:b w:val="0"/>
          <w:bCs w:val="0"/>
        </w:rPr>
        <w:t>-CBAM模型优化实验与有效性验证</w:t>
      </w:r>
    </w:p>
    <w:p w14:paraId="7E99ED57" w14:textId="77777777" w:rsidR="00F927F8" w:rsidRDefault="00000000">
      <w:pPr>
        <w:pStyle w:val="af"/>
        <w:ind w:left="360"/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以下是</w:t>
      </w:r>
      <w:proofErr w:type="spellStart"/>
      <w:r>
        <w:rPr>
          <w:rStyle w:val="ac"/>
          <w:rFonts w:hint="eastAsia"/>
          <w:b w:val="0"/>
          <w:bCs w:val="0"/>
        </w:rPr>
        <w:t>ResNeXt</w:t>
      </w:r>
      <w:proofErr w:type="spellEnd"/>
      <w:r>
        <w:rPr>
          <w:rStyle w:val="ac"/>
          <w:rFonts w:hint="eastAsia"/>
          <w:b w:val="0"/>
          <w:bCs w:val="0"/>
        </w:rPr>
        <w:t>-CBAM模型在50轮深度训练中的训练曲线与训练结果：</w:t>
      </w:r>
    </w:p>
    <w:p w14:paraId="00FDB962" w14:textId="0F08476F" w:rsidR="00E465A2" w:rsidRDefault="00E465A2">
      <w:pPr>
        <w:pStyle w:val="af"/>
        <w:ind w:left="360"/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  <w:noProof/>
        </w:rPr>
        <w:drawing>
          <wp:inline distT="0" distB="0" distL="0" distR="0" wp14:anchorId="03E5C329" wp14:editId="4BA91FE7">
            <wp:extent cx="5264785" cy="2317750"/>
            <wp:effectExtent l="0" t="0" r="0" b="6350"/>
            <wp:docPr id="1288126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DC8F" w14:textId="77777777" w:rsidR="00F927F8" w:rsidRDefault="00F927F8">
      <w:pPr>
        <w:pStyle w:val="af"/>
        <w:ind w:left="360"/>
        <w:jc w:val="left"/>
        <w:rPr>
          <w:rStyle w:val="ac"/>
          <w:rFonts w:hint="eastAsia"/>
          <w:b w:val="0"/>
          <w:bCs w:val="0"/>
        </w:rPr>
      </w:pPr>
    </w:p>
    <w:p w14:paraId="045C1718" w14:textId="77777777" w:rsidR="00F927F8" w:rsidRDefault="00000000">
      <w:pPr>
        <w:jc w:val="left"/>
        <w:rPr>
          <w:rStyle w:val="ac"/>
          <w:rFonts w:hint="eastAsia"/>
        </w:rPr>
      </w:pPr>
      <w:r>
        <w:rPr>
          <w:rStyle w:val="ac"/>
        </w:rPr>
        <w:t>（</w:t>
      </w:r>
      <w:r>
        <w:rPr>
          <w:rStyle w:val="ac"/>
          <w:rFonts w:hint="eastAsia"/>
        </w:rPr>
        <w:t>五</w:t>
      </w:r>
      <w:r>
        <w:rPr>
          <w:rStyle w:val="ac"/>
        </w:rPr>
        <w:t>）</w:t>
      </w:r>
      <w:r>
        <w:rPr>
          <w:rStyle w:val="ac"/>
          <w:rFonts w:hint="eastAsia"/>
        </w:rPr>
        <w:t>模型的扩展与应用</w:t>
      </w:r>
    </w:p>
    <w:p w14:paraId="5BEEAF96" w14:textId="77777777" w:rsidR="00F927F8" w:rsidRDefault="00000000">
      <w:pPr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</w:rPr>
        <w:tab/>
      </w:r>
      <w:r>
        <w:rPr>
          <w:rStyle w:val="ac"/>
          <w:rFonts w:hint="eastAsia"/>
          <w:b w:val="0"/>
          <w:bCs w:val="0"/>
        </w:rPr>
        <w:t>为了使训练后的</w:t>
      </w:r>
      <w:proofErr w:type="spellStart"/>
      <w:r>
        <w:rPr>
          <w:rStyle w:val="ac"/>
          <w:rFonts w:hint="eastAsia"/>
          <w:b w:val="0"/>
          <w:bCs w:val="0"/>
        </w:rPr>
        <w:t>ResNeXt</w:t>
      </w:r>
      <w:proofErr w:type="spellEnd"/>
      <w:r>
        <w:rPr>
          <w:rStyle w:val="ac"/>
          <w:rFonts w:hint="eastAsia"/>
          <w:b w:val="0"/>
          <w:bCs w:val="0"/>
        </w:rPr>
        <w:t>-CBAM能够在更为复杂的图像上同样表现优异，我们同时训练了一个YOLOv8-n模型，用于对图像中的番茄叶片目标进行检测。</w:t>
      </w:r>
    </w:p>
    <w:p w14:paraId="6ED2EC59" w14:textId="77777777" w:rsidR="00F927F8" w:rsidRDefault="00000000">
      <w:pPr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</w:rPr>
        <w:tab/>
      </w:r>
      <w:r>
        <w:rPr>
          <w:rStyle w:val="ac"/>
          <w:rFonts w:hint="eastAsia"/>
          <w:b w:val="0"/>
          <w:bCs w:val="0"/>
        </w:rPr>
        <w:t>YOLO是一种常用的图像目标检测模型架构，其基本工作原理是判断输入图像中是否存在目标对象，并使用</w:t>
      </w:r>
      <w:proofErr w:type="gramStart"/>
      <w:r>
        <w:rPr>
          <w:rStyle w:val="ac"/>
          <w:rFonts w:hint="eastAsia"/>
          <w:b w:val="0"/>
          <w:bCs w:val="0"/>
        </w:rPr>
        <w:t>矩形框紧确地</w:t>
      </w:r>
      <w:proofErr w:type="gramEnd"/>
      <w:r>
        <w:rPr>
          <w:rStyle w:val="ac"/>
          <w:rFonts w:hint="eastAsia"/>
          <w:b w:val="0"/>
          <w:bCs w:val="0"/>
        </w:rPr>
        <w:t>框选出可能是目标的物体，并标注出该物体是目标的可能性。在本研究中，我们选择了1136张形态各异的番茄叶片图像，并手动框选出图像中的目标，并将图像与目标位置作为训练数据送入YOLOv8-n模型进行训练。在进行100轮训练之后，YOLOv8-n模型已经可以较为精确地框选出验证图像中的目标。下图展示了训练后的YOLO模型对一些验证图像中目标的检测情况：</w:t>
      </w:r>
    </w:p>
    <w:p w14:paraId="2CC210E3" w14:textId="77777777" w:rsidR="00F927F8" w:rsidRDefault="00000000">
      <w:pPr>
        <w:jc w:val="center"/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  <w:noProof/>
        </w:rPr>
        <w:lastRenderedPageBreak/>
        <w:drawing>
          <wp:inline distT="0" distB="0" distL="0" distR="0" wp14:anchorId="016B10DB" wp14:editId="0372412F">
            <wp:extent cx="3181350" cy="3181350"/>
            <wp:effectExtent l="0" t="0" r="0" b="0"/>
            <wp:docPr id="3579041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04153" name="图片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6617" cy="318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EA65D" w14:textId="77777777" w:rsidR="00F927F8" w:rsidRDefault="00000000">
      <w:pPr>
        <w:ind w:firstLine="360"/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通过</w:t>
      </w:r>
      <w:proofErr w:type="spellStart"/>
      <w:r>
        <w:rPr>
          <w:rStyle w:val="ac"/>
          <w:rFonts w:hint="eastAsia"/>
          <w:b w:val="0"/>
          <w:bCs w:val="0"/>
        </w:rPr>
        <w:t>ResNeXt</w:t>
      </w:r>
      <w:proofErr w:type="spellEnd"/>
      <w:r>
        <w:rPr>
          <w:rStyle w:val="ac"/>
          <w:rFonts w:hint="eastAsia"/>
          <w:b w:val="0"/>
          <w:bCs w:val="0"/>
        </w:rPr>
        <w:t>-CBAM和YOLO模型的组合使用，研究得到的模型得以适用于更大的应用场景。以下是组合模型的基本工作原理图：</w:t>
      </w:r>
    </w:p>
    <w:p w14:paraId="491105B7" w14:textId="0533AE13" w:rsidR="00F927F8" w:rsidRDefault="00E520AF" w:rsidP="00E520AF">
      <w:pPr>
        <w:pStyle w:val="af"/>
        <w:ind w:left="360"/>
        <w:jc w:val="right"/>
        <w:rPr>
          <w:rStyle w:val="ac"/>
          <w:rFonts w:hint="eastAsia"/>
          <w:b w:val="0"/>
          <w:bCs w:val="0"/>
          <w:color w:val="FF0000"/>
        </w:rPr>
      </w:pPr>
      <w:r>
        <w:rPr>
          <w:rStyle w:val="ac"/>
          <w:rFonts w:hint="eastAsia"/>
          <w:b w:val="0"/>
          <w:bCs w:val="0"/>
          <w:noProof/>
          <w:color w:val="FF0000"/>
        </w:rPr>
        <w:drawing>
          <wp:inline distT="0" distB="0" distL="0" distR="0" wp14:anchorId="4C7E949C" wp14:editId="2AA9B0B2">
            <wp:extent cx="5246370" cy="1158875"/>
            <wp:effectExtent l="0" t="0" r="0" b="3175"/>
            <wp:docPr id="1540909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525B5" w14:textId="77777777" w:rsidR="00F927F8" w:rsidRDefault="00000000">
      <w:pPr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</w:rPr>
        <w:tab/>
      </w:r>
      <w:r>
        <w:rPr>
          <w:rStyle w:val="ac"/>
          <w:rFonts w:hint="eastAsia"/>
          <w:b w:val="0"/>
          <w:bCs w:val="0"/>
        </w:rPr>
        <w:t>使用YOLOv8-n识别</w:t>
      </w:r>
      <w:proofErr w:type="gramStart"/>
      <w:r>
        <w:rPr>
          <w:rStyle w:val="ac"/>
          <w:rFonts w:hint="eastAsia"/>
          <w:b w:val="0"/>
          <w:bCs w:val="0"/>
        </w:rPr>
        <w:t>待预测</w:t>
      </w:r>
      <w:proofErr w:type="gramEnd"/>
      <w:r>
        <w:rPr>
          <w:rStyle w:val="ac"/>
          <w:rFonts w:hint="eastAsia"/>
          <w:b w:val="0"/>
          <w:bCs w:val="0"/>
        </w:rPr>
        <w:t>图像中的目标并将其裁剪，将裁剪后的对象再送进</w:t>
      </w:r>
      <w:proofErr w:type="spellStart"/>
      <w:r>
        <w:rPr>
          <w:rStyle w:val="ac"/>
          <w:rFonts w:hint="eastAsia"/>
          <w:b w:val="0"/>
          <w:bCs w:val="0"/>
        </w:rPr>
        <w:t>ResNeXt</w:t>
      </w:r>
      <w:proofErr w:type="spellEnd"/>
      <w:r>
        <w:rPr>
          <w:rStyle w:val="ac"/>
          <w:rFonts w:hint="eastAsia"/>
          <w:b w:val="0"/>
          <w:bCs w:val="0"/>
        </w:rPr>
        <w:t>-CBAM模型进行预测，可以有效排除</w:t>
      </w:r>
      <w:proofErr w:type="spellStart"/>
      <w:r>
        <w:rPr>
          <w:rStyle w:val="ac"/>
          <w:rFonts w:hint="eastAsia"/>
          <w:b w:val="0"/>
          <w:bCs w:val="0"/>
        </w:rPr>
        <w:t>ResNeXt</w:t>
      </w:r>
      <w:proofErr w:type="spellEnd"/>
      <w:r>
        <w:rPr>
          <w:rStyle w:val="ac"/>
          <w:rFonts w:hint="eastAsia"/>
          <w:b w:val="0"/>
          <w:bCs w:val="0"/>
        </w:rPr>
        <w:t>-CBAM模型因背景图像干扰造成的错误，提高了整个模型预测的鲁棒性，使得模型可以在更广泛的应用场景工作。</w:t>
      </w:r>
    </w:p>
    <w:p w14:paraId="1F545DA2" w14:textId="77777777" w:rsidR="00F927F8" w:rsidRDefault="00000000">
      <w:pPr>
        <w:rPr>
          <w:rFonts w:hint="eastAsia"/>
        </w:rPr>
      </w:pPr>
      <w:r>
        <w:rPr>
          <w:rStyle w:val="ac"/>
          <w:b w:val="0"/>
          <w:bCs w:val="0"/>
        </w:rPr>
        <w:tab/>
      </w:r>
      <w:r>
        <w:rPr>
          <w:rStyle w:val="ac"/>
          <w:rFonts w:hint="eastAsia"/>
          <w:b w:val="0"/>
          <w:bCs w:val="0"/>
        </w:rPr>
        <w:t>事实上，YOLOv8模型自身同时拥有目标检测和图像识别的功能，但我们并没有直接使用YOLOv8对图像进行种类预测，而是对图像识别进行单独建模，使目标检测与图像识别功能解耦，这是考虑到模型功能的可拓展性。想要训练性能优秀的YOLO模型，需要大量带有目标选框的、类型齐全的训练数据，这些数据往往只能由人工标注，这无疑会提高整个模型训练的成本。而若将两个功能独立建模，对于YOLO模型而言，就无需关注训练数据的类型是否齐全，而用于分类的</w:t>
      </w:r>
      <w:proofErr w:type="spellStart"/>
      <w:r>
        <w:rPr>
          <w:rStyle w:val="ac"/>
          <w:rFonts w:hint="eastAsia"/>
          <w:b w:val="0"/>
          <w:bCs w:val="0"/>
        </w:rPr>
        <w:t>ResNeXt</w:t>
      </w:r>
      <w:proofErr w:type="spellEnd"/>
      <w:r>
        <w:rPr>
          <w:rStyle w:val="ac"/>
          <w:rFonts w:hint="eastAsia"/>
          <w:b w:val="0"/>
          <w:bCs w:val="0"/>
        </w:rPr>
        <w:t>-CBAM模型也无需关注目标选框。当模型功能需要扩展时，我们仅需搜集新类型的图片并送入</w:t>
      </w:r>
      <w:proofErr w:type="spellStart"/>
      <w:r>
        <w:rPr>
          <w:rStyle w:val="ac"/>
          <w:rFonts w:hint="eastAsia"/>
          <w:b w:val="0"/>
          <w:bCs w:val="0"/>
        </w:rPr>
        <w:t>ResNeXt</w:t>
      </w:r>
      <w:proofErr w:type="spellEnd"/>
      <w:r>
        <w:rPr>
          <w:rStyle w:val="ac"/>
          <w:rFonts w:hint="eastAsia"/>
          <w:b w:val="0"/>
          <w:bCs w:val="0"/>
        </w:rPr>
        <w:t>-CBAM训练，无需再对其进行人工目标选框。综上所述，使用目标检测模型、图像识别模型组合模型再扩展性上更胜一筹。</w:t>
      </w:r>
    </w:p>
    <w:sectPr w:rsidR="00F927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EF5410"/>
    <w:multiLevelType w:val="multilevel"/>
    <w:tmpl w:val="1BEF54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C231CC5"/>
    <w:multiLevelType w:val="multilevel"/>
    <w:tmpl w:val="1C231CC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7CA5091"/>
    <w:multiLevelType w:val="multilevel"/>
    <w:tmpl w:val="77CA5091"/>
    <w:lvl w:ilvl="0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40" w:hanging="440"/>
      </w:pPr>
    </w:lvl>
    <w:lvl w:ilvl="2">
      <w:start w:val="1"/>
      <w:numFmt w:val="lowerRoman"/>
      <w:lvlText w:val="%3."/>
      <w:lvlJc w:val="right"/>
      <w:pPr>
        <w:ind w:left="1680" w:hanging="440"/>
      </w:pPr>
    </w:lvl>
    <w:lvl w:ilvl="3">
      <w:start w:val="1"/>
      <w:numFmt w:val="decimal"/>
      <w:lvlText w:val="%4."/>
      <w:lvlJc w:val="left"/>
      <w:pPr>
        <w:ind w:left="2120" w:hanging="440"/>
      </w:pPr>
    </w:lvl>
    <w:lvl w:ilvl="4">
      <w:start w:val="1"/>
      <w:numFmt w:val="lowerLetter"/>
      <w:lvlText w:val="%5)"/>
      <w:lvlJc w:val="left"/>
      <w:pPr>
        <w:ind w:left="2560" w:hanging="440"/>
      </w:pPr>
    </w:lvl>
    <w:lvl w:ilvl="5">
      <w:start w:val="1"/>
      <w:numFmt w:val="lowerRoman"/>
      <w:lvlText w:val="%6."/>
      <w:lvlJc w:val="right"/>
      <w:pPr>
        <w:ind w:left="3000" w:hanging="440"/>
      </w:pPr>
    </w:lvl>
    <w:lvl w:ilvl="6">
      <w:start w:val="1"/>
      <w:numFmt w:val="decimal"/>
      <w:lvlText w:val="%7."/>
      <w:lvlJc w:val="left"/>
      <w:pPr>
        <w:ind w:left="3440" w:hanging="440"/>
      </w:pPr>
    </w:lvl>
    <w:lvl w:ilvl="7">
      <w:start w:val="1"/>
      <w:numFmt w:val="lowerLetter"/>
      <w:lvlText w:val="%8)"/>
      <w:lvlJc w:val="left"/>
      <w:pPr>
        <w:ind w:left="3880" w:hanging="440"/>
      </w:pPr>
    </w:lvl>
    <w:lvl w:ilvl="8">
      <w:start w:val="1"/>
      <w:numFmt w:val="lowerRoman"/>
      <w:lvlText w:val="%9."/>
      <w:lvlJc w:val="right"/>
      <w:pPr>
        <w:ind w:left="4320" w:hanging="440"/>
      </w:pPr>
    </w:lvl>
  </w:abstractNum>
  <w:num w:numId="1" w16cid:durableId="1306856123">
    <w:abstractNumId w:val="0"/>
  </w:num>
  <w:num w:numId="2" w16cid:durableId="1587762763">
    <w:abstractNumId w:val="2"/>
  </w:num>
  <w:num w:numId="3" w16cid:durableId="7979894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0E03"/>
    <w:rsid w:val="000259BB"/>
    <w:rsid w:val="000B15CD"/>
    <w:rsid w:val="000B487C"/>
    <w:rsid w:val="000C017A"/>
    <w:rsid w:val="000E1AD2"/>
    <w:rsid w:val="000E4329"/>
    <w:rsid w:val="000F76E8"/>
    <w:rsid w:val="001A0B27"/>
    <w:rsid w:val="001A1B7A"/>
    <w:rsid w:val="001E2105"/>
    <w:rsid w:val="001F0F96"/>
    <w:rsid w:val="001F294D"/>
    <w:rsid w:val="00213FF6"/>
    <w:rsid w:val="00267959"/>
    <w:rsid w:val="00270AAD"/>
    <w:rsid w:val="00286FFB"/>
    <w:rsid w:val="002D2B12"/>
    <w:rsid w:val="002D6B5A"/>
    <w:rsid w:val="002E6537"/>
    <w:rsid w:val="00302F9F"/>
    <w:rsid w:val="0031413E"/>
    <w:rsid w:val="00324297"/>
    <w:rsid w:val="003622F8"/>
    <w:rsid w:val="003C0461"/>
    <w:rsid w:val="003C695C"/>
    <w:rsid w:val="003D331E"/>
    <w:rsid w:val="003D62CC"/>
    <w:rsid w:val="003E779F"/>
    <w:rsid w:val="0040351F"/>
    <w:rsid w:val="004427C6"/>
    <w:rsid w:val="00492342"/>
    <w:rsid w:val="004D0214"/>
    <w:rsid w:val="00525C25"/>
    <w:rsid w:val="005414DB"/>
    <w:rsid w:val="00544C38"/>
    <w:rsid w:val="00564E30"/>
    <w:rsid w:val="005F3E6D"/>
    <w:rsid w:val="00600E03"/>
    <w:rsid w:val="00601C22"/>
    <w:rsid w:val="0064492D"/>
    <w:rsid w:val="00656B86"/>
    <w:rsid w:val="006928B9"/>
    <w:rsid w:val="0070123E"/>
    <w:rsid w:val="007068E6"/>
    <w:rsid w:val="00720795"/>
    <w:rsid w:val="00721109"/>
    <w:rsid w:val="0076607E"/>
    <w:rsid w:val="007662D7"/>
    <w:rsid w:val="00772F19"/>
    <w:rsid w:val="0078210E"/>
    <w:rsid w:val="007B3234"/>
    <w:rsid w:val="007C10E3"/>
    <w:rsid w:val="007D6C76"/>
    <w:rsid w:val="007E12A0"/>
    <w:rsid w:val="00850E20"/>
    <w:rsid w:val="00855280"/>
    <w:rsid w:val="00861EF3"/>
    <w:rsid w:val="0095680B"/>
    <w:rsid w:val="00963473"/>
    <w:rsid w:val="00994EB1"/>
    <w:rsid w:val="009A6399"/>
    <w:rsid w:val="009A6B5E"/>
    <w:rsid w:val="009B63FF"/>
    <w:rsid w:val="009C31A9"/>
    <w:rsid w:val="009F1947"/>
    <w:rsid w:val="00A07472"/>
    <w:rsid w:val="00A26927"/>
    <w:rsid w:val="00A80FF4"/>
    <w:rsid w:val="00A97247"/>
    <w:rsid w:val="00AD217F"/>
    <w:rsid w:val="00AF129F"/>
    <w:rsid w:val="00B036C2"/>
    <w:rsid w:val="00B7740F"/>
    <w:rsid w:val="00B82CE9"/>
    <w:rsid w:val="00B94FFF"/>
    <w:rsid w:val="00BA2055"/>
    <w:rsid w:val="00BC2373"/>
    <w:rsid w:val="00C27D23"/>
    <w:rsid w:val="00C507DC"/>
    <w:rsid w:val="00C66D3A"/>
    <w:rsid w:val="00C93075"/>
    <w:rsid w:val="00CC2143"/>
    <w:rsid w:val="00D15BCD"/>
    <w:rsid w:val="00D54462"/>
    <w:rsid w:val="00D54DF5"/>
    <w:rsid w:val="00D84707"/>
    <w:rsid w:val="00D86B4D"/>
    <w:rsid w:val="00E465A2"/>
    <w:rsid w:val="00E520AF"/>
    <w:rsid w:val="00E8657B"/>
    <w:rsid w:val="00E908ED"/>
    <w:rsid w:val="00F1380E"/>
    <w:rsid w:val="00F165F9"/>
    <w:rsid w:val="00F73A3C"/>
    <w:rsid w:val="00F927F8"/>
    <w:rsid w:val="00FA04EE"/>
    <w:rsid w:val="09792577"/>
    <w:rsid w:val="4CD74E85"/>
    <w:rsid w:val="7CB03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866E5"/>
  <w15:docId w15:val="{C3DFC0F1-DD3E-4236-97C3-E3E1F9149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p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qFormat/>
    <w:rPr>
      <w:rFonts w:ascii="Courier New" w:hAnsi="Courier New" w:cs="Courier New"/>
      <w:sz w:val="20"/>
      <w:szCs w:val="20"/>
    </w:rPr>
  </w:style>
  <w:style w:type="paragraph" w:styleId="a9">
    <w:name w:val="Normal (Web)"/>
    <w:basedOn w:val="a"/>
    <w:uiPriority w:val="99"/>
    <w:semiHidden/>
    <w:unhideWhenUsed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aa">
    <w:name w:val="Title"/>
    <w:basedOn w:val="a"/>
    <w:next w:val="a"/>
    <w:link w:val="ab"/>
    <w:uiPriority w:val="10"/>
    <w:qFormat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c">
    <w:name w:val="Strong"/>
    <w:basedOn w:val="a0"/>
    <w:uiPriority w:val="22"/>
    <w:qFormat/>
    <w:rPr>
      <w:b/>
      <w:bCs/>
    </w:rPr>
  </w:style>
  <w:style w:type="character" w:customStyle="1" w:styleId="10">
    <w:name w:val="标题 1 字符"/>
    <w:basedOn w:val="a0"/>
    <w:link w:val="1"/>
    <w:uiPriority w:val="9"/>
    <w:qFormat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ab">
    <w:name w:val="标题 字符"/>
    <w:basedOn w:val="a0"/>
    <w:link w:val="aa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副标题 字符"/>
    <w:basedOn w:val="a0"/>
    <w:link w:val="a7"/>
    <w:uiPriority w:val="1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d">
    <w:name w:val="Quote"/>
    <w:basedOn w:val="a"/>
    <w:next w:val="a"/>
    <w:link w:val="ae"/>
    <w:uiPriority w:val="29"/>
    <w:qFormat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e">
    <w:name w:val="引用 字符"/>
    <w:basedOn w:val="a0"/>
    <w:link w:val="ad"/>
    <w:uiPriority w:val="29"/>
    <w:rPr>
      <w:i/>
      <w:iCs/>
      <w:color w:val="404040" w:themeColor="text1" w:themeTint="BF"/>
    </w:rPr>
  </w:style>
  <w:style w:type="paragraph" w:styleId="af">
    <w:name w:val="List Paragraph"/>
    <w:basedOn w:val="a"/>
    <w:uiPriority w:val="34"/>
    <w:qFormat/>
    <w:pPr>
      <w:ind w:left="720"/>
      <w:contextualSpacing/>
    </w:pPr>
  </w:style>
  <w:style w:type="character" w:customStyle="1" w:styleId="11">
    <w:name w:val="明显强调1"/>
    <w:basedOn w:val="a0"/>
    <w:uiPriority w:val="21"/>
    <w:qFormat/>
    <w:rPr>
      <w:i/>
      <w:iCs/>
      <w:color w:val="0F4761" w:themeColor="accent1" w:themeShade="BF"/>
    </w:rPr>
  </w:style>
  <w:style w:type="paragraph" w:styleId="af0">
    <w:name w:val="Intense Quote"/>
    <w:basedOn w:val="a"/>
    <w:next w:val="a"/>
    <w:link w:val="af1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1">
    <w:name w:val="明显引用 字符"/>
    <w:basedOn w:val="a0"/>
    <w:link w:val="af0"/>
    <w:uiPriority w:val="30"/>
    <w:rPr>
      <w:i/>
      <w:iCs/>
      <w:color w:val="0F4761" w:themeColor="accent1" w:themeShade="BF"/>
    </w:rPr>
  </w:style>
  <w:style w:type="character" w:customStyle="1" w:styleId="12">
    <w:name w:val="明显参考1"/>
    <w:basedOn w:val="a0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af2">
    <w:name w:val="Placeholder Text"/>
    <w:basedOn w:val="a0"/>
    <w:uiPriority w:val="99"/>
    <w:semiHidden/>
    <w:qFormat/>
    <w:rPr>
      <w:color w:val="666666"/>
    </w:rPr>
  </w:style>
  <w:style w:type="character" w:customStyle="1" w:styleId="HTML0">
    <w:name w:val="HTML 预设格式 字符"/>
    <w:basedOn w:val="a0"/>
    <w:link w:val="HTML"/>
    <w:uiPriority w:val="99"/>
    <w:semiHidden/>
    <w:qFormat/>
    <w:rPr>
      <w:rFonts w:ascii="Courier New" w:hAnsi="Courier New" w:cs="Courier New"/>
      <w:sz w:val="20"/>
      <w:szCs w:val="20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table" w:customStyle="1" w:styleId="13">
    <w:name w:val="样式1"/>
    <w:basedOn w:val="a1"/>
    <w:uiPriority w:val="99"/>
    <w:qFormat/>
    <w:rPr>
      <w:rFonts w:eastAsia="Times New Roman"/>
    </w:r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911</Words>
  <Characters>5197</Characters>
  <Application>Microsoft Office Word</Application>
  <DocSecurity>0</DocSecurity>
  <Lines>43</Lines>
  <Paragraphs>12</Paragraphs>
  <ScaleCrop>false</ScaleCrop>
  <Company/>
  <LinksUpToDate>false</LinksUpToDate>
  <CharactersWithSpaces>6096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 Quasar</dc:creator>
  <cp:lastModifiedBy>Adam Quasar</cp:lastModifiedBy>
  <cp:revision>59</cp:revision>
  <dcterms:created xsi:type="dcterms:W3CDTF">2025-04-11T15:49:00Z</dcterms:created>
  <dcterms:modified xsi:type="dcterms:W3CDTF">2025-04-15T09:08:00Z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eyJoZGlkIjoiMDkwZTM2YjIyMGRjNzI5ZDZhZDYzOGJmZGFkZmRjMzAiLCJ1c2VySWQiOiIxNTA5NjUzMDYyIn0=</vt:lpwstr>
  </property>
  <property fmtid="{D5CDD505-2E9C-101B-9397-08002B2CF9AE}" pid="3" name="KSOProductBuildVer">
    <vt:lpwstr>2052-12.1.0.20784</vt:lpwstr>
  </property>
  <property fmtid="{D5CDD505-2E9C-101B-9397-08002B2CF9AE}" pid="4" name="ICV">
    <vt:lpwstr>15210CAAABB04504A43289272900CAA2_12</vt:lpwstr>
  </property>
</Properties>
</file>