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C3C24" w14:textId="77777777" w:rsidR="00F927F8" w:rsidRDefault="00000000">
      <w:pPr>
        <w:pStyle w:val="a7"/>
        <w:jc w:val="left"/>
        <w:rPr>
          <w:rFonts w:hint="eastAsia"/>
        </w:rPr>
      </w:pPr>
      <w:bookmarkStart w:id="0" w:name="_Hlk195377464"/>
      <w:bookmarkEnd w:id="0"/>
      <w:r>
        <w:rPr>
          <w:rFonts w:hint="eastAsia"/>
        </w:rPr>
        <w:t>六、模型构建与实验</w:t>
      </w:r>
    </w:p>
    <w:p w14:paraId="1D6BF8F0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（一）</w:t>
      </w:r>
      <w:r>
        <w:rPr>
          <w:rStyle w:val="ac"/>
          <w:rFonts w:hint="eastAsia"/>
        </w:rPr>
        <w:t>搭建实验环境</w:t>
      </w:r>
    </w:p>
    <w:p w14:paraId="5239CA15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本实验代码使用Python语言编写，调用了当下主流的深度学习库PyTorch以搭建卷积神经网络模型，并使用Pandas、OpenCV等库对图像数据进行读取、变换，使用Ultralytics库中的YOLOv8-n模型进行目标检测，使用Sklearn中的相关方法计算Kappa系数等模型评估数据，调用Optuna中的TPE算法框架对深度学习模型的超参数进行调优。另外，为加速模型训练过程，本实验需要使用GPU进行计算，因此依赖NVIDIA GPU、CUDA框架以及Cudnn神经网络训练加速模块。</w:t>
      </w:r>
    </w:p>
    <w:p w14:paraId="0E0A58A1" w14:textId="77777777" w:rsidR="00F927F8" w:rsidRDefault="00F927F8">
      <w:pPr>
        <w:jc w:val="left"/>
        <w:rPr>
          <w:rStyle w:val="ac"/>
          <w:rFonts w:hint="eastAsia"/>
          <w:b w:val="0"/>
          <w:bCs w:val="0"/>
        </w:rPr>
      </w:pPr>
    </w:p>
    <w:p w14:paraId="3DF6D987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二</w:t>
      </w:r>
      <w:r>
        <w:rPr>
          <w:rStyle w:val="ac"/>
        </w:rPr>
        <w:t>）</w:t>
      </w:r>
      <w:r>
        <w:rPr>
          <w:rStyle w:val="ac"/>
          <w:rFonts w:hint="eastAsia"/>
        </w:rPr>
        <w:t>数据的读取与处理</w:t>
      </w:r>
    </w:p>
    <w:p w14:paraId="4203DCFF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使用Torchvision中的ImageFolder类，可以方便地读取已经完成分类且存放在树状文件夹中的图片数据。加载之后的数据集已经分好训练集与验证集，我们随机抽出了验证集中三分之一的数据，用于最终模型效果的测试。以下是训练集中各个类别图片的数量统计：</w:t>
      </w:r>
    </w:p>
    <w:p w14:paraId="2941EB05" w14:textId="77777777" w:rsidR="00F927F8" w:rsidRDefault="00000000">
      <w:pPr>
        <w:pStyle w:val="a9"/>
        <w:widowControl/>
        <w:rPr>
          <w:rStyle w:val="ac"/>
          <w:rFonts w:hint="eastAsia"/>
          <w:b w:val="0"/>
          <w:bCs w:val="0"/>
        </w:rPr>
      </w:pPr>
      <w:r>
        <w:rPr>
          <w:rFonts w:hint="eastAsia"/>
          <w:noProof/>
        </w:rPr>
        <w:drawing>
          <wp:inline distT="0" distB="0" distL="114300" distR="114300" wp14:anchorId="0298D145" wp14:editId="3BA0E722">
            <wp:extent cx="5273675" cy="4037330"/>
            <wp:effectExtent l="0" t="0" r="14605" b="1270"/>
            <wp:docPr id="2" name="图片 2" descr="Grap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raph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420" w14:textId="77777777" w:rsidR="00F927F8" w:rsidRDefault="00000000">
      <w:pPr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由于训练集中各个类别的数据量并没有出现极端不平衡的现象，因此我们没有使用相关算法均衡数据集。</w:t>
      </w:r>
    </w:p>
    <w:p w14:paraId="54F97A23" w14:textId="77777777" w:rsidR="00F927F8" w:rsidRDefault="00000000">
      <w:pPr>
        <w:ind w:firstLine="42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读取数据之后，我们选择对图片做数据增强处理。数据增强包括对图片进行平移、旋转、翻转、缩放、对比度调整等操作，这种做法可以增加数据的多样性，从而防止模型过拟合，迫使模型学习更加一般化的特征。下图展示了对一张训练集进行数据增强的过程：</w:t>
      </w:r>
    </w:p>
    <w:p w14:paraId="01CF7ABE" w14:textId="77777777" w:rsidR="00F927F8" w:rsidRDefault="00000000">
      <w:pPr>
        <w:ind w:firstLine="420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lastRenderedPageBreak/>
        <w:drawing>
          <wp:inline distT="0" distB="0" distL="0" distR="0" wp14:anchorId="26CFDD7F" wp14:editId="0F7108F6">
            <wp:extent cx="5259070" cy="3234690"/>
            <wp:effectExtent l="0" t="0" r="0" b="0"/>
            <wp:docPr id="146890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0096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7F54" w14:textId="77777777" w:rsidR="00F927F8" w:rsidRDefault="00000000">
      <w:pPr>
        <w:ind w:firstLine="420"/>
        <w:rPr>
          <w:rFonts w:hint="eastAsia"/>
          <w:iCs/>
        </w:rPr>
      </w:pPr>
      <w:r>
        <w:rPr>
          <w:rStyle w:val="ac"/>
          <w:rFonts w:hint="eastAsia"/>
          <w:b w:val="0"/>
          <w:bCs w:val="0"/>
        </w:rPr>
        <w:t>经过数据增强的图像被进一步转化为张量形式，并按通道进行归一化处理。归一化后RGB三通道数据的分布近似是均值为</w:t>
      </w:r>
      <m:oMath>
        <m:r>
          <w:rPr>
            <w:rFonts w:ascii="Cambria Math" w:hAnsi="Cambria Math"/>
          </w:rPr>
          <m:t xml:space="preserve">[0.485, 0.456, 0.406] </m:t>
        </m:r>
      </m:oMath>
      <w:r>
        <w:rPr>
          <w:rFonts w:hint="eastAsia"/>
          <w:iCs/>
        </w:rPr>
        <w:t>，方差为</w:t>
      </w:r>
      <m:oMath>
        <m:r>
          <w:rPr>
            <w:rFonts w:ascii="Cambria Math" w:hAnsi="Cambria Math"/>
          </w:rPr>
          <m:t>[0.229, 0.224, 0.225]</m:t>
        </m:r>
      </m:oMath>
      <w:r>
        <w:rPr>
          <w:rFonts w:hint="eastAsia"/>
          <w:iCs/>
        </w:rPr>
        <w:t>的正态分布。在上图中，经过归一化处理的图像似乎在肉眼观察上会有失真，这是图像不同通道的数据分布偏差造成的，不会影响模型训练效果核最终表现。</w:t>
      </w:r>
    </w:p>
    <w:p w14:paraId="34B564C1" w14:textId="77777777" w:rsidR="00F927F8" w:rsidRDefault="00F927F8">
      <w:pPr>
        <w:rPr>
          <w:rStyle w:val="ac"/>
          <w:rFonts w:hint="eastAsia"/>
          <w:b w:val="0"/>
          <w:bCs w:val="0"/>
        </w:rPr>
      </w:pPr>
    </w:p>
    <w:p w14:paraId="2DE7032D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三</w:t>
      </w:r>
      <w:r>
        <w:rPr>
          <w:rStyle w:val="ac"/>
        </w:rPr>
        <w:t>）</w:t>
      </w:r>
      <w:r>
        <w:rPr>
          <w:rStyle w:val="ac"/>
          <w:rFonts w:hint="eastAsia"/>
        </w:rPr>
        <w:t>模型的构建与调整</w:t>
      </w:r>
    </w:p>
    <w:p w14:paraId="12719EA1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在本研究中，我们使用了三种不同的CNN模型——VGG16模型、ResNet50模型、ResNeXt-CBAM模型进行对比试验，以深入探究不同架构的神经网络在训练过程中与最终表现上的差别。下面介绍这三种模型的基本结构和搭建方法。</w:t>
      </w:r>
    </w:p>
    <w:p w14:paraId="2BDF52B1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VGG16模型</w:t>
      </w:r>
    </w:p>
    <w:p w14:paraId="31741FBA" w14:textId="77777777" w:rsidR="00F927F8" w:rsidRDefault="00000000">
      <w:pPr>
        <w:pStyle w:val="af"/>
        <w:ind w:left="360"/>
        <w:jc w:val="left"/>
        <w:rPr>
          <w:rFonts w:hint="eastAsia"/>
        </w:rPr>
      </w:pPr>
      <w:r>
        <w:rPr>
          <w:rStyle w:val="ac"/>
          <w:rFonts w:hint="eastAsia"/>
          <w:b w:val="0"/>
          <w:bCs w:val="0"/>
        </w:rPr>
        <w:t>VGG（</w:t>
      </w:r>
      <w:r>
        <w:t>Visual Geometry Group Network</w:t>
      </w:r>
      <w:r>
        <w:rPr>
          <w:rStyle w:val="ac"/>
          <w:rFonts w:hint="eastAsia"/>
          <w:b w:val="0"/>
          <w:bCs w:val="0"/>
        </w:rPr>
        <w:t>）是一种经典的卷积神经网络模型，由</w:t>
      </w:r>
      <w:r>
        <w:t>Visual Geometry Group</w:t>
      </w:r>
      <w:r>
        <w:rPr>
          <w:rFonts w:hint="eastAsia"/>
        </w:rPr>
        <w:t>提出，并在ImageNet数据集上效果优秀。VGG相较之前的卷积神经网络，拥有更小的卷积核与下采样核尺寸，从而减少了模型的参数量，并增加了模型的深度，以便提取更多有效特征。VGG16模型拥有13个卷积层与3个全连接层，并在卷积层和全连接层之间安置了一个自适应平均池化层，以控制全连接层的输入张量形状。以下是VGG模型的结构示意图：</w:t>
      </w:r>
    </w:p>
    <w:p w14:paraId="4EF1EABA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7E718534" wp14:editId="641012CD">
            <wp:extent cx="3895090" cy="2218690"/>
            <wp:effectExtent l="0" t="0" r="0" b="0"/>
            <wp:docPr id="906210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0381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120" cy="22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B857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lastRenderedPageBreak/>
        <w:t>ResNet50模型</w:t>
      </w:r>
    </w:p>
    <w:p w14:paraId="2F9AA21F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随着卷积神经网络模型深度的增加，学者发现，模型在训练集上的准确率会趋于饱和甚至下降。这并非过拟合所为，因为过拟合现象发生时，模型在训练集上的准确率应该进一步上升。这种深模型的准确率饱和现象被称为退化现象，其原因是在模型训练时，深模型中梯度的反向传播受阻，模型参数难以得到有效优化。</w:t>
      </w:r>
    </w:p>
    <w:p w14:paraId="5A4A41CC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为解决退化现象对模型深度的问题，Kaiming He等人于2017年提出了残差神经网络ResNet。该网络在瓶颈卷积模块（Bottleneck）中引入了桥接（Shortcut）的概念，这个结构直接将卷积模块的输入与输出相加，为提供了梯度绕开卷积层继续反向传播的途径，从而有效缓解了深层网络难以优化的问题：</w:t>
      </w:r>
    </w:p>
    <w:p w14:paraId="6DCB1456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57AE2680" wp14:editId="4F07E925">
            <wp:extent cx="3039110" cy="1572260"/>
            <wp:effectExtent l="0" t="0" r="0" b="8890"/>
            <wp:docPr id="1225815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5884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149" cy="15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104B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t的出现为卷积神经网络深度的增加扫清了障碍，使得现代卷积神经网络得以学习到更多特征。ResNet152模型在ImageNet数据集上的错误率仅为3.6%，这一比例甚至低于人类。ResNet50模型作为一种常用的残差模型，拥有4个残差块共计50个卷积层，其使用卷积核边长为7的卷积层作为感知层，并简化了全连接层与分类器的结构。</w:t>
      </w:r>
    </w:p>
    <w:p w14:paraId="55F5DA32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搭建ResNet50模型时，我们注意到，该模型的感知层卷积核边长为7，移动步长为2，输出通道数直接从3膨胀至64；经过分析我们认为，感受野过大可能会造成感知层无法有效提取图像特征，通道膨胀过陡会导致特征丢失，因此我们将感知层替换为3层卷积核尺寸为3的卷积层，通过多级卷积缓解通道膨胀陡度，从而有效提取图像特征。</w:t>
      </w:r>
    </w:p>
    <w:p w14:paraId="53C09EE8" w14:textId="77777777" w:rsidR="00F927F8" w:rsidRDefault="00000000">
      <w:pPr>
        <w:pStyle w:val="af"/>
        <w:numPr>
          <w:ilvl w:val="0"/>
          <w:numId w:val="1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ResNeXt-CBAM模型</w:t>
      </w:r>
    </w:p>
    <w:p w14:paraId="1F9D15F5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Xt神经网络模型是ResNet模型的重要改进，其参数量与普通ResNet模型相当，但模型效果却优于ResNet，并在训练时更为高效。ResNeXt相较原型的最大改变，在于瓶颈卷积模块（Bottleneck）的中间卷积层。受Inception模型中多路径处理的启发，其引入基数（Cardinality）的概念，将该卷积层按基数分解为多个通道组，每个组独立进行卷积操作，且各组的结构完全一致：</w:t>
      </w:r>
    </w:p>
    <w:p w14:paraId="68600C27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lastRenderedPageBreak/>
        <w:drawing>
          <wp:inline distT="0" distB="0" distL="0" distR="0" wp14:anchorId="7D8818D0" wp14:editId="692CE4BD">
            <wp:extent cx="4948555" cy="3033395"/>
            <wp:effectExtent l="0" t="0" r="4445" b="0"/>
            <wp:docPr id="5248209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094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065" cy="30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1E31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在ResNeXt50的基础上，我们创新性地引入了自注意力机制（Self-Attention），即CBAM（Convolutional Block Attention Module）模块。自注意力机制旨在探寻输入信息内部各部分之间的相关性，并为各部分数据赋予对应的权重，并对信息进行加权求和之后送至下一层进行处理。自注意力机制使得模型可以为数据的各部分学习权重，从而使得模型将注意力放在主要信息上，忽略次要特征和噪声。</w:t>
      </w:r>
    </w:p>
    <w:p w14:paraId="09F61878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2017年Google Brain提出的Transformer架构，使得自注意力机制被广泛应用于自然语言处理（NLP）相关领域，而自注意力机制在计算机视觉任务中也有非凡的效果。在图像识别上，自注意力机制主要用于明确图像不同通道之间的权重关系，以及不同空间位置之间的权重关系；在CBAM模块中，上述功能由SEBlock（Squeeze &amp; Excitation Block）和SABlock（Spatial Attention Block）两个子模块实现。</w:t>
      </w:r>
    </w:p>
    <w:p w14:paraId="41155ED4" w14:textId="77777777" w:rsidR="00F927F8" w:rsidRDefault="00000000">
      <w:pPr>
        <w:pStyle w:val="af"/>
        <w:numPr>
          <w:ilvl w:val="0"/>
          <w:numId w:val="2"/>
        </w:numPr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SEBlock</w:t>
      </w:r>
    </w:p>
    <w:p w14:paraId="6BE3BD6F" w14:textId="77777777" w:rsidR="00F927F8" w:rsidRDefault="00000000">
      <w:pPr>
        <w:pStyle w:val="af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SEBlock的主要目的是为每一个通道赋予一个注意力权值，并将通道内每个数据与对应权值的积作为输出结果。注意力权值通过一个线性全连接的挤压-激励（Squeeze &amp; Excitation）单元进行学习，缩减比例（reduction ratio）决定了这个单元对信息的挤压程度。</w:t>
      </w:r>
    </w:p>
    <w:p w14:paraId="1AE74409" w14:textId="77777777" w:rsidR="00F927F8" w:rsidRDefault="00000000">
      <w:pPr>
        <w:pStyle w:val="af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7A500631" wp14:editId="6B0A7657">
            <wp:extent cx="4730115" cy="2096770"/>
            <wp:effectExtent l="0" t="0" r="0" b="0"/>
            <wp:docPr id="11857299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9948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390" cy="20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D8B9" w14:textId="77777777" w:rsidR="00F927F8" w:rsidRDefault="00000000">
      <w:pPr>
        <w:pStyle w:val="af"/>
        <w:numPr>
          <w:ilvl w:val="0"/>
          <w:numId w:val="2"/>
        </w:numPr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SABlock</w:t>
      </w:r>
    </w:p>
    <w:p w14:paraId="216C07AD" w14:textId="77777777" w:rsidR="00F927F8" w:rsidRDefault="00000000">
      <w:pPr>
        <w:pStyle w:val="af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相比于SEBlock对通道注意力权重的学习，SABlock偏向于学习图像的空间注意力权</w:t>
      </w:r>
      <w:r>
        <w:rPr>
          <w:rStyle w:val="ac"/>
          <w:rFonts w:hint="eastAsia"/>
          <w:b w:val="0"/>
          <w:bCs w:val="0"/>
        </w:rPr>
        <w:lastRenderedPageBreak/>
        <w:t>重。这个模块首先将输入图像的每个像素分别进行跨通道最大下采样、平均下采样，从而将通道数降为2。对于这个张量再进行卷积操作，生成的单通道张量便是每个像素的注意力权值。将该权值与输入张量的每个通道按元素相乘即可得到输出。</w:t>
      </w:r>
    </w:p>
    <w:p w14:paraId="486F42DA" w14:textId="77777777" w:rsidR="00F927F8" w:rsidRDefault="00000000">
      <w:pPr>
        <w:pStyle w:val="af"/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0B6AE138" wp14:editId="1E4ECD54">
            <wp:extent cx="4809490" cy="2086610"/>
            <wp:effectExtent l="0" t="0" r="0" b="0"/>
            <wp:docPr id="8869283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28300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583" cy="21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7837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以上是CBAM模块的基本构造。在CBAM-ResNeXt模型中，CBAM模块位于每一个瓶颈卷积模块的卷积层之后，整个模型一共有16个CBAM模块，有效提升了模型对主要特征的注意力，引导模型忽略次要特征和背景噪声。</w:t>
      </w:r>
    </w:p>
    <w:p w14:paraId="7C64B9B5" w14:textId="77777777" w:rsidR="00F927F8" w:rsidRDefault="00F927F8">
      <w:pPr>
        <w:rPr>
          <w:rStyle w:val="ac"/>
          <w:rFonts w:hint="eastAsia"/>
          <w:b w:val="0"/>
          <w:bCs w:val="0"/>
        </w:rPr>
      </w:pPr>
    </w:p>
    <w:p w14:paraId="3F354BF7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四</w:t>
      </w:r>
      <w:r>
        <w:rPr>
          <w:rStyle w:val="ac"/>
        </w:rPr>
        <w:t>）</w:t>
      </w:r>
      <w:r>
        <w:rPr>
          <w:rStyle w:val="ac"/>
          <w:rFonts w:hint="eastAsia"/>
        </w:rPr>
        <w:t>模型的训练与优化</w:t>
      </w:r>
    </w:p>
    <w:p w14:paraId="7AB01C44" w14:textId="77777777" w:rsidR="00F927F8" w:rsidRDefault="00000000">
      <w:pPr>
        <w:ind w:firstLine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本研究对CNN模型的实验分为三组。第一组为模型探究实验，用于测试VGG16、ResNet50、ResNeXt-CBAM三种模型的性能，并选取其中表现最好的模型做进一步优化；探究实验的训练轮数为25。第二组为模型超参数搜索实验，用于搜索能使模型损失快速收敛的超参数组合，每一次搜寻尝试会对模型进行10轮训练。第三组实验为模型优化实验，该实验用于在确定最优超参数组合后，对模型进行深度训练，该实验的训练轮数为50。灵活调整不同实验中的训练轮数，可以保证高效获得实验结果。</w:t>
      </w:r>
    </w:p>
    <w:p w14:paraId="51395F3A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训练时学习率动态调整策略</w:t>
      </w:r>
    </w:p>
    <w:p w14:paraId="21071E19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深度学习模型的训练过程中，若学习率始终保持不变，模型损失函数值会在一定轮数之后区域收敛，此时模型效果难以进一步提高。该问题的解决方案是动态调整学习率，使得模型参数趋于收敛后仍旧能进一步做局部优化。在本实验中，我们使用了学习率阶梯式衰减策略，即每训练10轮，学习率衰减为原来的0.1倍。</w:t>
      </w:r>
    </w:p>
    <w:p w14:paraId="291A5962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模型超参数初始值</w:t>
      </w:r>
    </w:p>
    <w:tbl>
      <w:tblPr>
        <w:tblStyle w:val="13"/>
        <w:tblW w:w="8364" w:type="dxa"/>
        <w:tblLook w:val="04A0" w:firstRow="1" w:lastRow="0" w:firstColumn="1" w:lastColumn="0" w:noHBand="0" w:noVBand="1"/>
      </w:tblPr>
      <w:tblGrid>
        <w:gridCol w:w="3261"/>
        <w:gridCol w:w="1984"/>
        <w:gridCol w:w="3119"/>
      </w:tblGrid>
      <w:tr w:rsidR="00F927F8" w14:paraId="52C16581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61" w:type="dxa"/>
          </w:tcPr>
          <w:p w14:paraId="72E3D632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1984" w:type="dxa"/>
          </w:tcPr>
          <w:p w14:paraId="299D34F3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3119" w:type="dxa"/>
          </w:tcPr>
          <w:p w14:paraId="0F0520A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初始值</w:t>
            </w:r>
          </w:p>
        </w:tc>
      </w:tr>
      <w:tr w:rsidR="00F927F8" w14:paraId="2909FE23" w14:textId="77777777" w:rsidTr="00F927F8">
        <w:tc>
          <w:tcPr>
            <w:tcW w:w="3261" w:type="dxa"/>
          </w:tcPr>
          <w:p w14:paraId="605FD55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1984" w:type="dxa"/>
          </w:tcPr>
          <w:p w14:paraId="57891FE9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3119" w:type="dxa"/>
          </w:tcPr>
          <w:p w14:paraId="429A004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0.0001</w:t>
            </w:r>
          </w:p>
        </w:tc>
      </w:tr>
      <w:tr w:rsidR="00F927F8" w14:paraId="0F62DBC9" w14:textId="77777777" w:rsidTr="00F927F8">
        <w:tc>
          <w:tcPr>
            <w:tcW w:w="3261" w:type="dxa"/>
          </w:tcPr>
          <w:p w14:paraId="7F6743B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每批次样本数</w:t>
            </w:r>
          </w:p>
        </w:tc>
        <w:tc>
          <w:tcPr>
            <w:tcW w:w="1984" w:type="dxa"/>
          </w:tcPr>
          <w:p w14:paraId="379E2D8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batch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_size</w:t>
            </w:r>
          </w:p>
        </w:tc>
        <w:tc>
          <w:tcPr>
            <w:tcW w:w="3119" w:type="dxa"/>
          </w:tcPr>
          <w:p w14:paraId="4A468B8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16</w:t>
            </w:r>
          </w:p>
        </w:tc>
      </w:tr>
      <w:tr w:rsidR="00F927F8" w14:paraId="40ACEE95" w14:textId="77777777" w:rsidTr="00F927F8">
        <w:tc>
          <w:tcPr>
            <w:tcW w:w="3261" w:type="dxa"/>
          </w:tcPr>
          <w:p w14:paraId="5E967487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1984" w:type="dxa"/>
          </w:tcPr>
          <w:p w14:paraId="4D0135F6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3119" w:type="dxa"/>
          </w:tcPr>
          <w:p w14:paraId="427FECD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0.9</w:t>
            </w:r>
          </w:p>
        </w:tc>
      </w:tr>
      <w:tr w:rsidR="00F927F8" w14:paraId="1469F04C" w14:textId="77777777" w:rsidTr="00F927F8">
        <w:tc>
          <w:tcPr>
            <w:tcW w:w="3261" w:type="dxa"/>
          </w:tcPr>
          <w:p w14:paraId="4549B01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1984" w:type="dxa"/>
          </w:tcPr>
          <w:p w14:paraId="36F5DDD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3119" w:type="dxa"/>
          </w:tcPr>
          <w:p w14:paraId="114B64E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0.999</w:t>
            </w:r>
          </w:p>
        </w:tc>
      </w:tr>
      <w:tr w:rsidR="00F927F8" w14:paraId="767F964A" w14:textId="77777777" w:rsidTr="00F927F8">
        <w:tc>
          <w:tcPr>
            <w:tcW w:w="3261" w:type="dxa"/>
          </w:tcPr>
          <w:p w14:paraId="3F343DF2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1984" w:type="dxa"/>
          </w:tcPr>
          <w:p w14:paraId="5239387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2_lambda</w:t>
            </w:r>
          </w:p>
        </w:tc>
        <w:tc>
          <w:tcPr>
            <w:tcW w:w="3119" w:type="dxa"/>
          </w:tcPr>
          <w:p w14:paraId="7837247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0.00001</w:t>
            </w:r>
          </w:p>
        </w:tc>
      </w:tr>
    </w:tbl>
    <w:p w14:paraId="17B58ECB" w14:textId="77777777" w:rsidR="00F927F8" w:rsidRDefault="00F927F8">
      <w:pPr>
        <w:jc w:val="left"/>
        <w:rPr>
          <w:rStyle w:val="ac"/>
          <w:rFonts w:hint="eastAsia"/>
          <w:b w:val="0"/>
          <w:bCs w:val="0"/>
        </w:rPr>
      </w:pPr>
    </w:p>
    <w:p w14:paraId="2B33C99B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不同模型在探究实验中的表现</w:t>
      </w:r>
    </w:p>
    <w:p w14:paraId="7CC9FA33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对不同模型的训练中，我们发现，对模型的参数按一定方式进行初始化，可以有效加速模型收敛，并避免梯度消失或梯度爆炸现象的出现。研究表明，Kaiming初始化方案对于使用ReLU激活函数的模型较为有效。经过Kaiming初始化方案后，模型参数服从正态分布</w:t>
      </w:r>
      <m:oMath>
        <m:r>
          <w:rPr>
            <w:rStyle w:val="ac"/>
            <w:rFonts w:ascii="Cambria Math" w:hAnsi="Cambria Math" w:hint="eastAsia"/>
          </w:rPr>
          <m:t>N</m:t>
        </m:r>
        <m:r>
          <w:rPr>
            <w:rStyle w:val="ac"/>
            <w:rFonts w:ascii="Cambria Math" w:hAnsi="Cambria Math"/>
          </w:rPr>
          <m:t>(0,</m:t>
        </m:r>
        <m:f>
          <m:fPr>
            <m:ctrlPr>
              <w:rPr>
                <w:rStyle w:val="ac"/>
                <w:rFonts w:ascii="Cambria Math" w:hAnsi="Cambria Math"/>
                <w:b w:val="0"/>
                <w:bCs w:val="0"/>
                <w:i/>
              </w:rPr>
            </m:ctrlPr>
          </m:fPr>
          <m:num>
            <m:r>
              <w:rPr>
                <w:rStyle w:val="ac"/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Style w:val="ac"/>
                    <w:rFonts w:ascii="Cambria Math" w:hAnsi="Cambria Math"/>
                    <w:b w:val="0"/>
                    <w:bCs w:val="0"/>
                    <w:i/>
                  </w:rPr>
                </m:ctrlPr>
              </m:sSubPr>
              <m:e>
                <m:r>
                  <w:rPr>
                    <w:rStyle w:val="ac"/>
                    <w:rFonts w:ascii="Cambria Math" w:hAnsi="Cambria Math"/>
                  </w:rPr>
                  <m:t>n</m:t>
                </m:r>
              </m:e>
              <m:sub>
                <m:r>
                  <w:rPr>
                    <w:rStyle w:val="ac"/>
                    <w:rFonts w:ascii="Cambria Math" w:hAnsi="Cambria Math"/>
                  </w:rPr>
                  <m:t>in</m:t>
                </m:r>
              </m:sub>
            </m:sSub>
          </m:den>
        </m:f>
        <m:r>
          <w:rPr>
            <w:rStyle w:val="ac"/>
            <w:rFonts w:ascii="Cambria Math" w:hAnsi="Cambria Math"/>
          </w:rPr>
          <m:t>)</m:t>
        </m:r>
      </m:oMath>
      <w:r>
        <w:rPr>
          <w:rStyle w:val="ac"/>
          <w:rFonts w:hint="eastAsia"/>
          <w:b w:val="0"/>
          <w:bCs w:val="0"/>
        </w:rPr>
        <w:t>，其中</w:t>
      </w:r>
      <m:oMath>
        <m:sSub>
          <m:sSubPr>
            <m:ctrlPr>
              <w:rPr>
                <w:rStyle w:val="ac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ac"/>
                <w:rFonts w:ascii="Cambria Math" w:hAnsi="Cambria Math"/>
              </w:rPr>
              <m:t>n</m:t>
            </m:r>
          </m:e>
          <m:sub>
            <m:r>
              <w:rPr>
                <w:rStyle w:val="ac"/>
                <w:rFonts w:ascii="Cambria Math" w:hAnsi="Cambria Math"/>
              </w:rPr>
              <m:t>in</m:t>
            </m:r>
          </m:sub>
        </m:sSub>
      </m:oMath>
      <w:r>
        <w:rPr>
          <w:rStyle w:val="ac"/>
          <w:rFonts w:hint="eastAsia"/>
          <w:b w:val="0"/>
          <w:bCs w:val="0"/>
        </w:rPr>
        <w:t>是输入特征数。这样的参数组合保证了特征信息</w:t>
      </w:r>
      <m:oMath>
        <m:r>
          <w:rPr>
            <w:rStyle w:val="ac"/>
            <w:rFonts w:ascii="Cambria Math" w:hAnsi="Cambria Math" w:hint="eastAsia"/>
          </w:rPr>
          <m:t>X</m:t>
        </m:r>
      </m:oMath>
      <w:r>
        <w:rPr>
          <w:rStyle w:val="ac"/>
          <w:rFonts w:hint="eastAsia"/>
          <w:b w:val="0"/>
          <w:bCs w:val="0"/>
        </w:rPr>
        <w:t>在经过</w:t>
      </w:r>
      <w:r>
        <w:rPr>
          <w:rStyle w:val="ac"/>
          <w:rFonts w:hint="eastAsia"/>
          <w:b w:val="0"/>
          <w:bCs w:val="0"/>
        </w:rPr>
        <w:lastRenderedPageBreak/>
        <w:t>ReLU激活函数前后方差基本一致，从而保证了特征在正向传播时的分布稳定。以下是VGG16、ResNet50、ResNeXt-CBAM三种模型在应用Kaiming初始化方案前后的训练曲线：</w:t>
      </w:r>
    </w:p>
    <w:p w14:paraId="6B906DE3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  <w:r>
        <w:rPr>
          <w:rStyle w:val="ac"/>
          <w:rFonts w:hint="eastAsia"/>
          <w:b w:val="0"/>
          <w:bCs w:val="0"/>
          <w:color w:val="FF0000"/>
        </w:rPr>
        <w:t>插入训练曲线，六个图，每个模型的损失、准确率各一个图</w:t>
      </w:r>
    </w:p>
    <w:p w14:paraId="1ED484F1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  <w:r>
        <w:rPr>
          <w:rStyle w:val="ac"/>
          <w:rFonts w:hint="eastAsia"/>
          <w:b w:val="0"/>
          <w:bCs w:val="0"/>
          <w:color w:val="FF0000"/>
        </w:rPr>
        <w:t>./training_record文件夹下有三个模型文件夹，prototype是初始化之前，with_weight_init是初始化之后，.csv文件里是数据</w:t>
      </w:r>
    </w:p>
    <w:p w14:paraId="59FCE58B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对三种不同的CNN模型进行对比试验后，我们得到了这些模型在测试集上的准确率、混淆矩阵和Kappa系数：</w:t>
      </w:r>
    </w:p>
    <w:p w14:paraId="38AF6861" w14:textId="4957311B" w:rsidR="003C695C" w:rsidRDefault="004427C6" w:rsidP="003C695C">
      <w:pPr>
        <w:pStyle w:val="af"/>
        <w:ind w:left="360"/>
        <w:jc w:val="center"/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  <w:noProof/>
          <w:color w:val="FF0000"/>
        </w:rPr>
        <w:drawing>
          <wp:inline distT="0" distB="0" distL="0" distR="0" wp14:anchorId="3DB55054" wp14:editId="3103B712">
            <wp:extent cx="5269230" cy="4178300"/>
            <wp:effectExtent l="0" t="0" r="7620" b="0"/>
            <wp:docPr id="16437735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EEEB" w14:textId="60DA7B0C" w:rsidR="00F927F8" w:rsidRDefault="00000000" w:rsidP="003C695C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对上述图表数据进行分析，我们可以得出结论：ResNeXt-CBAM模型在当前任务上表现最好。VGG16模型由于没有引进残差学习方法，模型深度对模型训练造成了一定的阻碍，难以有效优化；另外，VGG16模型的参数量过大，模型复杂度高，有很大的过拟合风险。ResNet50模型相较于VGG16在效果上改善明显，但应对噪声和背景干扰的能力逊于ResNeXt-CBAM。由于引入了自注意力机制，ResNeXt-CBAM在当前任务中可以将注意力更多地放在叶片的形状与纹理上，对不同类别图像的特征提取能力更强，因此在当前任务上表现更优。在背景与目标叶片的区别较小、背景复杂的测试用例上，ResNeXt-CBAM模型的预测准确率也高于剩余两种模型。基于上述论证，我们选择ResNeXt-CBAM模型做后续实验，以对其进行进一步优化。</w:t>
      </w:r>
    </w:p>
    <w:p w14:paraId="622F84BC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ResNeXt-CBAM模型超参数搜索实验</w:t>
      </w:r>
    </w:p>
    <w:p w14:paraId="5404188E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在模型超参数搜索实验中，我们对比使用了SSA搜索算法、TPE搜索算法。下表为模型的待搜索超参数以及其取值范围：</w:t>
      </w:r>
    </w:p>
    <w:tbl>
      <w:tblPr>
        <w:tblStyle w:val="13"/>
        <w:tblW w:w="8222" w:type="dxa"/>
        <w:tblLook w:val="04A0" w:firstRow="1" w:lastRow="0" w:firstColumn="1" w:lastColumn="0" w:noHBand="0" w:noVBand="1"/>
      </w:tblPr>
      <w:tblGrid>
        <w:gridCol w:w="2599"/>
        <w:gridCol w:w="2079"/>
        <w:gridCol w:w="992"/>
        <w:gridCol w:w="2552"/>
      </w:tblGrid>
      <w:tr w:rsidR="00F927F8" w14:paraId="49BA172A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9" w:type="dxa"/>
          </w:tcPr>
          <w:p w14:paraId="3C2EEDE2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2079" w:type="dxa"/>
          </w:tcPr>
          <w:p w14:paraId="6F68B8F6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992" w:type="dxa"/>
          </w:tcPr>
          <w:p w14:paraId="1F8CA89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类型</w:t>
            </w:r>
          </w:p>
        </w:tc>
        <w:tc>
          <w:tcPr>
            <w:tcW w:w="2552" w:type="dxa"/>
          </w:tcPr>
          <w:p w14:paraId="722D2A3B" w14:textId="77777777" w:rsidR="00F927F8" w:rsidRDefault="00000000">
            <w:pPr>
              <w:jc w:val="center"/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取值范围</w:t>
            </w:r>
          </w:p>
        </w:tc>
      </w:tr>
      <w:tr w:rsidR="00F927F8" w14:paraId="54C8EC07" w14:textId="77777777" w:rsidTr="00F927F8">
        <w:tc>
          <w:tcPr>
            <w:tcW w:w="2599" w:type="dxa"/>
          </w:tcPr>
          <w:p w14:paraId="0317784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2079" w:type="dxa"/>
          </w:tcPr>
          <w:p w14:paraId="366F1E34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992" w:type="dxa"/>
          </w:tcPr>
          <w:p w14:paraId="5FE690E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2B50C601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-3</m:t>
                    </m:r>
                  </m:sup>
                </m:sSup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5213F6BA" w14:textId="77777777" w:rsidTr="00F927F8">
        <w:tc>
          <w:tcPr>
            <w:tcW w:w="2599" w:type="dxa"/>
          </w:tcPr>
          <w:p w14:paraId="3B13B65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lastRenderedPageBreak/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2079" w:type="dxa"/>
          </w:tcPr>
          <w:p w14:paraId="7E45F8D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92" w:type="dxa"/>
          </w:tcPr>
          <w:p w14:paraId="5D696CB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07D4D87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0.8,0.99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024C0525" w14:textId="77777777" w:rsidTr="00F927F8">
        <w:tc>
          <w:tcPr>
            <w:tcW w:w="2599" w:type="dxa"/>
          </w:tcPr>
          <w:p w14:paraId="62ED30B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2079" w:type="dxa"/>
          </w:tcPr>
          <w:p w14:paraId="40737D1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92" w:type="dxa"/>
          </w:tcPr>
          <w:p w14:paraId="2993425C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11659D3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0.98,0.9999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49B11011" w14:textId="77777777" w:rsidTr="00F927F8">
        <w:tc>
          <w:tcPr>
            <w:tcW w:w="2599" w:type="dxa"/>
          </w:tcPr>
          <w:p w14:paraId="396E1397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2079" w:type="dxa"/>
          </w:tcPr>
          <w:p w14:paraId="4EF255B5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wd</w:t>
            </w:r>
          </w:p>
        </w:tc>
        <w:tc>
          <w:tcPr>
            <w:tcW w:w="992" w:type="dxa"/>
          </w:tcPr>
          <w:p w14:paraId="41CEE70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981F56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-4</m:t>
                    </m:r>
                  </m:sup>
                </m:sSup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6587251C" w14:textId="77777777" w:rsidTr="00F927F8">
        <w:tc>
          <w:tcPr>
            <w:tcW w:w="2599" w:type="dxa"/>
          </w:tcPr>
          <w:p w14:paraId="28C2423B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概率</w:t>
            </w:r>
          </w:p>
        </w:tc>
        <w:tc>
          <w:tcPr>
            <w:tcW w:w="2079" w:type="dxa"/>
          </w:tcPr>
          <w:p w14:paraId="3F73940C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dropout_rate</w:t>
            </w:r>
          </w:p>
        </w:tc>
        <w:tc>
          <w:tcPr>
            <w:tcW w:w="992" w:type="dxa"/>
          </w:tcPr>
          <w:p w14:paraId="50035631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2B0E7AB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0.3,0.6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7324461E" w14:textId="77777777" w:rsidTr="00F927F8">
        <w:tc>
          <w:tcPr>
            <w:tcW w:w="2599" w:type="dxa"/>
          </w:tcPr>
          <w:p w14:paraId="0CA78076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基数</w:t>
            </w:r>
          </w:p>
        </w:tc>
        <w:tc>
          <w:tcPr>
            <w:tcW w:w="2079" w:type="dxa"/>
          </w:tcPr>
          <w:p w14:paraId="10F7E7D1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cardinality</w:t>
            </w:r>
          </w:p>
        </w:tc>
        <w:tc>
          <w:tcPr>
            <w:tcW w:w="992" w:type="dxa"/>
          </w:tcPr>
          <w:p w14:paraId="1184F234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344C6DFD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16,32,64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0C05A4C1" w14:textId="77777777" w:rsidTr="00F927F8">
        <w:tc>
          <w:tcPr>
            <w:tcW w:w="2599" w:type="dxa"/>
          </w:tcPr>
          <w:p w14:paraId="51A2EA7A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瓶颈宽度</w:t>
            </w:r>
          </w:p>
        </w:tc>
        <w:tc>
          <w:tcPr>
            <w:tcW w:w="2079" w:type="dxa"/>
          </w:tcPr>
          <w:p w14:paraId="720A34A4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base</w:t>
            </w:r>
          </w:p>
        </w:tc>
        <w:tc>
          <w:tcPr>
            <w:tcW w:w="992" w:type="dxa"/>
          </w:tcPr>
          <w:p w14:paraId="0C926E1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68973629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2,4,8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242E160B" w14:textId="77777777" w:rsidTr="00F927F8">
        <w:tc>
          <w:tcPr>
            <w:tcW w:w="2599" w:type="dxa"/>
          </w:tcPr>
          <w:p w14:paraId="4F8E3C21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SEBlock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缩减比例</w:t>
            </w:r>
          </w:p>
        </w:tc>
        <w:tc>
          <w:tcPr>
            <w:tcW w:w="2079" w:type="dxa"/>
          </w:tcPr>
          <w:p w14:paraId="1EA5AAC9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SE_reduction_ratio</w:t>
            </w:r>
          </w:p>
        </w:tc>
        <w:tc>
          <w:tcPr>
            <w:tcW w:w="992" w:type="dxa"/>
          </w:tcPr>
          <w:p w14:paraId="5495B0F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0DB2ECA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8,16,32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  <w:tr w:rsidR="00F927F8" w14:paraId="74D2FB57" w14:textId="77777777" w:rsidTr="00F927F8">
        <w:tc>
          <w:tcPr>
            <w:tcW w:w="2599" w:type="dxa"/>
          </w:tcPr>
          <w:p w14:paraId="17106722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SABlock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卷积核尺寸</w:t>
            </w:r>
          </w:p>
        </w:tc>
        <w:tc>
          <w:tcPr>
            <w:tcW w:w="2079" w:type="dxa"/>
          </w:tcPr>
          <w:p w14:paraId="6B515399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SA_kernel_size</w:t>
            </w:r>
          </w:p>
        </w:tc>
        <w:tc>
          <w:tcPr>
            <w:tcW w:w="992" w:type="dxa"/>
          </w:tcPr>
          <w:p w14:paraId="2A010307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03DDF37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[3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,5,7,9</m:t>
                </m:r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]</m:t>
                </m:r>
              </m:oMath>
            </m:oMathPara>
          </w:p>
        </w:tc>
      </w:tr>
    </w:tbl>
    <w:p w14:paraId="5D013F40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通过两种搜索算法对比，我们选择TPE搜索算法对超参数进行优化。由上表可知，候选超参数有离散型，也有连续性，而TPE算法对于混合型搜索空间更为友好。另外，SSA算法在处理每一维取值范围窄、搜索空间维数较高时表现一般。</w:t>
      </w:r>
    </w:p>
    <w:p w14:paraId="13E463D4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在超参数搜索实验中，我们评估当前超参数优劣的方法是，以当前超参数在小数据集上对模型进行10次训练，并评估模型在测试集上的准确率。准确率越高，当前超参数的效果越好。</w:t>
      </w:r>
    </w:p>
    <w:p w14:paraId="3BD66CDF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以下是使用TPE搜索算法对最优超参数组合进行搜索的过程：</w:t>
      </w:r>
    </w:p>
    <w:p w14:paraId="2C1B6AF9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5027DAE5" wp14:editId="240552B1">
            <wp:extent cx="5274945" cy="2563495"/>
            <wp:effectExtent l="0" t="0" r="1905" b="8255"/>
            <wp:docPr id="139434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2659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A2A2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分析搜索过程我们得知，TPE算法可以在开始迭代时较快地找到较优的超参数范围。在之后的迭代之中，算法在一定范围内随机采样，试图寻找到更优的超参数组合，并根据采样评估结果缩小下一次迭代时的搜索范围。</w:t>
      </w:r>
    </w:p>
    <w:p w14:paraId="61E2E1F6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根据结果，我们同样能得到不同超参数对结果的影响程度：</w:t>
      </w:r>
    </w:p>
    <w:p w14:paraId="580394A6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  <w:noProof/>
        </w:rPr>
        <w:lastRenderedPageBreak/>
        <w:drawing>
          <wp:inline distT="0" distB="0" distL="0" distR="0" wp14:anchorId="7B421F6C" wp14:editId="32BC6B3F">
            <wp:extent cx="5274310" cy="2562860"/>
            <wp:effectExtent l="0" t="0" r="2540" b="8890"/>
            <wp:docPr id="1611124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24313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8EEE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很明显，初始学习率对训练结果的影响最大。</w:t>
      </w:r>
    </w:p>
    <w:p w14:paraId="3EFA0625" w14:textId="77777777" w:rsidR="00F927F8" w:rsidRDefault="00000000">
      <w:pPr>
        <w:pStyle w:val="af"/>
        <w:ind w:left="360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下表展示了TPE算法搜寻到的最优超参数组合：</w:t>
      </w:r>
    </w:p>
    <w:tbl>
      <w:tblPr>
        <w:tblStyle w:val="13"/>
        <w:tblW w:w="8222" w:type="dxa"/>
        <w:tblLook w:val="04A0" w:firstRow="1" w:lastRow="0" w:firstColumn="1" w:lastColumn="0" w:noHBand="0" w:noVBand="1"/>
      </w:tblPr>
      <w:tblGrid>
        <w:gridCol w:w="2599"/>
        <w:gridCol w:w="2079"/>
        <w:gridCol w:w="992"/>
        <w:gridCol w:w="2552"/>
      </w:tblGrid>
      <w:tr w:rsidR="00F927F8" w14:paraId="30188C75" w14:textId="77777777" w:rsidTr="00F927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9" w:type="dxa"/>
          </w:tcPr>
          <w:p w14:paraId="18CA907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超参数名称</w:t>
            </w:r>
          </w:p>
        </w:tc>
        <w:tc>
          <w:tcPr>
            <w:tcW w:w="2079" w:type="dxa"/>
          </w:tcPr>
          <w:p w14:paraId="2E13C7B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变量名</w:t>
            </w:r>
          </w:p>
        </w:tc>
        <w:tc>
          <w:tcPr>
            <w:tcW w:w="992" w:type="dxa"/>
          </w:tcPr>
          <w:p w14:paraId="47E2A08F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类型</w:t>
            </w:r>
          </w:p>
        </w:tc>
        <w:tc>
          <w:tcPr>
            <w:tcW w:w="2552" w:type="dxa"/>
          </w:tcPr>
          <w:p w14:paraId="5C36744D" w14:textId="77777777" w:rsidR="00F927F8" w:rsidRDefault="00000000">
            <w:pPr>
              <w:jc w:val="center"/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最佳取值</w:t>
            </w:r>
          </w:p>
        </w:tc>
      </w:tr>
      <w:tr w:rsidR="00F927F8" w14:paraId="0FF2A4D8" w14:textId="77777777" w:rsidTr="00F927F8">
        <w:tc>
          <w:tcPr>
            <w:tcW w:w="2599" w:type="dxa"/>
          </w:tcPr>
          <w:p w14:paraId="38D1403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初始学习率</w:t>
            </w:r>
          </w:p>
        </w:tc>
        <w:tc>
          <w:tcPr>
            <w:tcW w:w="2079" w:type="dxa"/>
          </w:tcPr>
          <w:p w14:paraId="4E99646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  <w:t>learning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_rate</w:t>
            </w:r>
          </w:p>
        </w:tc>
        <w:tc>
          <w:tcPr>
            <w:tcW w:w="992" w:type="dxa"/>
          </w:tcPr>
          <w:p w14:paraId="6DADCF3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3FF40863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7.88</m:t>
                    </m:r>
                    <m:r>
                      <w:rPr>
                        <w:rFonts w:ascii="Cambria Math" w:hAnsi="Cambria Math" w:hint="eastAsia"/>
                        <w:kern w:val="0"/>
                        <w:sz w:val="20"/>
                        <w:szCs w:val="20"/>
                        <w14:ligatures w14:val="none"/>
                      </w:rPr>
                      <m:t>×</m:t>
                    </m:r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-4</m:t>
                    </m:r>
                  </m:sup>
                </m:sSup>
              </m:oMath>
            </m:oMathPara>
          </w:p>
        </w:tc>
      </w:tr>
      <w:tr w:rsidR="00F927F8" w14:paraId="79F3406F" w14:textId="77777777" w:rsidTr="00F927F8">
        <w:tc>
          <w:tcPr>
            <w:tcW w:w="2599" w:type="dxa"/>
          </w:tcPr>
          <w:p w14:paraId="6AAAB501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动量衰减系数</w:t>
            </w:r>
          </w:p>
        </w:tc>
        <w:tc>
          <w:tcPr>
            <w:tcW w:w="2079" w:type="dxa"/>
          </w:tcPr>
          <w:p w14:paraId="31EECC9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992" w:type="dxa"/>
          </w:tcPr>
          <w:p w14:paraId="312BA5E8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72888214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.86857</m:t>
                </m:r>
              </m:oMath>
            </m:oMathPara>
          </w:p>
        </w:tc>
      </w:tr>
      <w:tr w:rsidR="00F927F8" w14:paraId="39C4A76B" w14:textId="77777777" w:rsidTr="00F927F8">
        <w:tc>
          <w:tcPr>
            <w:tcW w:w="2599" w:type="dxa"/>
          </w:tcPr>
          <w:p w14:paraId="03FBD63E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Adam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二阶矩衰减系数</w:t>
            </w:r>
          </w:p>
        </w:tc>
        <w:tc>
          <w:tcPr>
            <w:tcW w:w="2079" w:type="dxa"/>
          </w:tcPr>
          <w:p w14:paraId="6F56BBFF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beta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92" w:type="dxa"/>
          </w:tcPr>
          <w:p w14:paraId="6D771DAB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0DBA2907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.99009</m:t>
                </m:r>
              </m:oMath>
            </m:oMathPara>
          </w:p>
        </w:tc>
      </w:tr>
      <w:tr w:rsidR="00F927F8" w14:paraId="3CC6C3A4" w14:textId="77777777" w:rsidTr="00F927F8">
        <w:tc>
          <w:tcPr>
            <w:tcW w:w="2599" w:type="dxa"/>
          </w:tcPr>
          <w:p w14:paraId="48577E5A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L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2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正则化系数</w:t>
            </w:r>
          </w:p>
        </w:tc>
        <w:tc>
          <w:tcPr>
            <w:tcW w:w="2079" w:type="dxa"/>
          </w:tcPr>
          <w:p w14:paraId="5F970B4D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wd</w:t>
            </w:r>
          </w:p>
        </w:tc>
        <w:tc>
          <w:tcPr>
            <w:tcW w:w="992" w:type="dxa"/>
          </w:tcPr>
          <w:p w14:paraId="40996330" w14:textId="77777777" w:rsidR="00F927F8" w:rsidRDefault="00000000">
            <w:pPr>
              <w:jc w:val="center"/>
              <w:rPr>
                <w:rFonts w:ascii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577EF696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0"/>
                        <w:szCs w:val="20"/>
                        <w14:ligatures w14:val="none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2.80</m:t>
                    </m:r>
                    <m:r>
                      <w:rPr>
                        <w:rFonts w:ascii="Cambria Math" w:hAnsi="Cambria Math" w:hint="eastAsia"/>
                        <w:kern w:val="0"/>
                        <w:sz w:val="20"/>
                        <w:szCs w:val="20"/>
                        <w14:ligatures w14:val="none"/>
                      </w:rPr>
                      <m:t>×</m:t>
                    </m:r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  <w:sz w:val="20"/>
                        <w:szCs w:val="20"/>
                        <w14:ligatures w14:val="none"/>
                      </w:rPr>
                      <m:t>-5</m:t>
                    </m:r>
                  </m:sup>
                </m:sSup>
              </m:oMath>
            </m:oMathPara>
          </w:p>
        </w:tc>
      </w:tr>
      <w:tr w:rsidR="00F927F8" w14:paraId="2B54B8F5" w14:textId="77777777" w:rsidTr="00F927F8">
        <w:tc>
          <w:tcPr>
            <w:tcW w:w="2599" w:type="dxa"/>
          </w:tcPr>
          <w:p w14:paraId="304C3AAE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概率</w:t>
            </w:r>
          </w:p>
        </w:tc>
        <w:tc>
          <w:tcPr>
            <w:tcW w:w="2079" w:type="dxa"/>
          </w:tcPr>
          <w:p w14:paraId="7773DF5A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dropout_rate</w:t>
            </w:r>
          </w:p>
        </w:tc>
        <w:tc>
          <w:tcPr>
            <w:tcW w:w="992" w:type="dxa"/>
          </w:tcPr>
          <w:p w14:paraId="334C7E1A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连续型</w:t>
            </w:r>
          </w:p>
        </w:tc>
        <w:tc>
          <w:tcPr>
            <w:tcW w:w="2552" w:type="dxa"/>
          </w:tcPr>
          <w:p w14:paraId="188E6F68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0</m:t>
                </m:r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.46643</m:t>
                </m:r>
              </m:oMath>
            </m:oMathPara>
          </w:p>
        </w:tc>
      </w:tr>
      <w:tr w:rsidR="00F927F8" w14:paraId="654B2F45" w14:textId="77777777" w:rsidTr="00F927F8">
        <w:tc>
          <w:tcPr>
            <w:tcW w:w="2599" w:type="dxa"/>
          </w:tcPr>
          <w:p w14:paraId="6C48501D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基数</w:t>
            </w:r>
          </w:p>
        </w:tc>
        <w:tc>
          <w:tcPr>
            <w:tcW w:w="2079" w:type="dxa"/>
          </w:tcPr>
          <w:p w14:paraId="2D3662D2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cardinality</w:t>
            </w:r>
          </w:p>
        </w:tc>
        <w:tc>
          <w:tcPr>
            <w:tcW w:w="992" w:type="dxa"/>
          </w:tcPr>
          <w:p w14:paraId="1A79D68D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4F28A4E8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</m:t>
                </m:r>
              </m:oMath>
            </m:oMathPara>
          </w:p>
        </w:tc>
      </w:tr>
      <w:tr w:rsidR="00F927F8" w14:paraId="0DAC3143" w14:textId="77777777" w:rsidTr="00F927F8">
        <w:tc>
          <w:tcPr>
            <w:tcW w:w="2599" w:type="dxa"/>
          </w:tcPr>
          <w:p w14:paraId="106165DA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瓶颈宽度</w:t>
            </w:r>
          </w:p>
        </w:tc>
        <w:tc>
          <w:tcPr>
            <w:tcW w:w="2079" w:type="dxa"/>
          </w:tcPr>
          <w:p w14:paraId="038D125F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base</w:t>
            </w:r>
          </w:p>
        </w:tc>
        <w:tc>
          <w:tcPr>
            <w:tcW w:w="992" w:type="dxa"/>
          </w:tcPr>
          <w:p w14:paraId="5606868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5362BAFC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4</m:t>
                </m:r>
              </m:oMath>
            </m:oMathPara>
          </w:p>
        </w:tc>
      </w:tr>
      <w:tr w:rsidR="00F927F8" w14:paraId="62D71051" w14:textId="77777777" w:rsidTr="00F927F8">
        <w:tc>
          <w:tcPr>
            <w:tcW w:w="2599" w:type="dxa"/>
          </w:tcPr>
          <w:p w14:paraId="21EA9768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SEBlock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缩减比例</w:t>
            </w:r>
          </w:p>
        </w:tc>
        <w:tc>
          <w:tcPr>
            <w:tcW w:w="2079" w:type="dxa"/>
          </w:tcPr>
          <w:p w14:paraId="3FBF2FDF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SE_reduction_ratio</w:t>
            </w:r>
          </w:p>
        </w:tc>
        <w:tc>
          <w:tcPr>
            <w:tcW w:w="992" w:type="dxa"/>
          </w:tcPr>
          <w:p w14:paraId="249C559B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1C8CDBC0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hAnsi="Cambria Math"/>
                    <w:kern w:val="0"/>
                    <w:sz w:val="20"/>
                    <w:szCs w:val="20"/>
                    <w14:ligatures w14:val="none"/>
                  </w:rPr>
                  <m:t>16</m:t>
                </m:r>
              </m:oMath>
            </m:oMathPara>
          </w:p>
        </w:tc>
      </w:tr>
      <w:tr w:rsidR="00F927F8" w14:paraId="1352AE5C" w14:textId="77777777" w:rsidTr="00F927F8">
        <w:tc>
          <w:tcPr>
            <w:tcW w:w="2599" w:type="dxa"/>
          </w:tcPr>
          <w:p w14:paraId="6F99DCC6" w14:textId="77777777" w:rsidR="00F927F8" w:rsidRDefault="00000000">
            <w:pPr>
              <w:jc w:val="center"/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  <w:t>SABlock</w:t>
            </w: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卷积核尺寸</w:t>
            </w:r>
          </w:p>
        </w:tc>
        <w:tc>
          <w:tcPr>
            <w:tcW w:w="2079" w:type="dxa"/>
          </w:tcPr>
          <w:p w14:paraId="7CB7809A" w14:textId="77777777" w:rsidR="00F927F8" w:rsidRDefault="00000000">
            <w:pPr>
              <w:jc w:val="center"/>
              <w:rPr>
                <w:rFonts w:asciiTheme="minorEastAsia" w:hAnsiTheme="minorEastAsia" w:hint="eastAsia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eastAsia="Times New Roman" w:hAnsiTheme="minorEastAsia"/>
                <w:kern w:val="0"/>
                <w:sz w:val="20"/>
                <w:szCs w:val="20"/>
                <w14:ligatures w14:val="none"/>
              </w:rPr>
              <w:t>SA_kernel_size</w:t>
            </w:r>
          </w:p>
        </w:tc>
        <w:tc>
          <w:tcPr>
            <w:tcW w:w="992" w:type="dxa"/>
          </w:tcPr>
          <w:p w14:paraId="26CD8AB5" w14:textId="77777777" w:rsidR="00F927F8" w:rsidRDefault="00000000">
            <w:pPr>
              <w:jc w:val="center"/>
              <w:rPr>
                <w:rFonts w:ascii="Times New Roman" w:eastAsia="Times New Roman" w:hAnsi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14:ligatures w14:val="none"/>
              </w:rPr>
              <w:t>离散型</w:t>
            </w:r>
          </w:p>
        </w:tc>
        <w:tc>
          <w:tcPr>
            <w:tcW w:w="2552" w:type="dxa"/>
          </w:tcPr>
          <w:p w14:paraId="364F17D9" w14:textId="77777777" w:rsidR="00F927F8" w:rsidRDefault="00000000">
            <w:pPr>
              <w:jc w:val="center"/>
              <w:rPr>
                <w:rFonts w:ascii="Times New Roman" w:hAnsi="Times New Roman"/>
                <w:i/>
                <w:kern w:val="0"/>
                <w:sz w:val="20"/>
                <w:szCs w:val="20"/>
                <w14:ligatures w14:val="none"/>
              </w:rPr>
            </w:pPr>
            <m:oMathPara>
              <m:oMath>
                <m:r>
                  <w:rPr>
                    <w:rFonts w:ascii="Cambria Math" w:eastAsia="Times New Roman" w:hAnsi="Cambria Math"/>
                    <w:kern w:val="0"/>
                    <w:sz w:val="20"/>
                    <w:szCs w:val="20"/>
                    <w14:ligatures w14:val="none"/>
                  </w:rPr>
                  <m:t>3</m:t>
                </m:r>
              </m:oMath>
            </m:oMathPara>
          </w:p>
        </w:tc>
      </w:tr>
    </w:tbl>
    <w:p w14:paraId="65F7C0AF" w14:textId="77777777" w:rsidR="00F927F8" w:rsidRDefault="00F927F8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</w:p>
    <w:p w14:paraId="6CA7DB6E" w14:textId="77777777" w:rsidR="00F927F8" w:rsidRDefault="00000000">
      <w:pPr>
        <w:pStyle w:val="af"/>
        <w:numPr>
          <w:ilvl w:val="0"/>
          <w:numId w:val="3"/>
        </w:num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ResNeXt-CBAM模型优化实验与有效性验证</w:t>
      </w:r>
    </w:p>
    <w:p w14:paraId="7E99ED57" w14:textId="77777777" w:rsidR="00F927F8" w:rsidRDefault="00000000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以下是ResNeXt-CBAM模型在50轮深度训练中的训练曲线与训练结果：</w:t>
      </w:r>
    </w:p>
    <w:p w14:paraId="00FDB962" w14:textId="0F08476F" w:rsidR="00E465A2" w:rsidRDefault="00E465A2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03E5C329" wp14:editId="4BA91FE7">
            <wp:extent cx="5264785" cy="2317750"/>
            <wp:effectExtent l="0" t="0" r="0" b="6350"/>
            <wp:docPr id="128812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DC8F" w14:textId="77777777" w:rsidR="00F927F8" w:rsidRDefault="00F927F8">
      <w:pPr>
        <w:pStyle w:val="af"/>
        <w:ind w:left="360"/>
        <w:jc w:val="left"/>
        <w:rPr>
          <w:rStyle w:val="ac"/>
          <w:rFonts w:hint="eastAsia"/>
          <w:b w:val="0"/>
          <w:bCs w:val="0"/>
        </w:rPr>
      </w:pPr>
    </w:p>
    <w:p w14:paraId="045C1718" w14:textId="77777777" w:rsidR="00F927F8" w:rsidRDefault="00000000">
      <w:pPr>
        <w:jc w:val="left"/>
        <w:rPr>
          <w:rStyle w:val="ac"/>
          <w:rFonts w:hint="eastAsia"/>
        </w:rPr>
      </w:pPr>
      <w:r>
        <w:rPr>
          <w:rStyle w:val="ac"/>
        </w:rPr>
        <w:t>（</w:t>
      </w:r>
      <w:r>
        <w:rPr>
          <w:rStyle w:val="ac"/>
          <w:rFonts w:hint="eastAsia"/>
        </w:rPr>
        <w:t>五</w:t>
      </w:r>
      <w:r>
        <w:rPr>
          <w:rStyle w:val="ac"/>
        </w:rPr>
        <w:t>）</w:t>
      </w:r>
      <w:r>
        <w:rPr>
          <w:rStyle w:val="ac"/>
          <w:rFonts w:hint="eastAsia"/>
        </w:rPr>
        <w:t>模型的扩展与应用</w:t>
      </w:r>
    </w:p>
    <w:p w14:paraId="5BEEAF96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为了使训练后的ResNeXt-CBAM能够在更为复杂的图像上同样表现优异，我们同时训练了一个YOLOv8-n模型，用于对图像中的番茄叶片目标进行检测。</w:t>
      </w:r>
    </w:p>
    <w:p w14:paraId="6ED2EC59" w14:textId="77777777" w:rsidR="00F927F8" w:rsidRDefault="00000000">
      <w:pPr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lastRenderedPageBreak/>
        <w:tab/>
      </w:r>
      <w:r>
        <w:rPr>
          <w:rStyle w:val="ac"/>
          <w:rFonts w:hint="eastAsia"/>
          <w:b w:val="0"/>
          <w:bCs w:val="0"/>
        </w:rPr>
        <w:t>YOLO是一种常用的图像目标检测模型架构，其基本工作原理是判断输入图像中是否存在目标对象，并使用矩形框紧确地框选出可能是目标的物体，并标注出该物体是目标的可能性。在本研究中，我们选择了1136张形态各异的番茄叶片图像，并手动框选出图像中的目标，并将图像与目标位置作为训练数据送入YOLOv8-n模型进行训练。在进行100轮训练之后，YOLOv8-n模型已经可以较为精确地框选出验证图像中的目标。下图展示了训练后的YOLO模型对一些验证图像中目标的检测情况：</w:t>
      </w:r>
    </w:p>
    <w:p w14:paraId="2CC210E3" w14:textId="77777777" w:rsidR="00F927F8" w:rsidRDefault="00000000">
      <w:pPr>
        <w:jc w:val="center"/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  <w:noProof/>
        </w:rPr>
        <w:drawing>
          <wp:inline distT="0" distB="0" distL="0" distR="0" wp14:anchorId="016B10DB" wp14:editId="0372412F">
            <wp:extent cx="3181350" cy="3181350"/>
            <wp:effectExtent l="0" t="0" r="0" b="0"/>
            <wp:docPr id="357904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415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617" cy="31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EA65D" w14:textId="77777777" w:rsidR="00F927F8" w:rsidRDefault="00000000">
      <w:pPr>
        <w:ind w:firstLine="360"/>
        <w:jc w:val="left"/>
        <w:rPr>
          <w:rStyle w:val="ac"/>
          <w:rFonts w:hint="eastAsia"/>
          <w:b w:val="0"/>
          <w:bCs w:val="0"/>
        </w:rPr>
      </w:pPr>
      <w:r>
        <w:rPr>
          <w:rStyle w:val="ac"/>
          <w:rFonts w:hint="eastAsia"/>
          <w:b w:val="0"/>
          <w:bCs w:val="0"/>
        </w:rPr>
        <w:t>通过ResNeXt-CBAM和YOLO模型的组合使用，研究得到的模型得以适用于更大的应用场景。以下是组合模型的基本工作原理图：</w:t>
      </w:r>
    </w:p>
    <w:p w14:paraId="491105B7" w14:textId="77777777" w:rsidR="00F927F8" w:rsidRDefault="00000000">
      <w:pPr>
        <w:pStyle w:val="af"/>
        <w:ind w:left="360"/>
        <w:jc w:val="center"/>
        <w:rPr>
          <w:rStyle w:val="ac"/>
          <w:rFonts w:hint="eastAsia"/>
          <w:b w:val="0"/>
          <w:bCs w:val="0"/>
          <w:color w:val="FF0000"/>
        </w:rPr>
      </w:pPr>
      <w:r>
        <w:rPr>
          <w:rStyle w:val="ac"/>
          <w:rFonts w:hint="eastAsia"/>
          <w:b w:val="0"/>
          <w:bCs w:val="0"/>
          <w:color w:val="FF0000"/>
        </w:rPr>
        <w:t>插入工作原理图，先不急</w:t>
      </w:r>
    </w:p>
    <w:p w14:paraId="2D1525B5" w14:textId="77777777" w:rsidR="00F927F8" w:rsidRDefault="00000000">
      <w:pPr>
        <w:rPr>
          <w:rStyle w:val="ac"/>
          <w:rFonts w:hint="eastAsia"/>
          <w:b w:val="0"/>
          <w:bCs w:val="0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使用YOLOv8-n识别待预测图像中的目标并将其裁剪，将裁剪后的对象再送进ResNeXt-CBAM模型进行预测，可以有效排除ResNeXt-CBAM模型因背景图像干扰造成的错误，提高了整个模型预测的鲁棒性，使得模型可以在更广泛的应用场景工作。</w:t>
      </w:r>
    </w:p>
    <w:p w14:paraId="1F545DA2" w14:textId="77777777" w:rsidR="00F927F8" w:rsidRDefault="00000000">
      <w:pPr>
        <w:rPr>
          <w:rFonts w:hint="eastAsia"/>
        </w:rPr>
      </w:pPr>
      <w:r>
        <w:rPr>
          <w:rStyle w:val="ac"/>
          <w:b w:val="0"/>
          <w:bCs w:val="0"/>
        </w:rPr>
        <w:tab/>
      </w:r>
      <w:r>
        <w:rPr>
          <w:rStyle w:val="ac"/>
          <w:rFonts w:hint="eastAsia"/>
          <w:b w:val="0"/>
          <w:bCs w:val="0"/>
        </w:rPr>
        <w:t>事实上，YOLOv8模型自身同时拥有目标检测和图像识别的功能，但我们并没有直接使用YOLOv8对图像进行种类预测，而是对图像识别进行单独建模，使目标检测与图像识别功能解耦，这是考虑到模型功能的可拓展性。想要训练性能优秀的YOLO模型，需要大量带有目标选框的、类型齐全的训练数据，这些数据往往只能由人工标注，这无疑会提高整个模型训练的成本。而若将两个功能独立建模，对于YOLO模型而言，就无需关注训练数据的类型是否齐全，而用于分类的ResNeXt-CBAM模型也无需关注目标选框。当模型功能需要扩展时，我们仅需搜集新类型的图片并送入ResNeXt-CBAM训练，无需再对其进行人工目标选框。综上所述，使用目标检测模型、图像识别模型组合模型再扩展性上更胜一筹。</w:t>
      </w:r>
    </w:p>
    <w:sectPr w:rsidR="00F92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F5410"/>
    <w:multiLevelType w:val="multilevel"/>
    <w:tmpl w:val="1BEF54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231CC5"/>
    <w:multiLevelType w:val="multilevel"/>
    <w:tmpl w:val="1C231C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7CA5091"/>
    <w:multiLevelType w:val="multilevel"/>
    <w:tmpl w:val="77CA5091"/>
    <w:lvl w:ilvl="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0" w:hanging="440"/>
      </w:pPr>
    </w:lvl>
    <w:lvl w:ilvl="2">
      <w:start w:val="1"/>
      <w:numFmt w:val="lowerRoman"/>
      <w:lvlText w:val="%3."/>
      <w:lvlJc w:val="right"/>
      <w:pPr>
        <w:ind w:left="1680" w:hanging="440"/>
      </w:pPr>
    </w:lvl>
    <w:lvl w:ilvl="3">
      <w:start w:val="1"/>
      <w:numFmt w:val="decimal"/>
      <w:lvlText w:val="%4."/>
      <w:lvlJc w:val="left"/>
      <w:pPr>
        <w:ind w:left="2120" w:hanging="440"/>
      </w:pPr>
    </w:lvl>
    <w:lvl w:ilvl="4">
      <w:start w:val="1"/>
      <w:numFmt w:val="lowerLetter"/>
      <w:lvlText w:val="%5)"/>
      <w:lvlJc w:val="left"/>
      <w:pPr>
        <w:ind w:left="2560" w:hanging="440"/>
      </w:pPr>
    </w:lvl>
    <w:lvl w:ilvl="5">
      <w:start w:val="1"/>
      <w:numFmt w:val="lowerRoman"/>
      <w:lvlText w:val="%6."/>
      <w:lvlJc w:val="right"/>
      <w:pPr>
        <w:ind w:left="3000" w:hanging="440"/>
      </w:pPr>
    </w:lvl>
    <w:lvl w:ilvl="6">
      <w:start w:val="1"/>
      <w:numFmt w:val="decimal"/>
      <w:lvlText w:val="%7."/>
      <w:lvlJc w:val="left"/>
      <w:pPr>
        <w:ind w:left="3440" w:hanging="440"/>
      </w:pPr>
    </w:lvl>
    <w:lvl w:ilvl="7">
      <w:start w:val="1"/>
      <w:numFmt w:val="lowerLetter"/>
      <w:lvlText w:val="%8)"/>
      <w:lvlJc w:val="left"/>
      <w:pPr>
        <w:ind w:left="3880" w:hanging="440"/>
      </w:pPr>
    </w:lvl>
    <w:lvl w:ilvl="8">
      <w:start w:val="1"/>
      <w:numFmt w:val="lowerRoman"/>
      <w:lvlText w:val="%9."/>
      <w:lvlJc w:val="right"/>
      <w:pPr>
        <w:ind w:left="4320" w:hanging="440"/>
      </w:pPr>
    </w:lvl>
  </w:abstractNum>
  <w:num w:numId="1" w16cid:durableId="1306856123">
    <w:abstractNumId w:val="0"/>
  </w:num>
  <w:num w:numId="2" w16cid:durableId="1587762763">
    <w:abstractNumId w:val="2"/>
  </w:num>
  <w:num w:numId="3" w16cid:durableId="797989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E03"/>
    <w:rsid w:val="000259BB"/>
    <w:rsid w:val="000B15CD"/>
    <w:rsid w:val="000B487C"/>
    <w:rsid w:val="000C017A"/>
    <w:rsid w:val="000E1AD2"/>
    <w:rsid w:val="000E4329"/>
    <w:rsid w:val="000F76E8"/>
    <w:rsid w:val="001A0B27"/>
    <w:rsid w:val="001A1B7A"/>
    <w:rsid w:val="001E2105"/>
    <w:rsid w:val="001F0F96"/>
    <w:rsid w:val="001F294D"/>
    <w:rsid w:val="00213FF6"/>
    <w:rsid w:val="00267959"/>
    <w:rsid w:val="00270AAD"/>
    <w:rsid w:val="00286FFB"/>
    <w:rsid w:val="002D2B12"/>
    <w:rsid w:val="002D6B5A"/>
    <w:rsid w:val="002E6537"/>
    <w:rsid w:val="00302F9F"/>
    <w:rsid w:val="0031413E"/>
    <w:rsid w:val="00324297"/>
    <w:rsid w:val="003622F8"/>
    <w:rsid w:val="003C0461"/>
    <w:rsid w:val="003C695C"/>
    <w:rsid w:val="003D331E"/>
    <w:rsid w:val="003E779F"/>
    <w:rsid w:val="0040351F"/>
    <w:rsid w:val="004427C6"/>
    <w:rsid w:val="00492342"/>
    <w:rsid w:val="004D0214"/>
    <w:rsid w:val="00525C25"/>
    <w:rsid w:val="005414DB"/>
    <w:rsid w:val="00544C38"/>
    <w:rsid w:val="005F3E6D"/>
    <w:rsid w:val="00600E03"/>
    <w:rsid w:val="00601C22"/>
    <w:rsid w:val="0064492D"/>
    <w:rsid w:val="00656B86"/>
    <w:rsid w:val="006928B9"/>
    <w:rsid w:val="0070123E"/>
    <w:rsid w:val="007068E6"/>
    <w:rsid w:val="00720795"/>
    <w:rsid w:val="00721109"/>
    <w:rsid w:val="0076607E"/>
    <w:rsid w:val="007662D7"/>
    <w:rsid w:val="00772F19"/>
    <w:rsid w:val="0078210E"/>
    <w:rsid w:val="007B3234"/>
    <w:rsid w:val="007C10E3"/>
    <w:rsid w:val="007D6C76"/>
    <w:rsid w:val="007E12A0"/>
    <w:rsid w:val="00850E20"/>
    <w:rsid w:val="00855280"/>
    <w:rsid w:val="00861EF3"/>
    <w:rsid w:val="0095680B"/>
    <w:rsid w:val="00963473"/>
    <w:rsid w:val="00994EB1"/>
    <w:rsid w:val="009A6399"/>
    <w:rsid w:val="009A6B5E"/>
    <w:rsid w:val="009B63FF"/>
    <w:rsid w:val="009C31A9"/>
    <w:rsid w:val="009F1947"/>
    <w:rsid w:val="00A07472"/>
    <w:rsid w:val="00A26927"/>
    <w:rsid w:val="00A80FF4"/>
    <w:rsid w:val="00A97247"/>
    <w:rsid w:val="00AF129F"/>
    <w:rsid w:val="00B036C2"/>
    <w:rsid w:val="00B7740F"/>
    <w:rsid w:val="00B82CE9"/>
    <w:rsid w:val="00B94FFF"/>
    <w:rsid w:val="00BA2055"/>
    <w:rsid w:val="00BC2373"/>
    <w:rsid w:val="00C27D23"/>
    <w:rsid w:val="00C507DC"/>
    <w:rsid w:val="00C66D3A"/>
    <w:rsid w:val="00C93075"/>
    <w:rsid w:val="00CC2143"/>
    <w:rsid w:val="00D15BCD"/>
    <w:rsid w:val="00D54462"/>
    <w:rsid w:val="00D54DF5"/>
    <w:rsid w:val="00D84707"/>
    <w:rsid w:val="00D86B4D"/>
    <w:rsid w:val="00E465A2"/>
    <w:rsid w:val="00E8657B"/>
    <w:rsid w:val="00E908ED"/>
    <w:rsid w:val="00F1380E"/>
    <w:rsid w:val="00F165F9"/>
    <w:rsid w:val="00F73A3C"/>
    <w:rsid w:val="00F927F8"/>
    <w:rsid w:val="00FA04EE"/>
    <w:rsid w:val="09792577"/>
    <w:rsid w:val="4CD74E85"/>
    <w:rsid w:val="7CB0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866E5"/>
  <w15:docId w15:val="{C3DFC0F1-DD3E-4236-97C3-E3E1F9149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a">
    <w:name w:val="Title"/>
    <w:basedOn w:val="a"/>
    <w:next w:val="a"/>
    <w:link w:val="ab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d">
    <w:name w:val="Quote"/>
    <w:basedOn w:val="a"/>
    <w:next w:val="a"/>
    <w:link w:val="ae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Pr>
      <w:i/>
      <w:iCs/>
      <w:color w:val="404040" w:themeColor="text1" w:themeTint="BF"/>
    </w:rPr>
  </w:style>
  <w:style w:type="paragraph" w:styleId="af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f0">
    <w:name w:val="Intense Quote"/>
    <w:basedOn w:val="a"/>
    <w:next w:val="a"/>
    <w:link w:val="af1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明显引用 字符"/>
    <w:basedOn w:val="a0"/>
    <w:link w:val="af0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af2">
    <w:name w:val="Placeholder Text"/>
    <w:basedOn w:val="a0"/>
    <w:uiPriority w:val="99"/>
    <w:semiHidden/>
    <w:qFormat/>
    <w:rPr>
      <w:color w:val="666666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Courier New" w:hAnsi="Courier New" w:cs="Courier New"/>
      <w:sz w:val="20"/>
      <w:szCs w:val="20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table" w:customStyle="1" w:styleId="13">
    <w:name w:val="样式1"/>
    <w:basedOn w:val="a1"/>
    <w:uiPriority w:val="99"/>
    <w:qFormat/>
    <w:rPr>
      <w:rFonts w:eastAsia="Times New Roman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928</Words>
  <Characters>5295</Characters>
  <Application>Microsoft Office Word</Application>
  <DocSecurity>0</DocSecurity>
  <Lines>44</Lines>
  <Paragraphs>12</Paragraphs>
  <ScaleCrop>false</ScaleCrop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Quasar</dc:creator>
  <cp:lastModifiedBy>Adam Quasar</cp:lastModifiedBy>
  <cp:revision>57</cp:revision>
  <dcterms:created xsi:type="dcterms:W3CDTF">2025-04-11T15:49:00Z</dcterms:created>
  <dcterms:modified xsi:type="dcterms:W3CDTF">2025-04-15T08:14:00Z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eyJoZGlkIjoiMDkwZTM2YjIyMGRjNzI5ZDZhZDYzOGJmZGFkZmRjMzAiLCJ1c2VySWQiOiIxNTA5NjUzMDYyIn0=</vt:lpwstr>
  </property>
  <property fmtid="{D5CDD505-2E9C-101B-9397-08002B2CF9AE}" pid="3" name="KSOProductBuildVer">
    <vt:lpwstr>2052-12.1.0.20784</vt:lpwstr>
  </property>
  <property fmtid="{D5CDD505-2E9C-101B-9397-08002B2CF9AE}" pid="4" name="ICV">
    <vt:lpwstr>15210CAAABB04504A43289272900CAA2_12</vt:lpwstr>
  </property>
</Properties>
</file>