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D1B2A" w:val="clear"/>
        <w:spacing w:after="0" w:before="0"/>
      </w:pPr>
    </w:p>
    <w:p>
      <w:pPr>
        <w:shd w:fill="0D1B2A" w:val="clear"/>
        <w:spacing w:after="80" w:before="800"/>
        <w:jc w:val="center"/>
      </w:pPr>
      <w:r>
        <w:rPr>
          <w:rFonts w:ascii="Arial" w:cs="Arial" w:eastAsia="Arial" w:hAnsi="Arial"/>
          <w:b/>
          <w:bCs/>
          <w:color w:val="FFFFFF"/>
          <w:sz w:val="72"/>
          <w:szCs w:val="72"/>
        </w:rPr>
        <w:t xml:space="preserve">QASSANDRA PROTOCOL</w:t>
      </w:r>
    </w:p>
    <w:p>
      <w:pPr>
        <w:shd w:fill="0D1B2A" w:val="clear"/>
        <w:spacing w:after="0" w:before="0"/>
        <w:jc w:val="center"/>
      </w:pPr>
      <w:r>
        <w:rPr>
          <w:rFonts w:ascii="Arial" w:cs="Arial" w:eastAsia="Arial" w:hAnsi="Arial"/>
          <w:color w:val="EAF2FB"/>
          <w:sz w:val="32"/>
          <w:szCs w:val="32"/>
        </w:rPr>
        <w:t xml:space="preserve">QUBIC-Native Forecasting &amp; Oracle Settlement Infrastructure</w:t>
      </w:r>
    </w:p>
    <w:p>
      <w:pPr>
        <w:shd w:fill="0D1B2A" w:val="clear"/>
        <w:spacing w:after="140" w:before="0"/>
        <w:jc w:val="center"/>
      </w:pPr>
      <w:r>
        <w:rPr>
          <w:rFonts w:ascii="Arial" w:cs="Arial" w:eastAsia="Arial" w:hAnsi="Arial"/>
          <w:color w:val="EAF2FB"/>
          <w:sz w:val="32"/>
          <w:szCs w:val="32"/>
        </w:rPr>
        <w:t xml:space="preserve">for Agent-Readable Markets</w:t>
      </w:r>
    </w:p>
    <w:p>
      <w:pPr>
        <w:shd w:fill="0D1B2A" w:val="clear"/>
        <w:spacing w:after="900" w:before="0"/>
        <w:jc w:val="center"/>
      </w:pPr>
      <w:r>
        <w:rPr>
          <w:rFonts w:ascii="Arial" w:cs="Arial" w:eastAsia="Arial" w:hAnsi="Arial"/>
          <w:i/>
          <w:iCs/>
          <w:color w:val="6B7C8F"/>
          <w:sz w:val="22"/>
          <w:szCs w:val="22"/>
        </w:rPr>
        <w:t xml:space="preserve">Public Release Draft  —  v0 Foundation &amp; V1 Roadmap</w:t>
      </w:r>
    </w:p>
    <w:p>
      <w:r>
        <w:br w:type="page"/>
      </w:r>
    </w:p>
    <w:p>
      <w:pPr>
        <w:pStyle w:val="Heading1"/>
        <w:shd w:fill="1A3A5C" w:val="clear"/>
        <w:spacing w:after="200" w:before="440"/>
        <w:ind w:left="200" w:right="200"/>
      </w:pPr>
      <w:r>
        <w:rPr>
          <w:rFonts w:ascii="Arial" w:cs="Arial" w:eastAsia="Arial" w:hAnsi="Arial"/>
          <w:b/>
          <w:bCs/>
          <w:color w:val="FFFFFF"/>
          <w:sz w:val="36"/>
          <w:szCs w:val="36"/>
        </w:rPr>
        <w:t xml:space="preserve">Abstract</w:t>
      </w:r>
    </w:p>
    <w:p>
      <w:pPr>
        <w:spacing w:after="120" w:before="0"/>
      </w:pPr>
      <w:r>
        <w:t xml:space="preserve"/>
      </w:r>
    </w:p>
    <w:p>
      <w:pPr>
        <w:spacing w:after="140" w:before="0"/>
        <w:jc w:val="both"/>
      </w:pPr>
      <w:r>
        <w:rPr>
          <w:rFonts w:ascii="Arial" w:cs="Arial" w:eastAsia="Arial" w:hAnsi="Arial"/>
          <w:i w:val="false"/>
          <w:iCs w:val="false"/>
          <w:color w:val="1A1A2E"/>
          <w:sz w:val="22"/>
          <w:szCs w:val="22"/>
        </w:rPr>
        <w:t xml:space="preserve">Qassandra is a QUBIC-native forecasting and oracle-settlement protocol that makes future-event markets, price-signal markets, and outcome verification usable by humans, applications, and autonomous agents.</w:t>
      </w:r>
    </w:p>
    <w:p>
      <w:pPr>
        <w:spacing w:after="140" w:before="0"/>
        <w:jc w:val="both"/>
      </w:pPr>
      <w:r>
        <w:rPr>
          <w:rFonts w:ascii="Arial" w:cs="Arial" w:eastAsia="Arial" w:hAnsi="Arial"/>
          <w:i w:val="false"/>
          <w:iCs w:val="false"/>
          <w:color w:val="1A1A2E"/>
          <w:sz w:val="22"/>
          <w:szCs w:val="22"/>
        </w:rPr>
        <w:t xml:space="preserve">Qassandra is designed around Qubic’s native smart contract architecture—not an EVM gas model. Contracts execute through Qubic’s Computor-secured consensus engine. Participants transfer $QUBIC into Qassandra contract-controlled market balances through function calls that may include non-zero $QUBIC amounts. After transfer, Qassandra tracks balances, positions, deductions, settlement eligibility, burn allocations, and protocol rewards through its internal ledger. This is not gas.</w:t>
      </w:r>
    </w:p>
    <w:p>
      <w:pPr>
        <w:spacing w:after="140" w:before="0"/>
        <w:jc w:val="both"/>
      </w:pPr>
      <w:r>
        <w:rPr>
          <w:rFonts w:ascii="Arial" w:cs="Arial" w:eastAsia="Arial" w:hAnsi="Arial"/>
          <w:i w:val="false"/>
          <w:iCs w:val="false"/>
          <w:color w:val="1A1A2E"/>
          <w:sz w:val="22"/>
          <w:szCs w:val="22"/>
        </w:rPr>
        <w:t xml:space="preserve">$QUBIC is the exclusive economic rail of Qassandra. Every market balance, settlement flow, oracle-resolution allocation, dispute bond, keeper reward, resolver reward, and agent-access charge is denominated in $QUBIC.</w:t>
      </w:r>
    </w:p>
    <w:p>
      <w:pPr>
        <w:spacing w:after="140" w:before="0"/>
        <w:jc w:val="both"/>
      </w:pPr>
      <w:r>
        <w:rPr>
          <w:rFonts w:ascii="Arial" w:cs="Arial" w:eastAsia="Arial" w:hAnsi="Arial"/>
          <w:i w:val="false"/>
          <w:iCs w:val="false"/>
          <w:color w:val="1A1A2E"/>
          <w:sz w:val="22"/>
          <w:szCs w:val="22"/>
        </w:rPr>
        <w:t xml:space="preserve">Qassandra’s core purpose is to organize market context into compact, verifiable, machine-readable structures resolved through Qubic-native oracle mechanics and settled through deterministic on-chain state.</w:t>
      </w:r>
    </w:p>
    <w:p>
      <w:pPr>
        <w:spacing w:after="140" w:before="0"/>
        <w:jc w:val="both"/>
      </w:pPr>
      <w:r>
        <w:rPr>
          <w:rFonts w:ascii="Arial" w:cs="Arial" w:eastAsia="Arial" w:hAnsi="Arial"/>
          <w:i w:val="false"/>
          <w:iCs w:val="false"/>
          <w:color w:val="1A1A2E"/>
          <w:sz w:val="22"/>
          <w:szCs w:val="22"/>
        </w:rPr>
        <w:t xml:space="preserve">Qassandra is built in two layers. v0 targets the minimal QUBIC-native smart contract foundation: identity, versioning, execution sustainability, and the three-lane oracle taxonomy as committed metadata. V1 extends this foundation with CCIP-ready interoperability—bounded external-message adapters, canonical market metadata, cross-chain proof hooks, and deterministic replay protection—while preserving QUBIC-only settlement and avoiding unbounded state growth.</w:t>
      </w:r>
    </w:p>
    <w:p>
      <w:pPr>
        <w:spacing w:after="140" w:before="0"/>
        <w:jc w:val="both"/>
      </w:pPr>
      <w:r>
        <w:rPr>
          <w:rFonts w:ascii="Arial" w:cs="Arial" w:eastAsia="Arial" w:hAnsi="Arial"/>
          <w:i w:val="false"/>
          <w:iCs w:val="false"/>
          <w:color w:val="1A1A2E"/>
          <w:sz w:val="22"/>
          <w:szCs w:val="22"/>
        </w:rPr>
        <w:t xml:space="preserve">Qassandra is designed to fail locally, never systemically. Every failure state—failed markets, oracle query failures, dispute failures, keeper failures, agent failures, and settlement failures—must remain bounded within Qassandra’s own contract state and market-resolution logic. They must not propagate into Qubic network liveness or Computor consensus execution.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6EA4" w:sz="4"/>
              <w:left w:val="single" w:color="1C6EA4" w:sz="8"/>
              <w:bottom w:val="single" w:color="CCCCCC" w:sz="1"/>
              <w:right w:val="none" w:color="FFFFFF" w:sz="0"/>
            </w:tcBorders>
            <w:shd w:fill="EAF2FB" w:val="clear"/>
            <w:tcMar>
              <w:top w:type="dxa" w:w="120"/>
              <w:left w:type="dxa" w:w="200"/>
              <w:bottom w:type="dxa" w:w="120"/>
              <w:right w:type="dxa" w:w="200"/>
            </w:tcMar>
          </w:tcPr>
          <w:p>
            <w:pPr>
              <w:spacing w:after="80" w:before="60"/>
            </w:pPr>
            <w:r>
              <w:rPr>
                <w:rFonts w:ascii="Arial" w:cs="Arial" w:eastAsia="Arial" w:hAnsi="Arial"/>
                <w:b/>
                <w:bCs/>
                <w:color w:val="1A3A5C"/>
                <w:sz w:val="22"/>
                <w:szCs w:val="22"/>
              </w:rPr>
              <w:t xml:space="preserve">QDRA Alignment Note</w:t>
            </w:r>
          </w:p>
          <w:p>
            <w:pPr>
              <w:pStyle w:val="ListParagraph"/>
              <w:numPr>
                <w:ilvl w:val="0"/>
                <w:numId w:val="2"/>
              </w:numPr>
              <w:spacing w:after="40" w:before="20"/>
            </w:pPr>
            <w:r>
              <w:rPr>
                <w:rFonts w:ascii="Arial" w:cs="Arial" w:eastAsia="Arial" w:hAnsi="Arial"/>
                <w:color w:val="1A1A2E"/>
                <w:sz w:val="20"/>
                <w:szCs w:val="20"/>
              </w:rPr>
              <w:t xml:space="preserve">$QDRA may serve as Qassandra’s protocol-alignment and participation asset.</w:t>
            </w:r>
          </w:p>
          <w:p>
            <w:pPr>
              <w:pStyle w:val="ListParagraph"/>
              <w:numPr>
                <w:ilvl w:val="0"/>
                <w:numId w:val="2"/>
              </w:numPr>
              <w:spacing w:after="40" w:before="20"/>
            </w:pPr>
            <w:r>
              <w:rPr>
                <w:rFonts w:ascii="Arial" w:cs="Arial" w:eastAsia="Arial" w:hAnsi="Arial"/>
                <w:color w:val="1A1A2E"/>
                <w:sz w:val="20"/>
                <w:szCs w:val="20"/>
              </w:rPr>
              <w:t xml:space="preserve">Subject to governance, technical implementation, and applicable legal review, eligible QDRA-aligned participants may receive $QUBIC-denominated protocol rewards derived from Qassandra ecosystem activity.</w:t>
            </w:r>
          </w:p>
          <w:p>
            <w:pPr>
              <w:pStyle w:val="ListParagraph"/>
              <w:numPr>
                <w:ilvl w:val="0"/>
                <w:numId w:val="2"/>
              </w:numPr>
              <w:spacing w:after="40" w:before="20"/>
            </w:pPr>
            <w:r>
              <w:rPr>
                <w:rFonts w:ascii="Arial" w:cs="Arial" w:eastAsia="Arial" w:hAnsi="Arial"/>
                <w:color w:val="1A1A2E"/>
                <w:sz w:val="20"/>
                <w:szCs w:val="20"/>
              </w:rPr>
              <w:t xml:space="preserve">This mechanism is described fully in Section 11 and should not lead the initial protocol pitch.</w:t>
            </w:r>
          </w:p>
          <w:p>
            <w:pPr>
              <w:spacing w:after="80" w:before="0"/>
            </w:pPr>
            <w:r>
              <w:t xml:space="preserve"/>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60C" w:sz="4"/>
              <w:left w:val="single" w:color="C8960C" w:sz="8"/>
              <w:bottom w:val="single" w:color="CCCCCC" w:sz="1"/>
              <w:right w:val="none" w:color="FFFFFF" w:sz="0"/>
            </w:tcBorders>
            <w:shd w:fill="FFF8E7" w:val="clear"/>
            <w:tcMar>
              <w:top w:type="dxa" w:w="120"/>
              <w:left w:type="dxa" w:w="200"/>
              <w:bottom w:type="dxa" w:w="120"/>
              <w:right w:type="dxa" w:w="200"/>
            </w:tcMar>
          </w:tcPr>
          <w:p>
            <w:pPr>
              <w:spacing w:after="80" w:before="60"/>
            </w:pPr>
            <w:r>
              <w:rPr>
                <w:rFonts w:ascii="Arial" w:cs="Arial" w:eastAsia="Arial" w:hAnsi="Arial"/>
                <w:b/>
                <w:bCs/>
                <w:color w:val="C8960C"/>
                <w:sz w:val="22"/>
                <w:szCs w:val="22"/>
              </w:rPr>
              <w:t xml:space="preserve">Implementation Status Note</w:t>
            </w:r>
          </w:p>
          <w:p>
            <w:pPr>
              <w:pStyle w:val="ListParagraph"/>
              <w:numPr>
                <w:ilvl w:val="0"/>
                <w:numId w:val="2"/>
              </w:numPr>
              <w:spacing w:after="40" w:before="20"/>
            </w:pPr>
            <w:r>
              <w:rPr>
                <w:rFonts w:ascii="Arial" w:cs="Arial" w:eastAsia="Arial" w:hAnsi="Arial"/>
                <w:color w:val="1A1A2E"/>
                <w:sz w:val="20"/>
                <w:szCs w:val="20"/>
              </w:rPr>
              <w:t xml:space="preserve">This document describes Qassandra’s target architecture and phased implementation plan.</w:t>
            </w:r>
          </w:p>
          <w:p>
            <w:pPr>
              <w:pStyle w:val="ListParagraph"/>
              <w:numPr>
                <w:ilvl w:val="0"/>
                <w:numId w:val="2"/>
              </w:numPr>
              <w:spacing w:after="40" w:before="20"/>
            </w:pPr>
            <w:r>
              <w:rPr>
                <w:rFonts w:ascii="Arial" w:cs="Arial" w:eastAsia="Arial" w:hAnsi="Arial"/>
                <w:color w:val="1A1A2E"/>
                <w:sz w:val="20"/>
                <w:szCs w:val="20"/>
              </w:rPr>
              <w:t xml:space="preserve">v0 establishes the initial Qubic smart-contract foundation.</w:t>
            </w:r>
          </w:p>
          <w:p>
            <w:pPr>
              <w:pStyle w:val="ListParagraph"/>
              <w:numPr>
                <w:ilvl w:val="0"/>
                <w:numId w:val="2"/>
              </w:numPr>
              <w:spacing w:after="40" w:before="20"/>
            </w:pPr>
            <w:r>
              <w:rPr>
                <w:rFonts w:ascii="Arial" w:cs="Arial" w:eastAsia="Arial" w:hAnsi="Arial"/>
                <w:color w:val="1A1A2E"/>
                <w:sz w:val="20"/>
                <w:szCs w:val="20"/>
              </w:rPr>
              <w:t xml:space="preserve">V1 introduces CCIP-ready metadata, adapter boundaries, proof hooks, and replay-protection structures.</w:t>
            </w:r>
          </w:p>
          <w:p>
            <w:pPr>
              <w:pStyle w:val="ListParagraph"/>
              <w:numPr>
                <w:ilvl w:val="0"/>
                <w:numId w:val="2"/>
              </w:numPr>
              <w:spacing w:after="40" w:before="20"/>
            </w:pPr>
            <w:r>
              <w:rPr>
                <w:rFonts w:ascii="Arial" w:cs="Arial" w:eastAsia="Arial" w:hAnsi="Arial"/>
                <w:color w:val="1A1A2E"/>
                <w:sz w:val="20"/>
                <w:szCs w:val="20"/>
              </w:rPr>
              <w:t xml:space="preserve">Oracle integration, risk governance, agent indexers, and QDRA-aligned reward mechanics are phased components and should not be interpreted as fully active until implemented, reviewed, and deployed.</w:t>
            </w:r>
          </w:p>
          <w:p>
            <w:pPr>
              <w:spacing w:after="80" w:before="0"/>
            </w:pPr>
            <w:r>
              <w:t xml:space="preserve"/>
            </w:r>
          </w:p>
        </w:tc>
      </w:tr>
    </w:tbl>
    <w:p>
      <w:pPr>
        <w:spacing w:after="200" w:before="0"/>
      </w:pPr>
      <w:r>
        <w:t xml:space="preserve"/>
      </w:r>
    </w:p>
    <w:p>
      <w:r>
        <w:br w:type="page"/>
      </w:r>
    </w:p>
    <w:p>
      <w:pPr>
        <w:pStyle w:val="Heading1"/>
        <w:shd w:fill="1A3A5C" w:val="clear"/>
        <w:spacing w:after="200" w:before="440"/>
        <w:ind w:left="200" w:right="200"/>
      </w:pPr>
      <w:r>
        <w:rPr>
          <w:rFonts w:ascii="Arial" w:cs="Arial" w:eastAsia="Arial" w:hAnsi="Arial"/>
          <w:b/>
          <w:bCs/>
          <w:color w:val="FFFFFF"/>
          <w:sz w:val="36"/>
          <w:szCs w:val="36"/>
        </w:rPr>
        <w:t xml:space="preserve">1. Introduction</w:t>
      </w:r>
    </w:p>
    <w:p>
      <w:pPr>
        <w:spacing w:after="80" w:before="0"/>
      </w:pPr>
      <w:r>
        <w:t xml:space="preserve"/>
      </w:r>
    </w:p>
    <w:p>
      <w:pPr>
        <w:spacing w:after="140" w:before="0"/>
        <w:jc w:val="both"/>
      </w:pPr>
      <w:r>
        <w:rPr>
          <w:rFonts w:ascii="Arial" w:cs="Arial" w:eastAsia="Arial" w:hAnsi="Arial"/>
          <w:i w:val="false"/>
          <w:iCs w:val="false"/>
          <w:color w:val="1A1A2E"/>
          <w:sz w:val="22"/>
          <w:szCs w:val="22"/>
        </w:rPr>
        <w:t xml:space="preserve">Forecasting markets turn uncertainty into price. Oracles turn external reality into settlement. Agents turn structured market data into continuous, actionable intelligence.</w:t>
      </w:r>
    </w:p>
    <w:p>
      <w:pPr>
        <w:spacing w:after="140" w:before="0"/>
        <w:jc w:val="both"/>
      </w:pPr>
      <w:r>
        <w:rPr>
          <w:rFonts w:ascii="Arial" w:cs="Arial" w:eastAsia="Arial" w:hAnsi="Arial"/>
          <w:i w:val="false"/>
          <w:iCs w:val="false"/>
          <w:color w:val="1A1A2E"/>
          <w:sz w:val="22"/>
          <w:szCs w:val="22"/>
        </w:rPr>
        <w:t xml:space="preserve">Qassandra connects these three functions inside Qubic’s native execution layer—not as a front-end application, but as infrastructure: a market-context and oracle-settlement layer for forecast markets.</w:t>
      </w:r>
    </w:p>
    <w:p>
      <w:pPr>
        <w:spacing w:after="80" w:before="0"/>
      </w:pPr>
      <w:r>
        <w:t xml:space="preserve"/>
      </w:r>
    </w:p>
    <w:p>
      <w:pPr>
        <w:pStyle w:val="Heading3"/>
        <w:spacing w:after="80" w:before="240"/>
      </w:pPr>
      <w:r>
        <w:rPr>
          <w:rFonts w:ascii="Arial" w:cs="Arial" w:eastAsia="Arial" w:hAnsi="Arial"/>
          <w:b/>
          <w:bCs/>
          <w:color w:val="1C6EA4"/>
          <w:sz w:val="24"/>
          <w:szCs w:val="24"/>
        </w:rPr>
        <w:t xml:space="preserve">Guiding Design Principles</w:t>
      </w:r>
    </w:p>
    <w:p>
      <w:pPr>
        <w:pStyle w:val="ListParagraph"/>
        <w:numPr>
          <w:ilvl w:val="0"/>
          <w:numId w:val="2"/>
        </w:numPr>
        <w:spacing w:after="80" w:before="40"/>
      </w:pPr>
      <w:r>
        <w:rPr>
          <w:rFonts w:ascii="Arial" w:cs="Arial" w:eastAsia="Arial" w:hAnsi="Arial"/>
          <w:color w:val="1A1A2E"/>
          <w:sz w:val="22"/>
          <w:szCs w:val="22"/>
        </w:rPr>
        <w:t xml:space="preserve">Qassandra must strengthen Qubic’s native economy. Settlement, rewards, oracle-resolution allocation, and agent-access value must not route into a separate asset. $QUBIC is the singular economic rail from market creation through final payout.</w:t>
      </w:r>
    </w:p>
    <w:p>
      <w:pPr>
        <w:pStyle w:val="ListParagraph"/>
        <w:numPr>
          <w:ilvl w:val="0"/>
          <w:numId w:val="2"/>
        </w:numPr>
        <w:spacing w:after="80" w:before="40"/>
      </w:pPr>
      <w:r>
        <w:rPr>
          <w:rFonts w:ascii="Arial" w:cs="Arial" w:eastAsia="Arial" w:hAnsi="Arial"/>
          <w:color w:val="1A1A2E"/>
          <w:sz w:val="22"/>
          <w:szCs w:val="22"/>
        </w:rPr>
        <w:t xml:space="preserve">Qassandra must fail locally, never systemically. Every action—market creation, oracle query, keeper action, dispute, agent access, settlement—must be a small, bounded, deterministic operation. Failures must not propagate beyond the affected market’s own state.</w:t>
      </w:r>
    </w:p>
    <w:p>
      <w:pPr>
        <w:pStyle w:val="ListParagraph"/>
        <w:numPr>
          <w:ilvl w:val="0"/>
          <w:numId w:val="2"/>
        </w:numPr>
        <w:spacing w:after="80" w:before="40"/>
      </w:pPr>
      <w:r>
        <w:rPr>
          <w:rFonts w:ascii="Arial" w:cs="Arial" w:eastAsia="Arial" w:hAnsi="Arial"/>
          <w:color w:val="1A1A2E"/>
          <w:sz w:val="22"/>
          <w:szCs w:val="22"/>
        </w:rPr>
        <w:t xml:space="preserve">Qassandra must scale through many small, bounded, deterministic actions—not through monolithic state or shared global execution paths.</w:t>
      </w:r>
    </w:p>
    <w:p>
      <w:pPr>
        <w:spacing w:after="80" w:before="0"/>
      </w:pPr>
      <w:r>
        <w:t xml:space="preserve"/>
      </w:r>
    </w:p>
    <w:p>
      <w:pPr>
        <w:pStyle w:val="Heading3"/>
        <w:spacing w:after="80" w:before="240"/>
      </w:pPr>
      <w:r>
        <w:rPr>
          <w:rFonts w:ascii="Arial" w:cs="Arial" w:eastAsia="Arial" w:hAnsi="Arial"/>
          <w:b/>
          <w:bCs/>
          <w:color w:val="1C6EA4"/>
          <w:sz w:val="24"/>
          <w:szCs w:val="24"/>
        </w:rPr>
        <w:t xml:space="preserve">What Qassandra Is Designed To Be</w:t>
      </w:r>
    </w:p>
    <w:p>
      <w:pPr>
        <w:pStyle w:val="ListParagraph"/>
        <w:numPr>
          <w:ilvl w:val="0"/>
          <w:numId w:val="2"/>
        </w:numPr>
        <w:spacing w:after="80" w:before="40"/>
      </w:pPr>
      <w:r>
        <w:rPr>
          <w:rFonts w:ascii="Arial" w:cs="Arial" w:eastAsia="Arial" w:hAnsi="Arial"/>
          <w:color w:val="1A1A2E"/>
          <w:sz w:val="22"/>
          <w:szCs w:val="22"/>
        </w:rPr>
        <w:t xml:space="preserve">QUBIC-native in architecture, economics, and execution</w:t>
      </w:r>
    </w:p>
    <w:p>
      <w:pPr>
        <w:pStyle w:val="ListParagraph"/>
        <w:numPr>
          <w:ilvl w:val="0"/>
          <w:numId w:val="2"/>
        </w:numPr>
        <w:spacing w:after="80" w:before="40"/>
      </w:pPr>
      <w:r>
        <w:rPr>
          <w:rFonts w:ascii="Arial" w:cs="Arial" w:eastAsia="Arial" w:hAnsi="Arial"/>
          <w:color w:val="1A1A2E"/>
          <w:sz w:val="22"/>
          <w:szCs w:val="22"/>
        </w:rPr>
        <w:t xml:space="preserve">Designed to integrate with Qubic-native oracle mechanics (target architecture; subject to implementation)</w:t>
      </w:r>
    </w:p>
    <w:p>
      <w:pPr>
        <w:pStyle w:val="ListParagraph"/>
        <w:numPr>
          <w:ilvl w:val="0"/>
          <w:numId w:val="2"/>
        </w:numPr>
        <w:spacing w:after="80" w:before="40"/>
      </w:pPr>
      <w:r>
        <w:rPr>
          <w:rFonts w:ascii="Arial" w:cs="Arial" w:eastAsia="Arial" w:hAnsi="Arial"/>
          <w:color w:val="1A1A2E"/>
          <w:sz w:val="22"/>
          <w:szCs w:val="22"/>
        </w:rPr>
        <w:t xml:space="preserve">Compact enough for bare-metal smart contract execution on Computor hardware</w:t>
      </w:r>
    </w:p>
    <w:p>
      <w:pPr>
        <w:pStyle w:val="ListParagraph"/>
        <w:numPr>
          <w:ilvl w:val="0"/>
          <w:numId w:val="2"/>
        </w:numPr>
        <w:spacing w:after="80" w:before="40"/>
      </w:pPr>
      <w:r>
        <w:rPr>
          <w:rFonts w:ascii="Arial" w:cs="Arial" w:eastAsia="Arial" w:hAnsi="Arial"/>
          <w:color w:val="1A1A2E"/>
          <w:sz w:val="22"/>
          <w:szCs w:val="22"/>
        </w:rPr>
        <w:t xml:space="preserve">Readable by both humans and autonomous agents via a hybrid on-chain/off-chain context architecture</w:t>
      </w:r>
    </w:p>
    <w:p>
      <w:pPr>
        <w:pStyle w:val="ListParagraph"/>
        <w:numPr>
          <w:ilvl w:val="0"/>
          <w:numId w:val="2"/>
        </w:numPr>
        <w:spacing w:after="80" w:before="40"/>
      </w:pPr>
      <w:r>
        <w:rPr>
          <w:rFonts w:ascii="Arial" w:cs="Arial" w:eastAsia="Arial" w:hAnsi="Arial"/>
          <w:color w:val="1A1A2E"/>
          <w:sz w:val="22"/>
          <w:szCs w:val="22"/>
        </w:rPr>
        <w:t xml:space="preserve">Economically aligned with Qubic’s native execution and burn-aligned mechanics</w:t>
      </w:r>
    </w:p>
    <w:p>
      <w:pPr>
        <w:pStyle w:val="ListParagraph"/>
        <w:numPr>
          <w:ilvl w:val="0"/>
          <w:numId w:val="2"/>
        </w:numPr>
        <w:spacing w:after="80" w:before="40"/>
      </w:pPr>
      <w:r>
        <w:rPr>
          <w:rFonts w:ascii="Arial" w:cs="Arial" w:eastAsia="Arial" w:hAnsi="Arial"/>
          <w:color w:val="1A1A2E"/>
          <w:sz w:val="22"/>
          <w:szCs w:val="22"/>
        </w:rPr>
        <w:t xml:space="preserve">CCIP-ready in V1—structured to receive and contextualize external cross-chain signals without importing foreign settlement logic or unbounded state growth</w:t>
      </w:r>
    </w:p>
    <w:p>
      <w:pPr>
        <w:spacing w:after="200" w:before="0"/>
      </w:pPr>
      <w:r>
        <w:t xml:space="preserve"/>
      </w:r>
    </w:p>
    <w:p>
      <w:pPr>
        <w:pStyle w:val="Heading1"/>
        <w:shd w:fill="1A3A5C" w:val="clear"/>
        <w:spacing w:after="200" w:before="440"/>
        <w:ind w:left="200" w:right="200"/>
      </w:pPr>
      <w:r>
        <w:rPr>
          <w:rFonts w:ascii="Arial" w:cs="Arial" w:eastAsia="Arial" w:hAnsi="Arial"/>
          <w:b/>
          <w:bCs/>
          <w:color w:val="FFFFFF"/>
          <w:sz w:val="36"/>
          <w:szCs w:val="36"/>
        </w:rPr>
        <w:t xml:space="preserve">2. The Problem: Forecast Markets Require Verified Reality</w:t>
      </w:r>
    </w:p>
    <w:p>
      <w:pPr>
        <w:spacing w:after="80" w:before="0"/>
      </w:pPr>
      <w:r>
        <w:t xml:space="preserve"/>
      </w:r>
    </w:p>
    <w:p>
      <w:pPr>
        <w:spacing w:after="140" w:before="0"/>
        <w:jc w:val="both"/>
      </w:pPr>
      <w:r>
        <w:rPr>
          <w:rFonts w:ascii="Arial" w:cs="Arial" w:eastAsia="Arial" w:hAnsi="Arial"/>
          <w:i w:val="false"/>
          <w:iCs w:val="false"/>
          <w:color w:val="1A1A2E"/>
          <w:sz w:val="22"/>
          <w:szCs w:val="22"/>
        </w:rPr>
        <w:t xml:space="preserve">A forecast market is only as useful as its ability to settle correctly. A well-formed question and a live probability feed are not sufficient. A complete market requires each of the following elements to be defined, verifiable, and machine-executable: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1A3A5C" w:sz="4"/>
              <w:right w:val="single" w:color="CCCCCC" w:sz="1"/>
            </w:tcBorders>
            <w:shd w:fill="1A3A5C" w:val="clear"/>
            <w:tcMar>
              <w:top w:type="dxa" w:w="100"/>
              <w:left w:type="dxa" w:w="140"/>
              <w:bottom w:type="dxa" w:w="100"/>
              <w:right w:type="dxa" w:w="80"/>
            </w:tcMar>
          </w:tcPr>
          <w:p>
            <w:r>
              <w:rPr>
                <w:rFonts w:ascii="Arial" w:cs="Arial" w:eastAsia="Arial" w:hAnsi="Arial"/>
                <w:b/>
                <w:bCs/>
                <w:color w:val="FFFFFF"/>
                <w:sz w:val="22"/>
                <w:szCs w:val="22"/>
              </w:rPr>
              <w:t xml:space="preserve">Market Requirement</w:t>
            </w:r>
          </w:p>
        </w:tc>
        <w:tc>
          <w:tcPr>
            <w:tcW w:type="dxa" w:w="4680"/>
            <w:tcBorders>
              <w:top w:val="single" w:color="CCCCCC" w:sz="1"/>
              <w:left w:val="single" w:color="CCCCCC" w:sz="1"/>
              <w:bottom w:val="single" w:color="1A3A5C" w:sz="4"/>
              <w:right w:val="single" w:color="CCCCCC" w:sz="1"/>
            </w:tcBorders>
            <w:shd w:fill="1A3A5C" w:val="clear"/>
            <w:tcMar>
              <w:top w:type="dxa" w:w="100"/>
              <w:left w:type="dxa" w:w="140"/>
              <w:bottom w:type="dxa" w:w="100"/>
              <w:right w:type="dxa" w:w="80"/>
            </w:tcMar>
          </w:tcPr>
          <w:p>
            <w:r>
              <w:rPr>
                <w:rFonts w:ascii="Arial" w:cs="Arial" w:eastAsia="Arial" w:hAnsi="Arial"/>
                <w:b/>
                <w:bCs/>
                <w:color w:val="FFFFFF"/>
                <w:sz w:val="22"/>
                <w:szCs w:val="22"/>
              </w:rPr>
              <w:t xml:space="preserve">Why It Matters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Defined event with maturity window</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Prevents open-ended or ambiguous resolution</w:t>
            </w:r>
          </w:p>
        </w:tc>
      </w:tr>
      <w:tr>
        <w:tc>
          <w:tcPr>
            <w:tcW w:type="dxa" w:w="46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80"/>
            </w:tcMar>
          </w:tcPr>
          <w:p>
            <w:r>
              <w:rPr>
                <w:rFonts w:ascii="Arial" w:cs="Arial" w:eastAsia="Arial" w:hAnsi="Arial"/>
                <w:b w:val="false"/>
                <w:bCs w:val="false"/>
                <w:color w:val="1A1A2E"/>
                <w:sz w:val="20"/>
                <w:szCs w:val="20"/>
              </w:rPr>
              <w:t xml:space="preserve">Oracle-compatible data source</w:t>
            </w:r>
          </w:p>
        </w:tc>
        <w:tc>
          <w:tcPr>
            <w:tcW w:type="dxa" w:w="46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80"/>
            </w:tcMar>
          </w:tcPr>
          <w:p>
            <w:r>
              <w:rPr>
                <w:rFonts w:ascii="Arial" w:cs="Arial" w:eastAsia="Arial" w:hAnsi="Arial"/>
                <w:b w:val="false"/>
                <w:bCs w:val="false"/>
                <w:color w:val="1A1A2E"/>
                <w:sz w:val="20"/>
                <w:szCs w:val="20"/>
              </w:rPr>
              <w:t xml:space="preserve">Ensures resolution is tied to verifiable external reference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Quorum-validated oracle reply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Anchors outcome to validated agreement rather than a single source</w:t>
            </w:r>
          </w:p>
        </w:tc>
      </w:tr>
      <w:tr>
        <w:tc>
          <w:tcPr>
            <w:tcW w:type="dxa" w:w="46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80"/>
            </w:tcMar>
          </w:tcPr>
          <w:p>
            <w:r>
              <w:rPr>
                <w:rFonts w:ascii="Arial" w:cs="Arial" w:eastAsia="Arial" w:hAnsi="Arial"/>
                <w:b w:val="false"/>
                <w:bCs w:val="false"/>
                <w:color w:val="1A1A2E"/>
                <w:sz w:val="20"/>
                <w:szCs w:val="20"/>
              </w:rPr>
              <w:t xml:space="preserve">Dispute rules and dispute window</w:t>
            </w:r>
          </w:p>
        </w:tc>
        <w:tc>
          <w:tcPr>
            <w:tcW w:type="dxa" w:w="46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80"/>
            </w:tcMar>
          </w:tcPr>
          <w:p>
            <w:r>
              <w:rPr>
                <w:rFonts w:ascii="Arial" w:cs="Arial" w:eastAsia="Arial" w:hAnsi="Arial"/>
                <w:b w:val="false"/>
                <w:bCs w:val="false"/>
                <w:color w:val="1A1A2E"/>
                <w:sz w:val="20"/>
                <w:szCs w:val="20"/>
              </w:rPr>
              <w:t xml:space="preserve">Allows challenge before settlement is final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Invalid-market logic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Handles unresolvable, manipulated, or ambiguous outcomes</w:t>
            </w:r>
          </w:p>
        </w:tc>
      </w:tr>
      <w:tr>
        <w:tc>
          <w:tcPr>
            <w:tcW w:type="dxa" w:w="46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80"/>
            </w:tcMar>
          </w:tcPr>
          <w:p>
            <w:r>
              <w:rPr>
                <w:rFonts w:ascii="Arial" w:cs="Arial" w:eastAsia="Arial" w:hAnsi="Arial"/>
                <w:b w:val="false"/>
                <w:bCs w:val="false"/>
                <w:color w:val="1A1A2E"/>
                <w:sz w:val="20"/>
                <w:szCs w:val="20"/>
              </w:rPr>
              <w:t xml:space="preserve">Deterministic settlement</w:t>
            </w:r>
          </w:p>
        </w:tc>
        <w:tc>
          <w:tcPr>
            <w:tcW w:type="dxa" w:w="46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80"/>
            </w:tcMar>
          </w:tcPr>
          <w:p>
            <w:r>
              <w:rPr>
                <w:rFonts w:ascii="Arial" w:cs="Arial" w:eastAsia="Arial" w:hAnsi="Arial"/>
                <w:b w:val="false"/>
                <w:bCs w:val="false"/>
                <w:color w:val="1A1A2E"/>
                <w:sz w:val="20"/>
                <w:szCs w:val="20"/>
              </w:rPr>
              <w:t xml:space="preserve">Ensures payout math is auditable and tamper-proof</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Compact on-chain state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Ensures the contract fits within Qubic’s execution constraints</w:t>
            </w:r>
          </w:p>
        </w:tc>
      </w:tr>
      <w:tr>
        <w:tc>
          <w:tcPr>
            <w:tcW w:type="dxa" w:w="46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80"/>
            </w:tcMar>
          </w:tcPr>
          <w:p>
            <w:r>
              <w:rPr>
                <w:rFonts w:ascii="Arial" w:cs="Arial" w:eastAsia="Arial" w:hAnsi="Arial"/>
                <w:b w:val="false"/>
                <w:bCs w:val="false"/>
                <w:color w:val="1A1A2E"/>
                <w:sz w:val="20"/>
                <w:szCs w:val="20"/>
              </w:rPr>
              <w:t xml:space="preserve">Agent-readable metadata</w:t>
            </w:r>
          </w:p>
        </w:tc>
        <w:tc>
          <w:tcPr>
            <w:tcW w:type="dxa" w:w="46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80"/>
            </w:tcMar>
          </w:tcPr>
          <w:p>
            <w:r>
              <w:rPr>
                <w:rFonts w:ascii="Arial" w:cs="Arial" w:eastAsia="Arial" w:hAnsi="Arial"/>
                <w:b w:val="false"/>
                <w:bCs w:val="false"/>
                <w:color w:val="1A1A2E"/>
                <w:sz w:val="20"/>
                <w:szCs w:val="20"/>
              </w:rPr>
              <w:t xml:space="preserve">Enables autonomous agents to consume and act on market context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Canonical market metadata (V1 target)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Enables cross-chain-readable descriptions with external compatibility flags</w:t>
            </w:r>
          </w:p>
        </w:tc>
      </w:tr>
      <w:tr>
        <w:tc>
          <w:tcPr>
            <w:tcW w:type="dxa" w:w="46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80"/>
            </w:tcMar>
          </w:tcPr>
          <w:p>
            <w:r>
              <w:rPr>
                <w:rFonts w:ascii="Arial" w:cs="Arial" w:eastAsia="Arial" w:hAnsi="Arial"/>
                <w:b w:val="false"/>
                <w:bCs w:val="false"/>
                <w:color w:val="1A1A2E"/>
                <w:sz w:val="20"/>
                <w:szCs w:val="20"/>
              </w:rPr>
              <w:t xml:space="preserve">Replay protection (V1 target)</w:t>
            </w:r>
          </w:p>
        </w:tc>
        <w:tc>
          <w:tcPr>
            <w:tcW w:type="dxa" w:w="46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80"/>
            </w:tcMar>
          </w:tcPr>
          <w:p>
            <w:r>
              <w:rPr>
                <w:rFonts w:ascii="Arial" w:cs="Arial" w:eastAsia="Arial" w:hAnsi="Arial"/>
                <w:b w:val="false"/>
                <w:bCs w:val="false"/>
                <w:color w:val="1A1A2E"/>
                <w:sz w:val="20"/>
                <w:szCs w:val="20"/>
              </w:rPr>
              <w:t xml:space="preserve">Prevents duplicate external message effects via market-local caches and expiry ticks</w:t>
            </w:r>
          </w:p>
        </w:tc>
      </w:tr>
    </w:tbl>
    <w:p>
      <w:pPr>
        <w:spacing w:after="120" w:before="0"/>
      </w:pPr>
      <w:r>
        <w:t xml:space="preserve"/>
      </w:r>
    </w:p>
    <w:p>
      <w:pPr>
        <w:spacing w:after="140" w:before="0"/>
        <w:jc w:val="both"/>
      </w:pPr>
      <w:r>
        <w:rPr>
          <w:rFonts w:ascii="Arial" w:cs="Arial" w:eastAsia="Arial" w:hAnsi="Arial"/>
          <w:i w:val="false"/>
          <w:iCs w:val="false"/>
          <w:color w:val="1A1A2E"/>
          <w:sz w:val="22"/>
          <w:szCs w:val="22"/>
        </w:rPr>
        <w:t xml:space="preserve">Without reliable oracle resolution and deterministic settlement, a forecast market degrades into speculation without enforceable truth. Qassandra addresses this by providing a structured, QUBIC-native framework for each layer of the stack.</w:t>
      </w:r>
    </w:p>
    <w:p>
      <w:pPr>
        <w:spacing w:after="200" w:before="0"/>
      </w:pPr>
      <w:r>
        <w:t xml:space="preserve"/>
      </w:r>
    </w:p>
    <w:p>
      <w:pPr>
        <w:pStyle w:val="Heading1"/>
        <w:shd w:fill="1A3A5C" w:val="clear"/>
        <w:spacing w:after="200" w:before="440"/>
        <w:ind w:left="200" w:right="200"/>
      </w:pPr>
      <w:r>
        <w:rPr>
          <w:rFonts w:ascii="Arial" w:cs="Arial" w:eastAsia="Arial" w:hAnsi="Arial"/>
          <w:b/>
          <w:bCs/>
          <w:color w:val="FFFFFF"/>
          <w:sz w:val="36"/>
          <w:szCs w:val="36"/>
        </w:rPr>
        <w:t xml:space="preserve">3. Qubic as the Execution Layer</w:t>
      </w:r>
    </w:p>
    <w:p>
      <w:pPr>
        <w:spacing w:after="80" w:before="0"/>
      </w:pPr>
      <w:r>
        <w:t xml:space="preserve"/>
      </w:r>
    </w:p>
    <w:p>
      <w:pPr>
        <w:spacing w:after="140" w:before="0"/>
        <w:jc w:val="both"/>
      </w:pPr>
      <w:r>
        <w:rPr>
          <w:rFonts w:ascii="Arial" w:cs="Arial" w:eastAsia="Arial" w:hAnsi="Arial"/>
          <w:i w:val="false"/>
          <w:iCs w:val="false"/>
          <w:color w:val="1A1A2E"/>
          <w:sz w:val="22"/>
          <w:szCs w:val="22"/>
        </w:rPr>
        <w:t xml:space="preserve">Qubic is not an EVM clone. Qassandra’s architecture must respect Qubic’s actual execution model and all protocol framing must reflect it accurately.</w:t>
      </w:r>
    </w:p>
    <w:p>
      <w:pPr>
        <w:spacing w:after="80" w:before="0"/>
      </w:pPr>
      <w:r>
        <w:t xml:space="preserve"/>
      </w:r>
    </w:p>
    <w:p>
      <w:pPr>
        <w:pStyle w:val="Heading3"/>
        <w:spacing w:after="80" w:before="240"/>
      </w:pPr>
      <w:r>
        <w:rPr>
          <w:rFonts w:ascii="Arial" w:cs="Arial" w:eastAsia="Arial" w:hAnsi="Arial"/>
          <w:b/>
          <w:bCs/>
          <w:color w:val="1C6EA4"/>
          <w:sz w:val="24"/>
          <w:szCs w:val="24"/>
        </w:rPr>
        <w:t xml:space="preserve">Key Qubic Architecture Properties</w:t>
      </w:r>
    </w:p>
    <w:p>
      <w:pPr>
        <w:pStyle w:val="ListParagraph"/>
        <w:numPr>
          <w:ilvl w:val="0"/>
          <w:numId w:val="2"/>
        </w:numPr>
        <w:spacing w:after="80" w:before="40"/>
      </w:pPr>
      <w:r>
        <w:rPr>
          <w:rFonts w:ascii="Arial" w:cs="Arial" w:eastAsia="Arial" w:hAnsi="Arial"/>
          <w:color w:val="1A1A2E"/>
          <w:sz w:val="22"/>
          <w:szCs w:val="22"/>
        </w:rPr>
        <w:t xml:space="preserve">Smart contract execution is secured by Computors through Qubic’s epoch-based consensus.</w:t>
      </w:r>
    </w:p>
    <w:p>
      <w:pPr>
        <w:pStyle w:val="ListParagraph"/>
        <w:numPr>
          <w:ilvl w:val="0"/>
          <w:numId w:val="2"/>
        </w:numPr>
        <w:spacing w:after="80" w:before="40"/>
      </w:pPr>
      <w:r>
        <w:rPr>
          <w:rFonts w:ascii="Arial" w:cs="Arial" w:eastAsia="Arial" w:hAnsi="Arial"/>
          <w:color w:val="1A1A2E"/>
          <w:sz w:val="22"/>
          <w:szCs w:val="22"/>
        </w:rPr>
        <w:t xml:space="preserve">If Qassandra is deployed through Qubic’s smart-contract IPO process, $QUBIC spent in the IPO auction follows Qubic’s burn mechanics.</w:t>
      </w:r>
    </w:p>
    <w:p>
      <w:pPr>
        <w:pStyle w:val="ListParagraph"/>
        <w:numPr>
          <w:ilvl w:val="0"/>
          <w:numId w:val="2"/>
        </w:numPr>
        <w:spacing w:after="80" w:before="40"/>
      </w:pPr>
      <w:r>
        <w:rPr>
          <w:rFonts w:ascii="Arial" w:cs="Arial" w:eastAsia="Arial" w:hAnsi="Arial"/>
          <w:color w:val="1A1A2E"/>
          <w:sz w:val="22"/>
          <w:szCs w:val="22"/>
        </w:rPr>
        <w:t xml:space="preserve">Qubic contracts are compiled into the Qubic Core executable and executed by Computors. Qassandra must therefore ensure all failure states remain bounded within its own contract state and market-resolution logic.</w:t>
      </w:r>
    </w:p>
    <w:p>
      <w:pPr>
        <w:pStyle w:val="ListParagraph"/>
        <w:numPr>
          <w:ilvl w:val="0"/>
          <w:numId w:val="2"/>
        </w:numPr>
        <w:spacing w:after="80" w:before="40"/>
      </w:pPr>
      <w:r>
        <w:rPr>
          <w:rFonts w:ascii="Arial" w:cs="Arial" w:eastAsia="Arial" w:hAnsi="Arial"/>
          <w:color w:val="1A1A2E"/>
          <w:sz w:val="22"/>
          <w:szCs w:val="22"/>
        </w:rPr>
        <w:t xml:space="preserve">Contracts may collect $QUBIC for specialized services, but this is an internal ledger deduction, not a per-opcode execution fee. It is not gas.</w:t>
      </w:r>
    </w:p>
    <w:p>
      <w:pPr>
        <w:pStyle w:val="ListParagraph"/>
        <w:numPr>
          <w:ilvl w:val="0"/>
          <w:numId w:val="2"/>
        </w:numPr>
        <w:spacing w:after="80" w:before="40"/>
      </w:pPr>
      <w:r>
        <w:rPr>
          <w:rFonts w:ascii="Arial" w:cs="Arial" w:eastAsia="Arial" w:hAnsi="Arial"/>
          <w:color w:val="1A1A2E"/>
          <w:sz w:val="22"/>
          <w:szCs w:val="22"/>
        </w:rPr>
        <w:t xml:space="preserve">Governance actions are epoch-scoped and Computor-voted; Ethereum-style multisig patterns do not apply.</w:t>
      </w:r>
    </w:p>
    <w:p>
      <w:pPr>
        <w:pStyle w:val="ListParagraph"/>
        <w:numPr>
          <w:ilvl w:val="0"/>
          <w:numId w:val="2"/>
        </w:numPr>
        <w:spacing w:after="80" w:before="40"/>
      </w:pPr>
      <w:r>
        <w:rPr>
          <w:rFonts w:ascii="Arial" w:cs="Arial" w:eastAsia="Arial" w:hAnsi="Arial"/>
          <w:color w:val="1A1A2E"/>
          <w:sz w:val="22"/>
          <w:szCs w:val="22"/>
        </w:rPr>
        <w:t xml:space="preserve">Contract state must be compact; verbose data storage on-chain is architecturally inappropriate.</w:t>
      </w:r>
    </w:p>
    <w:p>
      <w:pPr>
        <w:spacing w:after="80" w:before="0"/>
      </w:pPr>
      <w:r>
        <w:t xml:space="preserve"/>
      </w:r>
    </w:p>
    <w:p>
      <w:pPr>
        <w:pStyle w:val="Heading3"/>
        <w:spacing w:after="80" w:before="240"/>
      </w:pPr>
      <w:r>
        <w:rPr>
          <w:rFonts w:ascii="Arial" w:cs="Arial" w:eastAsia="Arial" w:hAnsi="Arial"/>
          <w:b/>
          <w:bCs/>
          <w:color w:val="1C6EA4"/>
          <w:sz w:val="24"/>
          <w:szCs w:val="24"/>
        </w:rPr>
        <w:t xml:space="preserve">Correct Framing for $QUBIC Flows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6EA4" w:sz="4"/>
              <w:left w:val="single" w:color="1C6EA4" w:sz="8"/>
              <w:bottom w:val="single" w:color="CCCCCC" w:sz="1"/>
              <w:right w:val="none" w:color="FFFFFF" w:sz="0"/>
            </w:tcBorders>
            <w:shd w:fill="EAF2FB" w:val="clear"/>
            <w:tcMar>
              <w:top w:type="dxa" w:w="120"/>
              <w:left w:type="dxa" w:w="200"/>
              <w:bottom w:type="dxa" w:w="120"/>
              <w:right w:type="dxa" w:w="200"/>
            </w:tcMar>
          </w:tcPr>
          <w:p>
            <w:pPr>
              <w:spacing w:after="80" w:before="60"/>
            </w:pPr>
            <w:r>
              <w:rPr>
                <w:rFonts w:ascii="Arial" w:cs="Arial" w:eastAsia="Arial" w:hAnsi="Arial"/>
                <w:b/>
                <w:bCs/>
                <w:color w:val="1A3A5C"/>
                <w:sz w:val="22"/>
                <w:szCs w:val="22"/>
              </w:rPr>
              <w:t xml:space="preserve">Use This Language</w:t>
            </w:r>
          </w:p>
          <w:p>
            <w:pPr>
              <w:pStyle w:val="ListParagraph"/>
              <w:numPr>
                <w:ilvl w:val="0"/>
                <w:numId w:val="2"/>
              </w:numPr>
              <w:spacing w:after="40" w:before="20"/>
            </w:pPr>
            <w:r>
              <w:rPr>
                <w:rFonts w:ascii="Arial" w:cs="Arial" w:eastAsia="Arial" w:hAnsi="Arial"/>
                <w:color w:val="1A1A2E"/>
                <w:sz w:val="20"/>
                <w:szCs w:val="20"/>
              </w:rPr>
              <w:t xml:space="preserve">Participants transfer $QUBIC into Qassandra contract-controlled market balances through function calls that may include non-zero $QUBIC amounts.</w:t>
            </w:r>
          </w:p>
          <w:p>
            <w:pPr>
              <w:pStyle w:val="ListParagraph"/>
              <w:numPr>
                <w:ilvl w:val="0"/>
                <w:numId w:val="2"/>
              </w:numPr>
              <w:spacing w:after="40" w:before="20"/>
            </w:pPr>
            <w:r>
              <w:rPr>
                <w:rFonts w:ascii="Arial" w:cs="Arial" w:eastAsia="Arial" w:hAnsi="Arial"/>
                <w:color w:val="1A1A2E"/>
                <w:sz w:val="20"/>
                <w:szCs w:val="20"/>
              </w:rPr>
              <w:t xml:space="preserve">After transfer, Qassandra tracks balances, positions, deductions, settlement eligibility, burn allocations, and protocol rewards through its internal ledger.</w:t>
            </w:r>
          </w:p>
          <w:p>
            <w:pPr>
              <w:pStyle w:val="ListParagraph"/>
              <w:numPr>
                <w:ilvl w:val="0"/>
                <w:numId w:val="2"/>
              </w:numPr>
              <w:spacing w:after="40" w:before="20"/>
            </w:pPr>
            <w:r>
              <w:rPr>
                <w:rFonts w:ascii="Arial" w:cs="Arial" w:eastAsia="Arial" w:hAnsi="Arial"/>
                <w:color w:val="1A1A2E"/>
                <w:sz w:val="20"/>
                <w:szCs w:val="20"/>
              </w:rPr>
              <w:t xml:space="preserve">Oracle-resolution allocation refers to $QUBIC reserved or designated to support Qubic-native oracle querying and resolution flow. It is not a conventional oracle-provider fee.</w:t>
            </w:r>
          </w:p>
          <w:p>
            <w:pPr>
              <w:pStyle w:val="ListParagraph"/>
              <w:numPr>
                <w:ilvl w:val="0"/>
                <w:numId w:val="2"/>
              </w:numPr>
              <w:spacing w:after="40" w:before="20"/>
            </w:pPr>
            <w:r>
              <w:rPr>
                <w:rFonts w:ascii="Arial" w:cs="Arial" w:eastAsia="Arial" w:hAnsi="Arial"/>
                <w:color w:val="1A1A2E"/>
                <w:sz w:val="20"/>
                <w:szCs w:val="20"/>
              </w:rPr>
              <w:t xml:space="preserve">Contract execution sustainability refers to maintaining sufficient $QUBIC-denominated protocol balances to support Qassandra operations, including any Qubic smart-contract execution commissions or burn-aligned mechanics required by the network.</w:t>
            </w:r>
          </w:p>
          <w:p>
            <w:pPr>
              <w:pStyle w:val="ListParagraph"/>
              <w:numPr>
                <w:ilvl w:val="0"/>
                <w:numId w:val="2"/>
              </w:numPr>
              <w:spacing w:after="40" w:before="20"/>
            </w:pPr>
            <w:r>
              <w:rPr>
                <w:rFonts w:ascii="Arial" w:cs="Arial" w:eastAsia="Arial" w:hAnsi="Arial"/>
                <w:color w:val="1A1A2E"/>
                <w:sz w:val="20"/>
                <w:szCs w:val="20"/>
              </w:rPr>
              <w:t xml:space="preserve">Any white-label deployment, integration, or protocol licensing fee must be denominated in $QUBIC or converted into $QUBIC before entering Qassandra’s protocol revenue flow.</w:t>
            </w:r>
          </w:p>
          <w:p>
            <w:pPr>
              <w:spacing w:after="80" w:before="0"/>
            </w:pPr>
            <w:r>
              <w:t xml:space="preserve"/>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6EA4" w:sz="4"/>
              <w:left w:val="single" w:color="1C6EA4" w:sz="8"/>
              <w:bottom w:val="single" w:color="CCCCCC" w:sz="1"/>
              <w:right w:val="none" w:color="FFFFFF" w:sz="0"/>
            </w:tcBorders>
            <w:shd w:fill="EAF2FB" w:val="clear"/>
            <w:tcMar>
              <w:top w:type="dxa" w:w="120"/>
              <w:left w:type="dxa" w:w="200"/>
              <w:bottom w:type="dxa" w:w="120"/>
              <w:right w:type="dxa" w:w="200"/>
            </w:tcMar>
          </w:tcPr>
          <w:p>
            <w:pPr>
              <w:spacing w:after="80" w:before="60"/>
            </w:pPr>
            <w:r>
              <w:rPr>
                <w:rFonts w:ascii="Arial" w:cs="Arial" w:eastAsia="Arial" w:hAnsi="Arial"/>
                <w:b/>
                <w:bCs/>
                <w:color w:val="1A3A5C"/>
                <w:sz w:val="22"/>
                <w:szCs w:val="22"/>
              </w:rPr>
              <w:t xml:space="preserve">Avoid This Language</w:t>
            </w:r>
          </w:p>
          <w:p>
            <w:pPr>
              <w:pStyle w:val="ListParagraph"/>
              <w:numPr>
                <w:ilvl w:val="0"/>
                <w:numId w:val="2"/>
              </w:numPr>
              <w:spacing w:after="40" w:before="20"/>
            </w:pPr>
            <w:r>
              <w:rPr>
                <w:rFonts w:ascii="Arial" w:cs="Arial" w:eastAsia="Arial" w:hAnsi="Arial"/>
                <w:color w:val="1A1A2E"/>
                <w:sz w:val="20"/>
                <w:szCs w:val="20"/>
              </w:rPr>
              <w:t xml:space="preserve">“Gas fees” or “transaction fees” — Qubic does not use an EVM gas model.</w:t>
            </w:r>
          </w:p>
          <w:p>
            <w:pPr>
              <w:pStyle w:val="ListParagraph"/>
              <w:numPr>
                <w:ilvl w:val="0"/>
                <w:numId w:val="2"/>
              </w:numPr>
              <w:spacing w:after="40" w:before="20"/>
            </w:pPr>
            <w:r>
              <w:rPr>
                <w:rFonts w:ascii="Arial" w:cs="Arial" w:eastAsia="Arial" w:hAnsi="Arial"/>
                <w:color w:val="1A1A2E"/>
                <w:sz w:val="20"/>
                <w:szCs w:val="20"/>
              </w:rPr>
              <w:t xml:space="preserve">“Oracle-resolution charges” as if they were conventional oracle-provider fees — use “oracle-resolution allocation” instead.</w:t>
            </w:r>
          </w:p>
          <w:p>
            <w:pPr>
              <w:pStyle w:val="ListParagraph"/>
              <w:numPr>
                <w:ilvl w:val="0"/>
                <w:numId w:val="2"/>
              </w:numPr>
              <w:spacing w:after="40" w:before="20"/>
            </w:pPr>
            <w:r>
              <w:rPr>
                <w:rFonts w:ascii="Arial" w:cs="Arial" w:eastAsia="Arial" w:hAnsi="Arial"/>
                <w:color w:val="1A1A2E"/>
                <w:sz w:val="20"/>
                <w:szCs w:val="20"/>
              </w:rPr>
              <w:t xml:space="preserve">“Stablecoin settlement” or “QUSD settlement” — settlement is exclusively in $QUBIC.</w:t>
            </w:r>
          </w:p>
          <w:p>
            <w:pPr>
              <w:pStyle w:val="ListParagraph"/>
              <w:numPr>
                <w:ilvl w:val="0"/>
                <w:numId w:val="2"/>
              </w:numPr>
              <w:spacing w:after="40" w:before="20"/>
            </w:pPr>
            <w:r>
              <w:rPr>
                <w:rFonts w:ascii="Arial" w:cs="Arial" w:eastAsia="Arial" w:hAnsi="Arial"/>
                <w:color w:val="1A1A2E"/>
                <w:sz w:val="20"/>
                <w:szCs w:val="20"/>
              </w:rPr>
              <w:t xml:space="preserve">“Multisig controls” — Qubic governance is Computor-voted, not multisig-based.</w:t>
            </w:r>
          </w:p>
          <w:p>
            <w:pPr>
              <w:pStyle w:val="ListParagraph"/>
              <w:numPr>
                <w:ilvl w:val="0"/>
                <w:numId w:val="2"/>
              </w:numPr>
              <w:spacing w:after="40" w:before="20"/>
            </w:pPr>
            <w:r>
              <w:rPr>
                <w:rFonts w:ascii="Arial" w:cs="Arial" w:eastAsia="Arial" w:hAnsi="Arial"/>
                <w:color w:val="1A1A2E"/>
                <w:sz w:val="20"/>
                <w:szCs w:val="20"/>
              </w:rPr>
              <w:t xml:space="preserve">“Guaranteed oracle truth” — oracle resolution produces validated agreement over an oracle reply, not a guarantee of absolute real-world accuracy.</w:t>
            </w:r>
          </w:p>
          <w:p>
            <w:pPr>
              <w:spacing w:after="80" w:before="0"/>
            </w:pPr>
            <w:r>
              <w:t xml:space="preserve"/>
            </w:r>
          </w:p>
        </w:tc>
      </w:tr>
    </w:tbl>
    <w:p>
      <w:pPr>
        <w:spacing w:after="200" w:before="0"/>
      </w:pPr>
      <w:r>
        <w:t xml:space="preserve"/>
      </w:r>
    </w:p>
    <w:p>
      <w:r>
        <w:br w:type="page"/>
      </w:r>
    </w:p>
    <w:p>
      <w:pPr>
        <w:pStyle w:val="Heading1"/>
        <w:shd w:fill="1A3A5C" w:val="clear"/>
        <w:spacing w:after="200" w:before="440"/>
        <w:ind w:left="200" w:right="200"/>
      </w:pPr>
      <w:r>
        <w:rPr>
          <w:rFonts w:ascii="Arial" w:cs="Arial" w:eastAsia="Arial" w:hAnsi="Arial"/>
          <w:b/>
          <w:bCs/>
          <w:color w:val="FFFFFF"/>
          <w:sz w:val="36"/>
          <w:szCs w:val="36"/>
        </w:rPr>
        <w:t xml:space="preserve">4. Core Protocol Architecture</w:t>
      </w:r>
    </w:p>
    <w:p>
      <w:pPr>
        <w:spacing w:after="80" w:before="0"/>
      </w:pPr>
      <w:r>
        <w:t xml:space="preserve"/>
      </w:r>
    </w:p>
    <w:p>
      <w:pPr>
        <w:spacing w:after="140" w:before="0"/>
        <w:jc w:val="both"/>
      </w:pPr>
      <w:r>
        <w:rPr>
          <w:rFonts w:ascii="Arial" w:cs="Arial" w:eastAsia="Arial" w:hAnsi="Arial"/>
          <w:i w:val="false"/>
          <w:iCs w:val="false"/>
          <w:color w:val="1A1A2E"/>
          <w:sz w:val="22"/>
          <w:szCs w:val="22"/>
        </w:rPr>
        <w:t xml:space="preserve">Qassandra is composed of eight core modules. Each module has a clearly scoped responsibility. Every module action is designed to be small, bounded, and deterministic—so that failure in any one module does not affect Qubic network liveness, Computor consensus, unrelated contracts, or global protocol operation.</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60C" w:sz="4"/>
              <w:left w:val="single" w:color="C8960C" w:sz="8"/>
              <w:bottom w:val="single" w:color="CCCCCC" w:sz="1"/>
              <w:right w:val="none" w:color="FFFFFF" w:sz="0"/>
            </w:tcBorders>
            <w:shd w:fill="FFF8E7" w:val="clear"/>
            <w:tcMar>
              <w:top w:type="dxa" w:w="120"/>
              <w:left w:type="dxa" w:w="200"/>
              <w:bottom w:type="dxa" w:w="120"/>
              <w:right w:type="dxa" w:w="200"/>
            </w:tcMar>
          </w:tcPr>
          <w:p>
            <w:pPr>
              <w:spacing w:after="80" w:before="60"/>
            </w:pPr>
            <w:r>
              <w:rPr>
                <w:rFonts w:ascii="Arial" w:cs="Arial" w:eastAsia="Arial" w:hAnsi="Arial"/>
                <w:b/>
                <w:bCs/>
                <w:color w:val="C8960C"/>
                <w:sz w:val="22"/>
                <w:szCs w:val="22"/>
              </w:rPr>
              <w:t xml:space="preserve">Architecture Note</w:t>
            </w:r>
          </w:p>
          <w:p>
            <w:pPr>
              <w:pStyle w:val="ListParagraph"/>
              <w:numPr>
                <w:ilvl w:val="0"/>
                <w:numId w:val="2"/>
              </w:numPr>
              <w:spacing w:after="40" w:before="20"/>
            </w:pPr>
            <w:r>
              <w:rPr>
                <w:rFonts w:ascii="Arial" w:cs="Arial" w:eastAsia="Arial" w:hAnsi="Arial"/>
                <w:color w:val="1A1A2E"/>
                <w:sz w:val="20"/>
                <w:szCs w:val="20"/>
              </w:rPr>
              <w:t xml:space="preserve">Modules 4.1–4.3 represent the near-term contract foundation direction. v0 establishes the minimal contract identity, fee accounting, execution-sustainability, and oracle-taxonomy metadata required before full market factory, registry, and position-ledger functionality is activated.</w:t>
            </w:r>
          </w:p>
          <w:p>
            <w:pPr>
              <w:pStyle w:val="ListParagraph"/>
              <w:numPr>
                <w:ilvl w:val="0"/>
                <w:numId w:val="2"/>
              </w:numPr>
              <w:spacing w:after="40" w:before="20"/>
            </w:pPr>
            <w:r>
              <w:rPr>
                <w:rFonts w:ascii="Arial" w:cs="Arial" w:eastAsia="Arial" w:hAnsi="Arial"/>
                <w:color w:val="1A1A2E"/>
                <w:sz w:val="20"/>
                <w:szCs w:val="20"/>
              </w:rPr>
              <w:t xml:space="preserve">Modules 4.4–4.8 describe target architecture for phases beyond v0 and should not be interpreted as fully active until implemented, reviewed, and deployed.</w:t>
            </w:r>
          </w:p>
          <w:p>
            <w:pPr>
              <w:spacing w:after="80" w:before="0"/>
            </w:pPr>
            <w:r>
              <w:t xml:space="preserve"/>
            </w:r>
          </w:p>
        </w:tc>
      </w:tr>
    </w:tbl>
    <w:p>
      <w:pPr>
        <w:spacing w:after="80" w:before="0"/>
      </w:pPr>
      <w:r>
        <w:t xml:space="preserve"/>
      </w:r>
    </w:p>
    <w:p>
      <w:pPr>
        <w:pStyle w:val="Heading2"/>
        <w:pBdr>
          <w:bottom w:val="single" w:color="1C6EA4" w:sz="2" w:space="1"/>
        </w:pBdr>
        <w:spacing w:after="120" w:before="340"/>
      </w:pPr>
      <w:r>
        <w:rPr>
          <w:rFonts w:ascii="Arial" w:cs="Arial" w:eastAsia="Arial" w:hAnsi="Arial"/>
          <w:b/>
          <w:bCs/>
          <w:color w:val="1A3A5C"/>
          <w:sz w:val="28"/>
          <w:szCs w:val="28"/>
        </w:rPr>
        <w:t xml:space="preserve">4.1  Market Factory</w:t>
      </w:r>
    </w:p>
    <w:p>
      <w:pPr>
        <w:spacing w:after="140" w:before="0"/>
        <w:jc w:val="both"/>
      </w:pPr>
      <w:r>
        <w:rPr>
          <w:rFonts w:ascii="Arial" w:cs="Arial" w:eastAsia="Arial" w:hAnsi="Arial"/>
          <w:i w:val="false"/>
          <w:iCs w:val="false"/>
          <w:color w:val="1A1A2E"/>
          <w:sz w:val="22"/>
          <w:szCs w:val="22"/>
        </w:rPr>
        <w:t xml:space="preserve">Creates forecast markets using compact typed structures. Market creation requires a $QUBIC-denominated creation premium, transferred by the creator into the contract balance at the time of the function call. Market-category activation deposits may be required for new QOMN templates or high-risk market categories, subject to governance approval.</w:t>
      </w:r>
    </w:p>
    <w:p>
      <w:pPr>
        <w:spacing w:after="40" w:before="0"/>
      </w:pPr>
      <w:r>
        <w:t xml:space="preserve"/>
      </w:r>
    </w:p>
    <w:p>
      <w:pPr>
        <w:spacing w:after="140" w:before="0"/>
        <w:jc w:val="both"/>
      </w:pPr>
      <w:r>
        <w:rPr>
          <w:rFonts w:ascii="Arial" w:cs="Arial" w:eastAsia="Arial" w:hAnsi="Arial"/>
          <w:i w:val="false"/>
          <w:iCs w:val="false"/>
          <w:color w:val="1A1A2E"/>
          <w:sz w:val="22"/>
          <w:szCs w:val="22"/>
        </w:rPr>
        <w:t xml:space="preserve">Initial market categories (target architecture):</w:t>
      </w:r>
    </w:p>
    <w:p>
      <w:pPr>
        <w:pStyle w:val="ListParagraph"/>
        <w:numPr>
          <w:ilvl w:val="0"/>
          <w:numId w:val="2"/>
        </w:numPr>
        <w:spacing w:after="80" w:before="40"/>
      </w:pPr>
      <w:r>
        <w:rPr>
          <w:rFonts w:ascii="Arial" w:cs="Arial" w:eastAsia="Arial" w:hAnsi="Arial"/>
          <w:color w:val="1A1A2E"/>
          <w:sz w:val="22"/>
          <w:szCs w:val="22"/>
        </w:rPr>
        <w:t xml:space="preserve">QUBIC/USD and QUBIC threshold price markets</w:t>
      </w:r>
    </w:p>
    <w:p>
      <w:pPr>
        <w:pStyle w:val="ListParagraph"/>
        <w:numPr>
          <w:ilvl w:val="0"/>
          <w:numId w:val="2"/>
        </w:numPr>
        <w:spacing w:after="80" w:before="40"/>
      </w:pPr>
      <w:r>
        <w:rPr>
          <w:rFonts w:ascii="Arial" w:cs="Arial" w:eastAsia="Arial" w:hAnsi="Arial"/>
          <w:color w:val="1A1A2E"/>
          <w:sz w:val="22"/>
          <w:szCs w:val="22"/>
        </w:rPr>
        <w:t xml:space="preserve">Qubic ecosystem milestone markets</w:t>
      </w:r>
    </w:p>
    <w:p>
      <w:pPr>
        <w:pStyle w:val="ListParagraph"/>
        <w:numPr>
          <w:ilvl w:val="0"/>
          <w:numId w:val="2"/>
        </w:numPr>
        <w:spacing w:after="80" w:before="40"/>
      </w:pPr>
      <w:r>
        <w:rPr>
          <w:rFonts w:ascii="Arial" w:cs="Arial" w:eastAsia="Arial" w:hAnsi="Arial"/>
          <w:color w:val="1A1A2E"/>
          <w:sz w:val="22"/>
          <w:szCs w:val="22"/>
        </w:rPr>
        <w:t xml:space="preserve">Network-performance markets (TPS, epoch throughput, Computor participation)</w:t>
      </w:r>
    </w:p>
    <w:p>
      <w:pPr>
        <w:pStyle w:val="ListParagraph"/>
        <w:numPr>
          <w:ilvl w:val="0"/>
          <w:numId w:val="2"/>
        </w:numPr>
        <w:spacing w:after="80" w:before="40"/>
      </w:pPr>
      <w:r>
        <w:rPr>
          <w:rFonts w:ascii="Arial" w:cs="Arial" w:eastAsia="Arial" w:hAnsi="Arial"/>
          <w:color w:val="1A1A2E"/>
          <w:sz w:val="22"/>
          <w:szCs w:val="22"/>
        </w:rPr>
        <w:t xml:space="preserve">Computation-demand markets</w:t>
      </w:r>
    </w:p>
    <w:p>
      <w:pPr>
        <w:pStyle w:val="ListParagraph"/>
        <w:numPr>
          <w:ilvl w:val="0"/>
          <w:numId w:val="2"/>
        </w:numPr>
        <w:spacing w:after="80" w:before="40"/>
      </w:pPr>
      <w:r>
        <w:rPr>
          <w:rFonts w:ascii="Arial" w:cs="Arial" w:eastAsia="Arial" w:hAnsi="Arial"/>
          <w:color w:val="1A1A2E"/>
          <w:sz w:val="22"/>
          <w:szCs w:val="22"/>
        </w:rPr>
        <w:t xml:space="preserve">Oracle-data event markets</w:t>
      </w:r>
    </w:p>
    <w:p>
      <w:pPr>
        <w:pStyle w:val="ListParagraph"/>
        <w:numPr>
          <w:ilvl w:val="0"/>
          <w:numId w:val="2"/>
        </w:numPr>
        <w:spacing w:after="80" w:before="40"/>
      </w:pPr>
      <w:r>
        <w:rPr>
          <w:rFonts w:ascii="Arial" w:cs="Arial" w:eastAsia="Arial" w:hAnsi="Arial"/>
          <w:color w:val="1A1A2E"/>
          <w:sz w:val="22"/>
          <w:szCs w:val="22"/>
        </w:rPr>
        <w:t xml:space="preserve">AI-agent performance markets</w:t>
      </w:r>
    </w:p>
    <w:p>
      <w:pPr>
        <w:spacing w:after="80" w:before="0"/>
      </w:pPr>
      <w:r>
        <w:t xml:space="preserve"/>
      </w:r>
    </w:p>
    <w:p>
      <w:pPr>
        <w:pStyle w:val="Heading2"/>
        <w:pBdr>
          <w:bottom w:val="single" w:color="1C6EA4" w:sz="2" w:space="1"/>
        </w:pBdr>
        <w:spacing w:after="120" w:before="340"/>
      </w:pPr>
      <w:r>
        <w:rPr>
          <w:rFonts w:ascii="Arial" w:cs="Arial" w:eastAsia="Arial" w:hAnsi="Arial"/>
          <w:b/>
          <w:bCs/>
          <w:color w:val="1A3A5C"/>
          <w:sz w:val="28"/>
          <w:szCs w:val="28"/>
        </w:rPr>
        <w:t xml:space="preserve">4.2  Market Registry</w:t>
      </w:r>
    </w:p>
    <w:p>
      <w:pPr>
        <w:spacing w:after="140" w:before="0"/>
        <w:jc w:val="both"/>
      </w:pPr>
      <w:r>
        <w:rPr>
          <w:rFonts w:ascii="Arial" w:cs="Arial" w:eastAsia="Arial" w:hAnsi="Arial"/>
          <w:i w:val="false"/>
          <w:iCs w:val="false"/>
          <w:color w:val="1A1A2E"/>
          <w:sz w:val="22"/>
          <w:szCs w:val="22"/>
        </w:rPr>
        <w:t xml:space="preserve">Stores compact, settlement-critical on-chain state only. The registry enforces: marketId + metadataHash + maturityTimestamp + oracleInterface + settlementRule.</w:t>
      </w:r>
    </w:p>
    <w:p>
      <w:pPr>
        <w:spacing w:after="40" w:before="0"/>
      </w:pPr>
      <w:r>
        <w:t xml:space="preserve"/>
      </w:r>
    </w:p>
    <w:p>
      <w:pPr>
        <w:spacing w:after="140" w:before="0"/>
        <w:jc w:val="both"/>
      </w:pPr>
      <w:r>
        <w:rPr>
          <w:rFonts w:ascii="Arial" w:cs="Arial" w:eastAsia="Arial" w:hAnsi="Arial"/>
          <w:i w:val="false"/>
          <w:iCs w:val="false"/>
          <w:color w:val="1A1A2E"/>
          <w:sz w:val="22"/>
          <w:szCs w:val="22"/>
        </w:rPr>
        <w:t xml:space="preserve">On-chain fields (stored in contract):</w:t>
      </w:r>
    </w:p>
    <w:p>
      <w:pPr>
        <w:pStyle w:val="ListParagraph"/>
        <w:numPr>
          <w:ilvl w:val="0"/>
          <w:numId w:val="2"/>
        </w:numPr>
        <w:spacing w:after="80" w:before="40"/>
      </w:pPr>
      <w:r>
        <w:rPr>
          <w:rFonts w:ascii="Arial" w:cs="Arial" w:eastAsia="Arial" w:hAnsi="Arial"/>
          <w:color w:val="1A1A2E"/>
          <w:sz w:val="22"/>
          <w:szCs w:val="22"/>
        </w:rPr>
        <w:t xml:space="preserve">Market ID, market type, creator ID</w:t>
      </w:r>
    </w:p>
    <w:p>
      <w:pPr>
        <w:pStyle w:val="ListParagraph"/>
        <w:numPr>
          <w:ilvl w:val="0"/>
          <w:numId w:val="2"/>
        </w:numPr>
        <w:spacing w:after="80" w:before="40"/>
      </w:pPr>
      <w:r>
        <w:rPr>
          <w:rFonts w:ascii="Arial" w:cs="Arial" w:eastAsia="Arial" w:hAnsi="Arial"/>
          <w:color w:val="1A1A2E"/>
          <w:sz w:val="22"/>
          <w:szCs w:val="22"/>
        </w:rPr>
        <w:t xml:space="preserve">Metadata hash (cryptographic binding to off-chain context)</w:t>
      </w:r>
    </w:p>
    <w:p>
      <w:pPr>
        <w:pStyle w:val="ListParagraph"/>
        <w:numPr>
          <w:ilvl w:val="0"/>
          <w:numId w:val="2"/>
        </w:numPr>
        <w:spacing w:after="80" w:before="40"/>
      </w:pPr>
      <w:r>
        <w:rPr>
          <w:rFonts w:ascii="Arial" w:cs="Arial" w:eastAsia="Arial" w:hAnsi="Arial"/>
          <w:color w:val="1A1A2E"/>
          <w:sz w:val="22"/>
          <w:szCs w:val="22"/>
        </w:rPr>
        <w:t xml:space="preserve">Maturity timestamp</w:t>
      </w:r>
    </w:p>
    <w:p>
      <w:pPr>
        <w:pStyle w:val="ListParagraph"/>
        <w:numPr>
          <w:ilvl w:val="0"/>
          <w:numId w:val="2"/>
        </w:numPr>
        <w:spacing w:after="80" w:before="40"/>
      </w:pPr>
      <w:r>
        <w:rPr>
          <w:rFonts w:ascii="Arial" w:cs="Arial" w:eastAsia="Arial" w:hAnsi="Arial"/>
          <w:color w:val="1A1A2E"/>
          <w:sz w:val="22"/>
          <w:szCs w:val="22"/>
        </w:rPr>
        <w:t xml:space="preserve">Oracle interface ID and oracle query ID</w:t>
      </w:r>
    </w:p>
    <w:p>
      <w:pPr>
        <w:pStyle w:val="ListParagraph"/>
        <w:numPr>
          <w:ilvl w:val="0"/>
          <w:numId w:val="2"/>
        </w:numPr>
        <w:spacing w:after="80" w:before="40"/>
      </w:pPr>
      <w:r>
        <w:rPr>
          <w:rFonts w:ascii="Arial" w:cs="Arial" w:eastAsia="Arial" w:hAnsi="Arial"/>
          <w:color w:val="1A1A2E"/>
          <w:sz w:val="22"/>
          <w:szCs w:val="22"/>
        </w:rPr>
        <w:t xml:space="preserve">Threshold or numeric condition value</w:t>
      </w:r>
    </w:p>
    <w:p>
      <w:pPr>
        <w:pStyle w:val="ListParagraph"/>
        <w:numPr>
          <w:ilvl w:val="0"/>
          <w:numId w:val="2"/>
        </w:numPr>
        <w:spacing w:after="80" w:before="40"/>
      </w:pPr>
      <w:r>
        <w:rPr>
          <w:rFonts w:ascii="Arial" w:cs="Arial" w:eastAsia="Arial" w:hAnsi="Arial"/>
          <w:color w:val="1A1A2E"/>
          <w:sz w:val="22"/>
          <w:szCs w:val="22"/>
        </w:rPr>
        <w:t xml:space="preserve">Outcome bits, status flags, dispute state, settlement state</w:t>
      </w:r>
    </w:p>
    <w:p>
      <w:pPr>
        <w:pStyle w:val="ListParagraph"/>
        <w:numPr>
          <w:ilvl w:val="0"/>
          <w:numId w:val="2"/>
        </w:numPr>
        <w:spacing w:after="80" w:before="40"/>
      </w:pPr>
      <w:r>
        <w:rPr>
          <w:rFonts w:ascii="Arial" w:cs="Arial" w:eastAsia="Arial" w:hAnsi="Arial"/>
          <w:color w:val="1A1A2E"/>
          <w:sz w:val="22"/>
          <w:szCs w:val="22"/>
        </w:rPr>
        <w:t xml:space="preserve">External compatibility flags and cross-chain proof hook references (V1 target)</w:t>
      </w:r>
    </w:p>
    <w:p>
      <w:pPr>
        <w:spacing w:after="40" w:before="0"/>
      </w:pPr>
      <w:r>
        <w:t xml:space="preserve"/>
      </w:r>
    </w:p>
    <w:p>
      <w:pPr>
        <w:spacing w:after="140" w:before="0"/>
        <w:jc w:val="both"/>
      </w:pPr>
      <w:r>
        <w:rPr>
          <w:rFonts w:ascii="Arial" w:cs="Arial" w:eastAsia="Arial" w:hAnsi="Arial"/>
          <w:i w:val="false"/>
          <w:iCs w:val="false"/>
          <w:color w:val="1A1A2E"/>
          <w:sz w:val="22"/>
          <w:szCs w:val="22"/>
        </w:rPr>
        <w:t xml:space="preserve">Off-chain fields (stored in indexer, bound by metadata hash):</w:t>
      </w:r>
    </w:p>
    <w:p>
      <w:pPr>
        <w:pStyle w:val="ListParagraph"/>
        <w:numPr>
          <w:ilvl w:val="0"/>
          <w:numId w:val="2"/>
        </w:numPr>
        <w:spacing w:after="80" w:before="40"/>
      </w:pPr>
      <w:r>
        <w:rPr>
          <w:rFonts w:ascii="Arial" w:cs="Arial" w:eastAsia="Arial" w:hAnsi="Arial"/>
          <w:color w:val="1A1A2E"/>
          <w:sz w:val="22"/>
          <w:szCs w:val="22"/>
        </w:rPr>
        <w:t xml:space="preserve">Full market question and long-form description</w:t>
      </w:r>
    </w:p>
    <w:p>
      <w:pPr>
        <w:pStyle w:val="ListParagraph"/>
        <w:numPr>
          <w:ilvl w:val="0"/>
          <w:numId w:val="2"/>
        </w:numPr>
        <w:spacing w:after="80" w:before="40"/>
      </w:pPr>
      <w:r>
        <w:rPr>
          <w:rFonts w:ascii="Arial" w:cs="Arial" w:eastAsia="Arial" w:hAnsi="Arial"/>
          <w:color w:val="1A1A2E"/>
          <w:sz w:val="22"/>
          <w:szCs w:val="22"/>
        </w:rPr>
        <w:t xml:space="preserve">Source documentation and resolution explanation</w:t>
      </w:r>
    </w:p>
    <w:p>
      <w:pPr>
        <w:pStyle w:val="ListParagraph"/>
        <w:numPr>
          <w:ilvl w:val="0"/>
          <w:numId w:val="2"/>
        </w:numPr>
        <w:spacing w:after="80" w:before="40"/>
      </w:pPr>
      <w:r>
        <w:rPr>
          <w:rFonts w:ascii="Arial" w:cs="Arial" w:eastAsia="Arial" w:hAnsi="Arial"/>
          <w:color w:val="1A1A2E"/>
          <w:sz w:val="22"/>
          <w:szCs w:val="22"/>
        </w:rPr>
        <w:t xml:space="preserve">Historical probability charts and analytics</w:t>
      </w:r>
    </w:p>
    <w:p>
      <w:pPr>
        <w:pStyle w:val="ListParagraph"/>
        <w:numPr>
          <w:ilvl w:val="0"/>
          <w:numId w:val="2"/>
        </w:numPr>
        <w:spacing w:after="80" w:before="40"/>
      </w:pPr>
      <w:r>
        <w:rPr>
          <w:rFonts w:ascii="Arial" w:cs="Arial" w:eastAsia="Arial" w:hAnsi="Arial"/>
          <w:color w:val="1A1A2E"/>
          <w:sz w:val="22"/>
          <w:szCs w:val="22"/>
        </w:rPr>
        <w:t xml:space="preserve">Agent-readable JSON schema</w:t>
      </w:r>
    </w:p>
    <w:p>
      <w:pPr>
        <w:pStyle w:val="ListParagraph"/>
        <w:numPr>
          <w:ilvl w:val="0"/>
          <w:numId w:val="2"/>
        </w:numPr>
        <w:spacing w:after="80" w:before="40"/>
      </w:pPr>
      <w:r>
        <w:rPr>
          <w:rFonts w:ascii="Arial" w:cs="Arial" w:eastAsia="Arial" w:hAnsi="Arial"/>
          <w:color w:val="1A1A2E"/>
          <w:sz w:val="22"/>
          <w:szCs w:val="22"/>
        </w:rPr>
        <w:t xml:space="preserve">UI data and market commentary</w:t>
      </w:r>
    </w:p>
    <w:p>
      <w:pPr>
        <w:spacing w:after="80" w:before="0"/>
      </w:pPr>
      <w:r>
        <w:t xml:space="preserve"/>
      </w:r>
    </w:p>
    <w:p>
      <w:pPr>
        <w:pStyle w:val="Heading2"/>
        <w:pBdr>
          <w:bottom w:val="single" w:color="1C6EA4" w:sz="2" w:space="1"/>
        </w:pBdr>
        <w:spacing w:after="120" w:before="340"/>
      </w:pPr>
      <w:r>
        <w:rPr>
          <w:rFonts w:ascii="Arial" w:cs="Arial" w:eastAsia="Arial" w:hAnsi="Arial"/>
          <w:b/>
          <w:bCs/>
          <w:color w:val="1A3A5C"/>
          <w:sz w:val="28"/>
          <w:szCs w:val="28"/>
        </w:rPr>
        <w:t xml:space="preserve">4.3  Position Ledger</w:t>
      </w:r>
    </w:p>
    <w:p>
      <w:pPr>
        <w:spacing w:after="140" w:before="0"/>
        <w:jc w:val="both"/>
      </w:pPr>
      <w:r>
        <w:rPr>
          <w:rFonts w:ascii="Arial" w:cs="Arial" w:eastAsia="Arial" w:hAnsi="Arial"/>
          <w:i w:val="false"/>
          <w:iCs w:val="false"/>
          <w:color w:val="1A1A2E"/>
          <w:sz w:val="22"/>
          <w:szCs w:val="22"/>
        </w:rPr>
        <w:t xml:space="preserve">Tracks participant exposure and internal $QUBIC balances inside the contract. Participants transfer $QUBIC into contract-controlled market balances through Qubic function calls; the ledger then tracks positions, settlement eligibility, and dispute-bond status. Initial versions support binary YES/NO markets. Later versions may support scalar or multi-outcome markets.</w:t>
      </w:r>
    </w:p>
    <w:p>
      <w:pPr>
        <w:spacing w:after="80" w:before="0"/>
      </w:pPr>
      <w:r>
        <w:t xml:space="preserve"/>
      </w:r>
    </w:p>
    <w:p>
      <w:pPr>
        <w:pStyle w:val="Heading2"/>
        <w:pBdr>
          <w:bottom w:val="single" w:color="1C6EA4" w:sz="2" w:space="1"/>
        </w:pBdr>
        <w:spacing w:after="120" w:before="340"/>
      </w:pPr>
      <w:r>
        <w:rPr>
          <w:rFonts w:ascii="Arial" w:cs="Arial" w:eastAsia="Arial" w:hAnsi="Arial"/>
          <w:b/>
          <w:bCs/>
          <w:color w:val="1A3A5C"/>
          <w:sz w:val="28"/>
          <w:szCs w:val="28"/>
        </w:rPr>
        <w:t xml:space="preserve">4.4  Oracle Request Layer — Target Architecture</w:t>
      </w:r>
    </w:p>
    <w:p>
      <w:pPr>
        <w:spacing w:after="140" w:before="0"/>
        <w:jc w:val="both"/>
      </w:pPr>
      <w:r>
        <w:rPr>
          <w:rFonts w:ascii="Arial" w:cs="Arial" w:eastAsia="Arial" w:hAnsi="Arial"/>
          <w:i w:val="false"/>
          <w:iCs w:val="false"/>
          <w:color w:val="1A1A2E"/>
          <w:sz w:val="22"/>
          <w:szCs w:val="22"/>
        </w:rPr>
        <w:t xml:space="preserve">Qassandra is designed to integrate with Qubic-native OracleQuery / OracleReply mechanics and any quorum, reveal, or validation model exposed by Qubic Oracle Machines. The specific mechanics will follow Qubic’s oracle interface as implemented.</w:t>
      </w:r>
    </w:p>
    <w:p>
      <w:pPr>
        <w:spacing w:after="40" w:before="0"/>
      </w:pPr>
      <w:r>
        <w:t xml:space="preserve"/>
      </w:r>
    </w:p>
    <w:p>
      <w:pPr>
        <w:spacing w:after="140" w:before="0"/>
        <w:jc w:val="both"/>
      </w:pPr>
      <w:r>
        <w:rPr>
          <w:rFonts w:ascii="Arial" w:cs="Arial" w:eastAsia="Arial" w:hAnsi="Arial"/>
          <w:i w:val="false"/>
          <w:iCs w:val="false"/>
          <w:color w:val="1A1A2E"/>
          <w:sz w:val="22"/>
          <w:szCs w:val="22"/>
        </w:rPr>
        <w:t xml:space="preserve">Planned oracle primitives:</w:t>
      </w:r>
    </w:p>
    <w:p>
      <w:pPr>
        <w:pStyle w:val="ListParagraph"/>
        <w:numPr>
          <w:ilvl w:val="0"/>
          <w:numId w:val="2"/>
        </w:numPr>
        <w:spacing w:after="80" w:before="40"/>
      </w:pPr>
      <w:r>
        <w:rPr>
          <w:rFonts w:ascii="Arial" w:cs="Arial" w:eastAsia="Arial" w:hAnsi="Arial"/>
          <w:color w:val="1A1A2E"/>
          <w:sz w:val="22"/>
          <w:szCs w:val="22"/>
        </w:rPr>
        <w:t xml:space="preserve">OracleQuery — the structured request submitted to the oracle interface</w:t>
      </w:r>
    </w:p>
    <w:p>
      <w:pPr>
        <w:pStyle w:val="ListParagraph"/>
        <w:numPr>
          <w:ilvl w:val="0"/>
          <w:numId w:val="2"/>
        </w:numPr>
        <w:spacing w:after="80" w:before="40"/>
      </w:pPr>
      <w:r>
        <w:rPr>
          <w:rFonts w:ascii="Arial" w:cs="Arial" w:eastAsia="Arial" w:hAnsi="Arial"/>
          <w:color w:val="1A1A2E"/>
          <w:sz w:val="22"/>
          <w:szCs w:val="22"/>
        </w:rPr>
        <w:t xml:space="preserve">OracleReply — the response returned by Computors</w:t>
      </w:r>
    </w:p>
    <w:p>
      <w:pPr>
        <w:pStyle w:val="ListParagraph"/>
        <w:numPr>
          <w:ilvl w:val="0"/>
          <w:numId w:val="2"/>
        </w:numPr>
        <w:spacing w:after="80" w:before="40"/>
      </w:pPr>
      <w:r>
        <w:rPr>
          <w:rFonts w:ascii="Arial" w:cs="Arial" w:eastAsia="Arial" w:hAnsi="Arial"/>
          <w:color w:val="1A1A2E"/>
          <w:sz w:val="22"/>
          <w:szCs w:val="22"/>
        </w:rPr>
        <w:t xml:space="preserve">Commit phase — Computors submit hashed oracle replies</w:t>
      </w:r>
    </w:p>
    <w:p>
      <w:pPr>
        <w:pStyle w:val="ListParagraph"/>
        <w:numPr>
          <w:ilvl w:val="0"/>
          <w:numId w:val="2"/>
        </w:numPr>
        <w:spacing w:after="80" w:before="40"/>
      </w:pPr>
      <w:r>
        <w:rPr>
          <w:rFonts w:ascii="Arial" w:cs="Arial" w:eastAsia="Arial" w:hAnsi="Arial"/>
          <w:color w:val="1A1A2E"/>
          <w:sz w:val="22"/>
          <w:szCs w:val="22"/>
        </w:rPr>
        <w:t xml:space="preserve">Reveal phase — Computors reveal replies; quorum is checked</w:t>
      </w:r>
    </w:p>
    <w:p>
      <w:pPr>
        <w:pStyle w:val="ListParagraph"/>
        <w:numPr>
          <w:ilvl w:val="0"/>
          <w:numId w:val="2"/>
        </w:numPr>
        <w:spacing w:after="80" w:before="40"/>
      </w:pPr>
      <w:r>
        <w:rPr>
          <w:rFonts w:ascii="Arial" w:cs="Arial" w:eastAsia="Arial" w:hAnsi="Arial"/>
          <w:color w:val="1A1A2E"/>
          <w:sz w:val="22"/>
          <w:szCs w:val="22"/>
        </w:rPr>
        <w:t xml:space="preserve">Quorum-validated oracle response — the agreed reply used as oracle-supported settlement context</w:t>
      </w:r>
    </w:p>
    <w:p>
      <w:pPr>
        <w:pStyle w:val="ListParagraph"/>
        <w:numPr>
          <w:ilvl w:val="0"/>
          <w:numId w:val="2"/>
        </w:numPr>
        <w:spacing w:after="80" w:before="40"/>
      </w:pPr>
      <w:r>
        <w:rPr>
          <w:rFonts w:ascii="Arial" w:cs="Arial" w:eastAsia="Arial" w:hAnsi="Arial"/>
          <w:color w:val="1A1A2E"/>
          <w:sz w:val="22"/>
          <w:szCs w:val="22"/>
        </w:rPr>
        <w:t xml:space="preserve">Timeout / unresolvable state — fallback trigger for invalid-market logic</w:t>
      </w:r>
    </w:p>
    <w:p>
      <w:pPr>
        <w:spacing w:after="40" w:before="0"/>
      </w:pPr>
      <w:r>
        <w:t xml:space="preserve"/>
      </w:r>
    </w:p>
    <w:p>
      <w:pPr>
        <w:spacing w:after="140" w:before="0"/>
        <w:jc w:val="both"/>
      </w:pPr>
      <w:r>
        <w:rPr>
          <w:rFonts w:ascii="Arial" w:cs="Arial" w:eastAsia="Arial" w:hAnsi="Arial"/>
          <w:i w:val="false"/>
          <w:iCs w:val="false"/>
          <w:color w:val="1A1A2E"/>
          <w:sz w:val="22"/>
          <w:szCs w:val="22"/>
        </w:rPr>
        <w:t xml:space="preserve">The indexer may display human-readable evidence, source links, and explanatory context—but the on-chain contract relies only on compact oracle state and deterministic settlement logic.</w:t>
      </w:r>
    </w:p>
    <w:p>
      <w:pPr>
        <w:spacing w:after="140" w:before="0"/>
        <w:jc w:val="both"/>
      </w:pPr>
      <w:r>
        <w:rPr>
          <w:rFonts w:ascii="Arial" w:cs="Arial" w:eastAsia="Arial" w:hAnsi="Arial"/>
          <w:i w:val="false"/>
          <w:iCs w:val="false"/>
          <w:color w:val="1A1A2E"/>
          <w:sz w:val="22"/>
          <w:szCs w:val="22"/>
        </w:rPr>
        <w:t xml:space="preserve">In V1, the oracle request layer is also designed to process external messages arriving through the adapter layer. External messages may inform oracle context but cannot override quorum-validated resolution.</w:t>
      </w:r>
    </w:p>
    <w:p>
      <w:pPr>
        <w:spacing w:after="80" w:before="0"/>
      </w:pPr>
      <w:r>
        <w:t xml:space="preserve"/>
      </w:r>
    </w:p>
    <w:p>
      <w:pPr>
        <w:pStyle w:val="Heading2"/>
        <w:pBdr>
          <w:bottom w:val="single" w:color="1C6EA4" w:sz="2" w:space="1"/>
        </w:pBdr>
        <w:spacing w:after="120" w:before="340"/>
      </w:pPr>
      <w:r>
        <w:rPr>
          <w:rFonts w:ascii="Arial" w:cs="Arial" w:eastAsia="Arial" w:hAnsi="Arial"/>
          <w:b/>
          <w:bCs/>
          <w:color w:val="1A3A5C"/>
          <w:sz w:val="28"/>
          <w:szCs w:val="28"/>
        </w:rPr>
        <w:t xml:space="preserve">4.5  Resolution Engine — Target Architecture</w:t>
      </w:r>
    </w:p>
    <w:p>
      <w:pPr>
        <w:spacing w:after="140" w:before="0"/>
        <w:jc w:val="both"/>
      </w:pPr>
      <w:r>
        <w:rPr>
          <w:rFonts w:ascii="Arial" w:cs="Arial" w:eastAsia="Arial" w:hAnsi="Arial"/>
          <w:i w:val="false"/>
          <w:iCs w:val="false"/>
          <w:color w:val="1A1A2E"/>
          <w:sz w:val="22"/>
          <w:szCs w:val="22"/>
        </w:rPr>
        <w:t xml:space="preserve">Maps a quorum-validated oracle response into a market outcome. Resolution checks:</w:t>
      </w:r>
    </w:p>
    <w:p>
      <w:pPr>
        <w:pStyle w:val="ListParagraph"/>
        <w:numPr>
          <w:ilvl w:val="0"/>
          <w:numId w:val="2"/>
        </w:numPr>
        <w:spacing w:after="80" w:before="40"/>
      </w:pPr>
      <w:r>
        <w:rPr>
          <w:rFonts w:ascii="Arial" w:cs="Arial" w:eastAsia="Arial" w:hAnsi="Arial"/>
          <w:color w:val="1A1A2E"/>
          <w:sz w:val="22"/>
          <w:szCs w:val="22"/>
        </w:rPr>
        <w:t xml:space="preserve">Market maturity confirmed</w:t>
      </w:r>
    </w:p>
    <w:p>
      <w:pPr>
        <w:pStyle w:val="ListParagraph"/>
        <w:numPr>
          <w:ilvl w:val="0"/>
          <w:numId w:val="2"/>
        </w:numPr>
        <w:spacing w:after="80" w:before="40"/>
      </w:pPr>
      <w:r>
        <w:rPr>
          <w:rFonts w:ascii="Arial" w:cs="Arial" w:eastAsia="Arial" w:hAnsi="Arial"/>
          <w:color w:val="1A1A2E"/>
          <w:sz w:val="22"/>
          <w:szCs w:val="22"/>
        </w:rPr>
        <w:t xml:space="preserve">Oracle response status is valid and accepted</w:t>
      </w:r>
    </w:p>
    <w:p>
      <w:pPr>
        <w:pStyle w:val="ListParagraph"/>
        <w:numPr>
          <w:ilvl w:val="0"/>
          <w:numId w:val="2"/>
        </w:numPr>
        <w:spacing w:after="80" w:before="40"/>
      </w:pPr>
      <w:r>
        <w:rPr>
          <w:rFonts w:ascii="Arial" w:cs="Arial" w:eastAsia="Arial" w:hAnsi="Arial"/>
          <w:color w:val="1A1A2E"/>
          <w:sz w:val="22"/>
          <w:szCs w:val="22"/>
        </w:rPr>
        <w:t xml:space="preserve">Reply format matches the oracle interface specification</w:t>
      </w:r>
    </w:p>
    <w:p>
      <w:pPr>
        <w:pStyle w:val="ListParagraph"/>
        <w:numPr>
          <w:ilvl w:val="0"/>
          <w:numId w:val="2"/>
        </w:numPr>
        <w:spacing w:after="80" w:before="40"/>
      </w:pPr>
      <w:r>
        <w:rPr>
          <w:rFonts w:ascii="Arial" w:cs="Arial" w:eastAsia="Arial" w:hAnsi="Arial"/>
          <w:color w:val="1A1A2E"/>
          <w:sz w:val="22"/>
          <w:szCs w:val="22"/>
        </w:rPr>
        <w:t xml:space="preserve">Dispute window open or expired per market rules</w:t>
      </w:r>
    </w:p>
    <w:p>
      <w:pPr>
        <w:pStyle w:val="ListParagraph"/>
        <w:numPr>
          <w:ilvl w:val="0"/>
          <w:numId w:val="2"/>
        </w:numPr>
        <w:spacing w:after="80" w:before="40"/>
      </w:pPr>
      <w:r>
        <w:rPr>
          <w:rFonts w:ascii="Arial" w:cs="Arial" w:eastAsia="Arial" w:hAnsi="Arial"/>
          <w:color w:val="1A1A2E"/>
          <w:sz w:val="22"/>
          <w:szCs w:val="22"/>
        </w:rPr>
        <w:t xml:space="preserve">Invalid-market conditions not triggered</w:t>
      </w:r>
    </w:p>
    <w:p>
      <w:pPr>
        <w:pStyle w:val="ListParagraph"/>
        <w:numPr>
          <w:ilvl w:val="0"/>
          <w:numId w:val="2"/>
        </w:numPr>
        <w:spacing w:after="80" w:before="40"/>
      </w:pPr>
      <w:r>
        <w:rPr>
          <w:rFonts w:ascii="Arial" w:cs="Arial" w:eastAsia="Arial" w:hAnsi="Arial"/>
          <w:color w:val="1A1A2E"/>
          <w:sz w:val="22"/>
          <w:szCs w:val="22"/>
        </w:rPr>
        <w:t xml:space="preserve">Settlement eligibility confirmed</w:t>
      </w:r>
    </w:p>
    <w:p>
      <w:pPr>
        <w:spacing w:after="80" w:before="0"/>
      </w:pPr>
      <w:r>
        <w:t xml:space="preserve"/>
      </w:r>
    </w:p>
    <w:p>
      <w:pPr>
        <w:pStyle w:val="Heading2"/>
        <w:pBdr>
          <w:bottom w:val="single" w:color="1C6EA4" w:sz="2" w:space="1"/>
        </w:pBdr>
        <w:spacing w:after="120" w:before="340"/>
      </w:pPr>
      <w:r>
        <w:rPr>
          <w:rFonts w:ascii="Arial" w:cs="Arial" w:eastAsia="Arial" w:hAnsi="Arial"/>
          <w:b/>
          <w:bCs/>
          <w:color w:val="1A3A5C"/>
          <w:sz w:val="28"/>
          <w:szCs w:val="28"/>
        </w:rPr>
        <w:t xml:space="preserve">4.6  Settlement Module</w:t>
      </w:r>
    </w:p>
    <w:p>
      <w:pPr>
        <w:spacing w:after="140" w:before="0"/>
        <w:jc w:val="both"/>
      </w:pPr>
      <w:r>
        <w:rPr>
          <w:rFonts w:ascii="Arial" w:cs="Arial" w:eastAsia="Arial" w:hAnsi="Arial"/>
          <w:i w:val="false"/>
          <w:iCs w:val="false"/>
          <w:color w:val="1A1A2E"/>
          <w:sz w:val="22"/>
          <w:szCs w:val="22"/>
        </w:rPr>
        <w:t xml:space="preserve">Executes final payout exclusively in $QUBIC. Settlement does not use QUSD, stablecoins, bridged stablecoins, or any external asset. Settlement is a claim-based mechanism: eligible participants claim their $QUBIC payouts from the contract-controlled market balance after settlement eligibility is confirmed. Each settlement action is local to its market and does not affect global contract state or other markets.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6EA4" w:sz="4"/>
              <w:left w:val="single" w:color="1C6EA4" w:sz="8"/>
              <w:bottom w:val="single" w:color="CCCCCC" w:sz="1"/>
              <w:right w:val="none" w:color="FFFFFF" w:sz="0"/>
            </w:tcBorders>
            <w:shd w:fill="EAF2FB" w:val="clear"/>
            <w:tcMar>
              <w:top w:type="dxa" w:w="120"/>
              <w:left w:type="dxa" w:w="200"/>
              <w:bottom w:type="dxa" w:w="120"/>
              <w:right w:type="dxa" w:w="200"/>
            </w:tcMar>
          </w:tcPr>
          <w:p>
            <w:pPr>
              <w:spacing w:after="80" w:before="60"/>
            </w:pPr>
            <w:r>
              <w:rPr>
                <w:rFonts w:ascii="Arial" w:cs="Arial" w:eastAsia="Arial" w:hAnsi="Arial"/>
                <w:b/>
                <w:bCs/>
                <w:color w:val="1A3A5C"/>
                <w:sz w:val="22"/>
                <w:szCs w:val="22"/>
              </w:rPr>
              <w:t xml:space="preserve">Correct Settlement Framing</w:t>
            </w:r>
          </w:p>
          <w:p>
            <w:pPr>
              <w:pStyle w:val="ListParagraph"/>
              <w:numPr>
                <w:ilvl w:val="0"/>
                <w:numId w:val="2"/>
              </w:numPr>
              <w:spacing w:after="40" w:before="20"/>
            </w:pPr>
            <w:r>
              <w:rPr>
                <w:rFonts w:ascii="Arial" w:cs="Arial" w:eastAsia="Arial" w:hAnsi="Arial"/>
                <w:color w:val="1A1A2E"/>
                <w:sz w:val="20"/>
                <w:szCs w:val="20"/>
              </w:rPr>
              <w:t xml:space="preserve">Correct: “Will QUBIC/USD close above $X by date Y? Settlement in $QUBIC.”</w:t>
            </w:r>
          </w:p>
          <w:p>
            <w:pPr>
              <w:pStyle w:val="ListParagraph"/>
              <w:numPr>
                <w:ilvl w:val="0"/>
                <w:numId w:val="2"/>
              </w:numPr>
              <w:spacing w:after="40" w:before="20"/>
            </w:pPr>
            <w:r>
              <w:rPr>
                <w:rFonts w:ascii="Arial" w:cs="Arial" w:eastAsia="Arial" w:hAnsi="Arial"/>
                <w:color w:val="1A1A2E"/>
                <w:sz w:val="20"/>
                <w:szCs w:val="20"/>
              </w:rPr>
              <w:t xml:space="preserve">Incorrect: “Users settle in QUSD or stablecoins.”</w:t>
            </w:r>
          </w:p>
          <w:p>
            <w:pPr>
              <w:pStyle w:val="ListParagraph"/>
              <w:numPr>
                <w:ilvl w:val="0"/>
                <w:numId w:val="2"/>
              </w:numPr>
              <w:spacing w:after="40" w:before="20"/>
            </w:pPr>
            <w:r>
              <w:rPr>
                <w:rFonts w:ascii="Arial" w:cs="Arial" w:eastAsia="Arial" w:hAnsi="Arial"/>
                <w:color w:val="1A1A2E"/>
                <w:sz w:val="20"/>
                <w:szCs w:val="20"/>
              </w:rPr>
              <w:t xml:space="preserve">External assets may appear only as reference points inside a market question—never as settlement or reward assets.</w:t>
            </w:r>
          </w:p>
          <w:p>
            <w:pPr>
              <w:spacing w:after="80" w:before="0"/>
            </w:pPr>
            <w:r>
              <w:t xml:space="preserve"/>
            </w:r>
          </w:p>
        </w:tc>
      </w:tr>
    </w:tbl>
    <w:p>
      <w:pPr>
        <w:spacing w:after="80" w:before="0"/>
      </w:pPr>
      <w:r>
        <w:t xml:space="preserve"/>
      </w:r>
    </w:p>
    <w:p>
      <w:pPr>
        <w:pStyle w:val="Heading2"/>
        <w:pBdr>
          <w:bottom w:val="single" w:color="1C6EA4" w:sz="2" w:space="1"/>
        </w:pBdr>
        <w:spacing w:after="120" w:before="340"/>
      </w:pPr>
      <w:r>
        <w:rPr>
          <w:rFonts w:ascii="Arial" w:cs="Arial" w:eastAsia="Arial" w:hAnsi="Arial"/>
          <w:b/>
          <w:bCs/>
          <w:color w:val="1A3A5C"/>
          <w:sz w:val="28"/>
          <w:szCs w:val="28"/>
        </w:rPr>
        <w:t xml:space="preserve">4.7  Risk Control Layer — Target Architecture</w:t>
      </w:r>
    </w:p>
    <w:p>
      <w:pPr>
        <w:spacing w:after="140" w:before="0"/>
        <w:jc w:val="both"/>
      </w:pPr>
      <w:r>
        <w:rPr>
          <w:rFonts w:ascii="Arial" w:cs="Arial" w:eastAsia="Arial" w:hAnsi="Arial"/>
          <w:i w:val="false"/>
          <w:iCs w:val="false"/>
          <w:color w:val="1A1A2E"/>
          <w:sz w:val="22"/>
          <w:szCs w:val="22"/>
        </w:rPr>
        <w:t xml:space="preserve">Defines exposure limits, dispute mechanics, invalid-market rules, emergency controls, and keeper requirements. See Section 13 for full market risk parameter specifications.</w:t>
      </w:r>
    </w:p>
    <w:p>
      <w:pPr>
        <w:spacing w:after="80" w:before="0"/>
      </w:pPr>
      <w:r>
        <w:t xml:space="preserve"/>
      </w:r>
    </w:p>
    <w:p>
      <w:pPr>
        <w:pStyle w:val="Heading2"/>
        <w:pBdr>
          <w:bottom w:val="single" w:color="1C6EA4" w:sz="2" w:space="1"/>
        </w:pBdr>
        <w:spacing w:after="120" w:before="340"/>
      </w:pPr>
      <w:r>
        <w:rPr>
          <w:rFonts w:ascii="Arial" w:cs="Arial" w:eastAsia="Arial" w:hAnsi="Arial"/>
          <w:b/>
          <w:bCs/>
          <w:color w:val="1A3A5C"/>
          <w:sz w:val="28"/>
          <w:szCs w:val="28"/>
        </w:rPr>
        <w:t xml:space="preserve">4.8  Agent Interface — Target Architecture</w:t>
      </w:r>
    </w:p>
    <w:p>
      <w:pPr>
        <w:spacing w:after="140" w:before="0"/>
        <w:jc w:val="both"/>
      </w:pPr>
      <w:r>
        <w:rPr>
          <w:rFonts w:ascii="Arial" w:cs="Arial" w:eastAsia="Arial" w:hAnsi="Arial"/>
          <w:i w:val="false"/>
          <w:iCs w:val="false"/>
          <w:color w:val="1A1A2E"/>
          <w:sz w:val="22"/>
          <w:szCs w:val="22"/>
        </w:rPr>
        <w:t xml:space="preserve">Exposes off-chain indexed market context for autonomous agents. On-chain state stays compact; the off-chain indexer serves rich context packets. Agent-access revenue may use $QUBIC-denominated access credits, subscriptions, or periodic settlement mechanisms. Not every off-chain agent read needs to become an on-chain transaction. Cryptographic binding via metadata hash ensures agents can verify that indexed context matches on-chain commitments.</w:t>
      </w:r>
    </w:p>
    <w:p>
      <w:pPr>
        <w:spacing w:after="140" w:before="0"/>
        <w:jc w:val="both"/>
      </w:pPr>
      <w:r>
        <w:rPr>
          <w:rFonts w:ascii="Arial" w:cs="Arial" w:eastAsia="Arial" w:hAnsi="Arial"/>
          <w:i w:val="false"/>
          <w:iCs w:val="false"/>
          <w:color w:val="1A1A2E"/>
          <w:sz w:val="22"/>
          <w:szCs w:val="22"/>
        </w:rPr>
        <w:t xml:space="preserve">In V1, agents may also consume canonical market metadata and cross-chain proof hook status through the off-chain indexer, enabling agents to monitor external signal pipelines without requiring on-chain state bloat.</w:t>
      </w:r>
    </w:p>
    <w:p>
      <w:pPr>
        <w:spacing w:after="200" w:before="0"/>
      </w:pPr>
      <w:r>
        <w:t xml:space="preserve"/>
      </w:r>
    </w:p>
    <w:p>
      <w:r>
        <w:br w:type="page"/>
      </w:r>
    </w:p>
    <w:p>
      <w:pPr>
        <w:pStyle w:val="Heading1"/>
        <w:shd w:fill="1A3A5C" w:val="clear"/>
        <w:spacing w:after="200" w:before="440"/>
        <w:ind w:left="200" w:right="200"/>
      </w:pPr>
      <w:r>
        <w:rPr>
          <w:rFonts w:ascii="Arial" w:cs="Arial" w:eastAsia="Arial" w:hAnsi="Arial"/>
          <w:b/>
          <w:bCs/>
          <w:color w:val="FFFFFF"/>
          <w:sz w:val="36"/>
          <w:szCs w:val="36"/>
        </w:rPr>
        <w:t xml:space="preserve">5. Qubic-Native Revenue and Execution Model</w:t>
      </w:r>
    </w:p>
    <w:p>
      <w:pPr>
        <w:spacing w:after="80" w:before="0"/>
      </w:pPr>
      <w:r>
        <w:t xml:space="preserve"/>
      </w:r>
    </w:p>
    <w:p>
      <w:pPr>
        <w:spacing w:after="140" w:before="0"/>
        <w:jc w:val="both"/>
      </w:pPr>
      <w:r>
        <w:rPr>
          <w:rFonts w:ascii="Arial" w:cs="Arial" w:eastAsia="Arial" w:hAnsi="Arial"/>
          <w:i w:val="false"/>
          <w:iCs w:val="false"/>
          <w:color w:val="1A1A2E"/>
          <w:sz w:val="22"/>
          <w:szCs w:val="22"/>
        </w:rPr>
        <w:t xml:space="preserve">Qassandra’s revenue model is internal $QUBIC-denominated protocol flow—not gas-like transaction fees. Participants transfer $QUBIC into contract-controlled balances through function calls. The protocol then deducts and allocates $QUBIC internally from those balances: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1A3A5C" w:sz="4"/>
              <w:right w:val="single" w:color="CCCCCC" w:sz="1"/>
            </w:tcBorders>
            <w:shd w:fill="1A3A5C" w:val="clear"/>
            <w:tcMar>
              <w:top w:type="dxa" w:w="100"/>
              <w:left w:type="dxa" w:w="140"/>
              <w:bottom w:type="dxa" w:w="100"/>
              <w:right w:type="dxa" w:w="80"/>
            </w:tcMar>
          </w:tcPr>
          <w:p>
            <w:r>
              <w:rPr>
                <w:rFonts w:ascii="Arial" w:cs="Arial" w:eastAsia="Arial" w:hAnsi="Arial"/>
                <w:b/>
                <w:bCs/>
                <w:color w:val="FFFFFF"/>
                <w:sz w:val="22"/>
                <w:szCs w:val="22"/>
              </w:rPr>
              <w:t xml:space="preserve">Revenue Source</w:t>
            </w:r>
          </w:p>
        </w:tc>
        <w:tc>
          <w:tcPr>
            <w:tcW w:type="dxa" w:w="4680"/>
            <w:tcBorders>
              <w:top w:val="single" w:color="CCCCCC" w:sz="1"/>
              <w:left w:val="single" w:color="CCCCCC" w:sz="1"/>
              <w:bottom w:val="single" w:color="1A3A5C" w:sz="4"/>
              <w:right w:val="single" w:color="CCCCCC" w:sz="1"/>
            </w:tcBorders>
            <w:shd w:fill="1A3A5C" w:val="clear"/>
            <w:tcMar>
              <w:top w:type="dxa" w:w="100"/>
              <w:left w:type="dxa" w:w="140"/>
              <w:bottom w:type="dxa" w:w="100"/>
              <w:right w:type="dxa" w:w="80"/>
            </w:tcMar>
          </w:tcPr>
          <w:p>
            <w:r>
              <w:rPr>
                <w:rFonts w:ascii="Arial" w:cs="Arial" w:eastAsia="Arial" w:hAnsi="Arial"/>
                <w:b/>
                <w:bCs/>
                <w:color w:val="FFFFFF"/>
                <w:sz w:val="22"/>
                <w:szCs w:val="22"/>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Market creation premiums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$QUBIC transferred at market creation via function call</w:t>
            </w:r>
          </w:p>
        </w:tc>
      </w:tr>
      <w:tr>
        <w:tc>
          <w:tcPr>
            <w:tcW w:type="dxa" w:w="46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80"/>
            </w:tcMar>
          </w:tcPr>
          <w:p>
            <w:r>
              <w:rPr>
                <w:rFonts w:ascii="Arial" w:cs="Arial" w:eastAsia="Arial" w:hAnsi="Arial"/>
                <w:b w:val="false"/>
                <w:bCs w:val="false"/>
                <w:color w:val="1A1A2E"/>
                <w:sz w:val="20"/>
                <w:szCs w:val="20"/>
              </w:rPr>
              <w:t xml:space="preserve">Trading spread / protocol premium</w:t>
            </w:r>
          </w:p>
        </w:tc>
        <w:tc>
          <w:tcPr>
            <w:tcW w:type="dxa" w:w="46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80"/>
            </w:tcMar>
          </w:tcPr>
          <w:p>
            <w:r>
              <w:rPr>
                <w:rFonts w:ascii="Arial" w:cs="Arial" w:eastAsia="Arial" w:hAnsi="Arial"/>
                <w:b w:val="false"/>
                <w:bCs w:val="false"/>
                <w:color w:val="1A1A2E"/>
                <w:sz w:val="20"/>
                <w:szCs w:val="20"/>
              </w:rPr>
              <w:t xml:space="preserve">Internal spread deducted from market activity balances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Settlement deductions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Small $QUBIC deduction at final settlement</w:t>
            </w:r>
          </w:p>
        </w:tc>
      </w:tr>
      <w:tr>
        <w:tc>
          <w:tcPr>
            <w:tcW w:type="dxa" w:w="46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80"/>
            </w:tcMar>
          </w:tcPr>
          <w:p>
            <w:r>
              <w:rPr>
                <w:rFonts w:ascii="Arial" w:cs="Arial" w:eastAsia="Arial" w:hAnsi="Arial"/>
                <w:b w:val="false"/>
                <w:bCs w:val="false"/>
                <w:color w:val="1A1A2E"/>
                <w:sz w:val="20"/>
                <w:szCs w:val="20"/>
              </w:rPr>
              <w:t xml:space="preserve">Oracle-resolution allocation</w:t>
            </w:r>
          </w:p>
        </w:tc>
        <w:tc>
          <w:tcPr>
            <w:tcW w:type="dxa" w:w="46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80"/>
            </w:tcMar>
          </w:tcPr>
          <w:p>
            <w:r>
              <w:rPr>
                <w:rFonts w:ascii="Arial" w:cs="Arial" w:eastAsia="Arial" w:hAnsi="Arial"/>
                <w:b w:val="false"/>
                <w:bCs w:val="false"/>
                <w:color w:val="1A1A2E"/>
                <w:sz w:val="20"/>
                <w:szCs w:val="20"/>
              </w:rPr>
              <w:t xml:space="preserve">$QUBIC reserved to support Qubic-native oracle querying and resolution flow; not a conventional oracle-provider fee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Dispute bonds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Posted in $QUBIC by disputants; slashed or returned at resolution</w:t>
            </w:r>
          </w:p>
        </w:tc>
      </w:tr>
      <w:tr>
        <w:tc>
          <w:tcPr>
            <w:tcW w:type="dxa" w:w="46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80"/>
            </w:tcMar>
          </w:tcPr>
          <w:p>
            <w:r>
              <w:rPr>
                <w:rFonts w:ascii="Arial" w:cs="Arial" w:eastAsia="Arial" w:hAnsi="Arial"/>
                <w:b w:val="false"/>
                <w:bCs w:val="false"/>
                <w:color w:val="1A1A2E"/>
                <w:sz w:val="20"/>
                <w:szCs w:val="20"/>
              </w:rPr>
              <w:t xml:space="preserve">Agent-access charges</w:t>
            </w:r>
          </w:p>
        </w:tc>
        <w:tc>
          <w:tcPr>
            <w:tcW w:type="dxa" w:w="46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80"/>
            </w:tcMar>
          </w:tcPr>
          <w:p>
            <w:r>
              <w:rPr>
                <w:rFonts w:ascii="Arial" w:cs="Arial" w:eastAsia="Arial" w:hAnsi="Arial"/>
                <w:b w:val="false"/>
                <w:bCs w:val="false"/>
                <w:color w:val="1A1A2E"/>
                <w:sz w:val="20"/>
                <w:szCs w:val="20"/>
              </w:rPr>
              <w:t xml:space="preserve">$QUBIC-denominated credits, subscriptions, or periodic settlement for agent context access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Premium data-access fees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Charged in $QUBIC for enhanced indexer feeds</w:t>
            </w:r>
          </w:p>
        </w:tc>
      </w:tr>
      <w:tr>
        <w:tc>
          <w:tcPr>
            <w:tcW w:type="dxa" w:w="46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80"/>
            </w:tcMar>
          </w:tcPr>
          <w:p>
            <w:r>
              <w:rPr>
                <w:rFonts w:ascii="Arial" w:cs="Arial" w:eastAsia="Arial" w:hAnsi="Arial"/>
                <w:b w:val="false"/>
                <w:bCs w:val="false"/>
                <w:color w:val="1A1A2E"/>
                <w:sz w:val="20"/>
                <w:szCs w:val="20"/>
              </w:rPr>
              <w:t xml:space="preserve">White-label / licensing fees</w:t>
            </w:r>
          </w:p>
        </w:tc>
        <w:tc>
          <w:tcPr>
            <w:tcW w:type="dxa" w:w="46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80"/>
            </w:tcMar>
          </w:tcPr>
          <w:p>
            <w:r>
              <w:rPr>
                <w:rFonts w:ascii="Arial" w:cs="Arial" w:eastAsia="Arial" w:hAnsi="Arial"/>
                <w:b w:val="false"/>
                <w:bCs w:val="false"/>
                <w:color w:val="1A1A2E"/>
                <w:sz w:val="20"/>
                <w:szCs w:val="20"/>
              </w:rPr>
              <w:t xml:space="preserve">Must be denominated in or converted to $QUBIC before entering protocol revenue flow</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Keeper / resolver participation bonds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$QUBIC bonds posted by active protocol participants</w:t>
            </w:r>
          </w:p>
        </w:tc>
      </w:tr>
      <w:tr>
        <w:tc>
          <w:tcPr>
            <w:tcW w:type="dxa" w:w="46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80"/>
            </w:tcMar>
          </w:tcPr>
          <w:p>
            <w:r>
              <w:rPr>
                <w:rFonts w:ascii="Arial" w:cs="Arial" w:eastAsia="Arial" w:hAnsi="Arial"/>
                <w:b w:val="false"/>
                <w:bCs w:val="false"/>
                <w:color w:val="1A1A2E"/>
                <w:sz w:val="20"/>
                <w:szCs w:val="20"/>
              </w:rPr>
              <w:t xml:space="preserve">Market-category activation deposits</w:t>
            </w:r>
          </w:p>
        </w:tc>
        <w:tc>
          <w:tcPr>
            <w:tcW w:type="dxa" w:w="46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80"/>
            </w:tcMar>
          </w:tcPr>
          <w:p>
            <w:r>
              <w:rPr>
                <w:rFonts w:ascii="Arial" w:cs="Arial" w:eastAsia="Arial" w:hAnsi="Arial"/>
                <w:b w:val="false"/>
                <w:bCs w:val="false"/>
                <w:color w:val="1A1A2E"/>
                <w:sz w:val="20"/>
                <w:szCs w:val="20"/>
              </w:rPr>
              <w:t xml:space="preserve">Required for new QOMN templates or high-risk categories, subject to governance approval</w:t>
            </w:r>
          </w:p>
        </w:tc>
      </w:tr>
    </w:tbl>
    <w:p>
      <w:pPr>
        <w:spacing w:after="120" w:before="0"/>
      </w:pPr>
      <w:r>
        <w:t xml:space="preserve"/>
      </w:r>
    </w:p>
    <w:p>
      <w:pPr>
        <w:pStyle w:val="Heading3"/>
        <w:spacing w:after="80" w:before="240"/>
      </w:pPr>
      <w:r>
        <w:rPr>
          <w:rFonts w:ascii="Arial" w:cs="Arial" w:eastAsia="Arial" w:hAnsi="Arial"/>
          <w:b/>
          <w:bCs/>
          <w:color w:val="1C6EA4"/>
          <w:sz w:val="24"/>
          <w:szCs w:val="24"/>
        </w:rPr>
        <w:t xml:space="preserve">Protocol Allocation Flow</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6EA4" w:sz="4"/>
              <w:left w:val="single" w:color="1C6EA4" w:sz="8"/>
              <w:bottom w:val="single" w:color="CCCCCC" w:sz="1"/>
              <w:right w:val="none" w:color="FFFFFF" w:sz="0"/>
            </w:tcBorders>
            <w:shd w:fill="EAF2FB" w:val="clear"/>
            <w:tcMar>
              <w:top w:type="dxa" w:w="120"/>
              <w:left w:type="dxa" w:w="200"/>
              <w:bottom w:type="dxa" w:w="120"/>
              <w:right w:type="dxa" w:w="200"/>
            </w:tcMar>
          </w:tcPr>
          <w:p>
            <w:pPr>
              <w:spacing w:after="80" w:before="60"/>
            </w:pPr>
            <w:r>
              <w:rPr>
                <w:rFonts w:ascii="Arial" w:cs="Arial" w:eastAsia="Arial" w:hAnsi="Arial"/>
                <w:b/>
                <w:bCs/>
                <w:color w:val="1A3A5C"/>
                <w:sz w:val="22"/>
                <w:szCs w:val="22"/>
              </w:rPr>
              <w:t xml:space="preserve">$QUBIC Allocation Structure</w:t>
            </w:r>
          </w:p>
          <w:p>
            <w:pPr>
              <w:pStyle w:val="ListParagraph"/>
              <w:numPr>
                <w:ilvl w:val="0"/>
                <w:numId w:val="2"/>
              </w:numPr>
              <w:spacing w:after="40" w:before="20"/>
            </w:pPr>
            <w:r>
              <w:rPr>
                <w:rFonts w:ascii="Arial" w:cs="Arial" w:eastAsia="Arial" w:hAnsi="Arial"/>
                <w:color w:val="1A1A2E"/>
                <w:sz w:val="20"/>
                <w:szCs w:val="20"/>
              </w:rPr>
              <w:t xml:space="preserve">Participants transfer $QUBIC into contract-controlled market balances</w:t>
            </w:r>
          </w:p>
          <w:p>
            <w:pPr>
              <w:pStyle w:val="ListParagraph"/>
              <w:numPr>
                <w:ilvl w:val="0"/>
                <w:numId w:val="2"/>
              </w:numPr>
              <w:spacing w:after="40" w:before="20"/>
            </w:pPr>
            <w:r>
              <w:rPr>
                <w:rFonts w:ascii="Arial" w:cs="Arial" w:eastAsia="Arial" w:hAnsi="Arial"/>
                <w:color w:val="1A1A2E"/>
                <w:sz w:val="20"/>
                <w:szCs w:val="20"/>
              </w:rPr>
              <w:t xml:space="preserve">↓ Internal $QUBIC ledger deductions and allocations</w:t>
            </w:r>
          </w:p>
          <w:p>
            <w:pPr>
              <w:pStyle w:val="ListParagraph"/>
              <w:numPr>
                <w:ilvl w:val="0"/>
                <w:numId w:val="2"/>
              </w:numPr>
              <w:spacing w:after="40" w:before="20"/>
            </w:pPr>
            <w:r>
              <w:rPr>
                <w:rFonts w:ascii="Arial" w:cs="Arial" w:eastAsia="Arial" w:hAnsi="Arial"/>
                <w:color w:val="1A1A2E"/>
                <w:sz w:val="20"/>
                <w:szCs w:val="20"/>
              </w:rPr>
              <w:t xml:space="preserve">→ Contract execution sustainability (maintaining sufficient $QUBIC-denominated protocol balances to support Qassandra operations, including any Qubic smart-contract execution commissions or burn-aligned mechanics required by the network)</w:t>
            </w:r>
          </w:p>
          <w:p>
            <w:pPr>
              <w:pStyle w:val="ListParagraph"/>
              <w:numPr>
                <w:ilvl w:val="0"/>
                <w:numId w:val="2"/>
              </w:numPr>
              <w:spacing w:after="40" w:before="20"/>
            </w:pPr>
            <w:r>
              <w:rPr>
                <w:rFonts w:ascii="Arial" w:cs="Arial" w:eastAsia="Arial" w:hAnsi="Arial"/>
                <w:color w:val="1A1A2E"/>
                <w:sz w:val="20"/>
                <w:szCs w:val="20"/>
              </w:rPr>
              <w:t xml:space="preserve">→ Oracle-resolution allocation (Qubic-native oracle querying and resolution flow)</w:t>
            </w:r>
          </w:p>
          <w:p>
            <w:pPr>
              <w:pStyle w:val="ListParagraph"/>
              <w:numPr>
                <w:ilvl w:val="0"/>
                <w:numId w:val="2"/>
              </w:numPr>
              <w:spacing w:after="40" w:before="20"/>
            </w:pPr>
            <w:r>
              <w:rPr>
                <w:rFonts w:ascii="Arial" w:cs="Arial" w:eastAsia="Arial" w:hAnsi="Arial"/>
                <w:color w:val="1A1A2E"/>
                <w:sz w:val="20"/>
                <w:szCs w:val="20"/>
              </w:rPr>
              <w:t xml:space="preserve">→ Programmatic QUBIC burn allocation</w:t>
            </w:r>
          </w:p>
          <w:p>
            <w:pPr>
              <w:pStyle w:val="ListParagraph"/>
              <w:numPr>
                <w:ilvl w:val="0"/>
                <w:numId w:val="2"/>
              </w:numPr>
              <w:spacing w:after="40" w:before="20"/>
            </w:pPr>
            <w:r>
              <w:rPr>
                <w:rFonts w:ascii="Arial" w:cs="Arial" w:eastAsia="Arial" w:hAnsi="Arial"/>
                <w:color w:val="1A1A2E"/>
                <w:sz w:val="20"/>
                <w:szCs w:val="20"/>
              </w:rPr>
              <w:t xml:space="preserve">→ Keeper and resolver rewards</w:t>
            </w:r>
          </w:p>
          <w:p>
            <w:pPr>
              <w:pStyle w:val="ListParagraph"/>
              <w:numPr>
                <w:ilvl w:val="0"/>
                <w:numId w:val="2"/>
              </w:numPr>
              <w:spacing w:after="40" w:before="20"/>
            </w:pPr>
            <w:r>
              <w:rPr>
                <w:rFonts w:ascii="Arial" w:cs="Arial" w:eastAsia="Arial" w:hAnsi="Arial"/>
                <w:color w:val="1A1A2E"/>
                <w:sz w:val="20"/>
                <w:szCs w:val="20"/>
              </w:rPr>
              <w:t xml:space="preserve">→ Treasury and security reserves</w:t>
            </w:r>
          </w:p>
          <w:p>
            <w:pPr>
              <w:pStyle w:val="ListParagraph"/>
              <w:numPr>
                <w:ilvl w:val="0"/>
                <w:numId w:val="2"/>
              </w:numPr>
              <w:spacing w:after="40" w:before="20"/>
            </w:pPr>
            <w:r>
              <w:rPr>
                <w:rFonts w:ascii="Arial" w:cs="Arial" w:eastAsia="Arial" w:hAnsi="Arial"/>
                <w:color w:val="1A1A2E"/>
                <w:sz w:val="20"/>
                <w:szCs w:val="20"/>
              </w:rPr>
              <w:t xml:space="preserve">→ Governed QDRA-aligned reward pool (subject to governance and legal review)</w:t>
            </w:r>
          </w:p>
          <w:p>
            <w:pPr>
              <w:spacing w:after="80" w:before="0"/>
            </w:pPr>
            <w:r>
              <w:t xml:space="preserve"/>
            </w:r>
          </w:p>
        </w:tc>
      </w:tr>
    </w:tbl>
    <w:p>
      <w:pPr>
        <w:spacing w:after="200" w:before="0"/>
      </w:pPr>
      <w:r>
        <w:t xml:space="preserve"/>
      </w:r>
    </w:p>
    <w:p>
      <w:pPr>
        <w:pStyle w:val="Heading1"/>
        <w:shd w:fill="1A3A5C" w:val="clear"/>
        <w:spacing w:after="200" w:before="440"/>
        <w:ind w:left="200" w:right="200"/>
      </w:pPr>
      <w:r>
        <w:rPr>
          <w:rFonts w:ascii="Arial" w:cs="Arial" w:eastAsia="Arial" w:hAnsi="Arial"/>
          <w:b/>
          <w:bCs/>
          <w:color w:val="FFFFFF"/>
          <w:sz w:val="36"/>
          <w:szCs w:val="36"/>
        </w:rPr>
        <w:t xml:space="preserve">6. Oracle Resolution Architecture — Target Architecture</w:t>
      </w:r>
    </w:p>
    <w:p>
      <w:pPr>
        <w:spacing w:after="80" w:before="0"/>
      </w:pPr>
      <w:r>
        <w:t xml:space="preserve"/>
      </w:r>
    </w:p>
    <w:p>
      <w:pPr>
        <w:spacing w:after="140" w:before="0"/>
        <w:jc w:val="both"/>
      </w:pPr>
      <w:r>
        <w:rPr>
          <w:rFonts w:ascii="Arial" w:cs="Arial" w:eastAsia="Arial" w:hAnsi="Arial"/>
          <w:i w:val="false"/>
          <w:iCs w:val="false"/>
          <w:color w:val="1A1A2E"/>
          <w:sz w:val="22"/>
          <w:szCs w:val="22"/>
        </w:rPr>
        <w:t xml:space="preserve">Qassandra is designed to use Qubic’s native Oracle Machine rather than an independent oracle network. This avoids introducing a separate trust layer and keeps all oracle economics denominated in $QUBIC. Oracle-resolution allocation refers to $QUBIC reserved or designated to support the oracle querying and resolution flow—it is not a conventional fee paid to an external oracle provider.</w:t>
      </w:r>
    </w:p>
    <w:p>
      <w:pPr>
        <w:spacing w:after="80" w:before="0"/>
      </w:pPr>
      <w:r>
        <w:t xml:space="preserve"/>
      </w:r>
    </w:p>
    <w:p>
      <w:pPr>
        <w:pStyle w:val="Heading3"/>
        <w:spacing w:after="80" w:before="240"/>
      </w:pPr>
      <w:r>
        <w:rPr>
          <w:rFonts w:ascii="Arial" w:cs="Arial" w:eastAsia="Arial" w:hAnsi="Arial"/>
          <w:b/>
          <w:bCs/>
          <w:color w:val="1C6EA4"/>
          <w:sz w:val="24"/>
          <w:szCs w:val="24"/>
        </w:rPr>
        <w:t xml:space="preserve">Market Resolution Flow (Target Architecture)</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left w:val="none"/>
              <w:bottom w:val="none"/>
              <w:right w:val="none"/>
            </w:tcBorders>
            <w:shd w:fill="1A3A5C" w:val="clear"/>
            <w:tcMar>
              <w:top w:type="dxa" w:w="100"/>
              <w:left w:type="dxa" w:w="100"/>
              <w:bottom w:type="dxa" w:w="100"/>
              <w:right w:type="dxa" w:w="80"/>
            </w:tcMar>
          </w:tcPr>
          <w:p>
            <w:pPr>
              <w:jc w:val="center"/>
            </w:pPr>
            <w:r>
              <w:rPr>
                <w:rFonts w:ascii="Arial" w:cs="Arial" w:eastAsia="Arial" w:hAnsi="Arial"/>
                <w:b/>
                <w:bCs/>
                <w:color w:val="FFFFFF"/>
                <w:sz w:val="22"/>
                <w:szCs w:val="22"/>
              </w:rPr>
              <w:t xml:space="preserve">1</w:t>
            </w:r>
          </w:p>
        </w:tc>
        <w:tc>
          <w:tcPr>
            <w:tcW w:type="dxa" w:w="8640"/>
            <w:tcBorders>
              <w:top w:val="single" w:color="CCCCCC" w:sz="1"/>
              <w:left w:val="none"/>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color w:val="1A1A2E"/>
                <w:sz w:val="20"/>
                <w:szCs w:val="20"/>
              </w:rPr>
              <w:t xml:space="preserve">Market reaches maturity timestamp.</w:t>
            </w:r>
          </w:p>
        </w:tc>
      </w:tr>
      <w:tr>
        <w:tc>
          <w:tcPr>
            <w:tcW w:type="dxa" w:w="720"/>
            <w:tcBorders>
              <w:top w:val="none"/>
              <w:left w:val="none"/>
              <w:bottom w:val="none"/>
              <w:right w:val="none"/>
            </w:tcBorders>
            <w:shd w:fill="1C6EA4" w:val="clear"/>
            <w:tcMar>
              <w:top w:type="dxa" w:w="100"/>
              <w:left w:type="dxa" w:w="100"/>
              <w:bottom w:type="dxa" w:w="100"/>
              <w:right w:type="dxa" w:w="80"/>
            </w:tcMar>
          </w:tcPr>
          <w:p>
            <w:pPr>
              <w:jc w:val="center"/>
            </w:pPr>
            <w:r>
              <w:rPr>
                <w:rFonts w:ascii="Arial" w:cs="Arial" w:eastAsia="Arial" w:hAnsi="Arial"/>
                <w:b/>
                <w:bCs/>
                <w:color w:val="FFFFFF"/>
                <w:sz w:val="22"/>
                <w:szCs w:val="22"/>
              </w:rPr>
              <w:t xml:space="preserve">2</w:t>
            </w:r>
          </w:p>
        </w:tc>
        <w:tc>
          <w:tcPr>
            <w:tcW w:type="dxa" w:w="8640"/>
            <w:tcBorders>
              <w:top w:val="single" w:color="CCCCCC" w:sz="1"/>
              <w:left w:val="none"/>
              <w:bottom w:val="single" w:color="CCCCCC" w:sz="1"/>
              <w:right w:val="single" w:color="CCCCCC" w:sz="1"/>
            </w:tcBorders>
            <w:shd w:fill="EAF2FB" w:val="clear"/>
            <w:tcMar>
              <w:top w:type="dxa" w:w="100"/>
              <w:left w:type="dxa" w:w="140"/>
              <w:bottom w:type="dxa" w:w="100"/>
              <w:right w:type="dxa" w:w="100"/>
            </w:tcMar>
          </w:tcPr>
          <w:p>
            <w:r>
              <w:rPr>
                <w:rFonts w:ascii="Arial" w:cs="Arial" w:eastAsia="Arial" w:hAnsi="Arial"/>
                <w:color w:val="1A1A2E"/>
                <w:sz w:val="20"/>
                <w:szCs w:val="20"/>
              </w:rPr>
              <w:t xml:space="preserve">Qassandra confirms the market is eligible for resolution.</w:t>
            </w:r>
          </w:p>
        </w:tc>
      </w:tr>
      <w:tr>
        <w:tc>
          <w:tcPr>
            <w:tcW w:type="dxa" w:w="720"/>
            <w:tcBorders>
              <w:top w:val="none"/>
              <w:left w:val="none"/>
              <w:bottom w:val="none"/>
              <w:right w:val="none"/>
            </w:tcBorders>
            <w:shd w:fill="1A3A5C" w:val="clear"/>
            <w:tcMar>
              <w:top w:type="dxa" w:w="100"/>
              <w:left w:type="dxa" w:w="100"/>
              <w:bottom w:type="dxa" w:w="100"/>
              <w:right w:type="dxa" w:w="80"/>
            </w:tcMar>
          </w:tcPr>
          <w:p>
            <w:pPr>
              <w:jc w:val="center"/>
            </w:pPr>
            <w:r>
              <w:rPr>
                <w:rFonts w:ascii="Arial" w:cs="Arial" w:eastAsia="Arial" w:hAnsi="Arial"/>
                <w:b/>
                <w:bCs/>
                <w:color w:val="FFFFFF"/>
                <w:sz w:val="22"/>
                <w:szCs w:val="22"/>
              </w:rPr>
              <w:t xml:space="preserve">3</w:t>
            </w:r>
          </w:p>
        </w:tc>
        <w:tc>
          <w:tcPr>
            <w:tcW w:type="dxa" w:w="8640"/>
            <w:tcBorders>
              <w:top w:val="single" w:color="CCCCCC" w:sz="1"/>
              <w:left w:val="none"/>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color w:val="1A1A2E"/>
                <w:sz w:val="20"/>
                <w:szCs w:val="20"/>
              </w:rPr>
              <w:t xml:space="preserve">The protocol prepares the relevant OracleQuery for the oracle interface.</w:t>
            </w:r>
          </w:p>
        </w:tc>
      </w:tr>
      <w:tr>
        <w:tc>
          <w:tcPr>
            <w:tcW w:type="dxa" w:w="720"/>
            <w:tcBorders>
              <w:top w:val="none"/>
              <w:left w:val="none"/>
              <w:bottom w:val="none"/>
              <w:right w:val="none"/>
            </w:tcBorders>
            <w:shd w:fill="1C6EA4" w:val="clear"/>
            <w:tcMar>
              <w:top w:type="dxa" w:w="100"/>
              <w:left w:type="dxa" w:w="100"/>
              <w:bottom w:type="dxa" w:w="100"/>
              <w:right w:type="dxa" w:w="80"/>
            </w:tcMar>
          </w:tcPr>
          <w:p>
            <w:pPr>
              <w:jc w:val="center"/>
            </w:pPr>
            <w:r>
              <w:rPr>
                <w:rFonts w:ascii="Arial" w:cs="Arial" w:eastAsia="Arial" w:hAnsi="Arial"/>
                <w:b/>
                <w:bCs/>
                <w:color w:val="FFFFFF"/>
                <w:sz w:val="22"/>
                <w:szCs w:val="22"/>
              </w:rPr>
              <w:t xml:space="preserve">4</w:t>
            </w:r>
          </w:p>
        </w:tc>
        <w:tc>
          <w:tcPr>
            <w:tcW w:type="dxa" w:w="8640"/>
            <w:tcBorders>
              <w:top w:val="single" w:color="CCCCCC" w:sz="1"/>
              <w:left w:val="none"/>
              <w:bottom w:val="single" w:color="CCCCCC" w:sz="1"/>
              <w:right w:val="single" w:color="CCCCCC" w:sz="1"/>
            </w:tcBorders>
            <w:shd w:fill="EAF2FB" w:val="clear"/>
            <w:tcMar>
              <w:top w:type="dxa" w:w="100"/>
              <w:left w:type="dxa" w:w="140"/>
              <w:bottom w:type="dxa" w:w="100"/>
              <w:right w:type="dxa" w:w="100"/>
            </w:tcMar>
          </w:tcPr>
          <w:p>
            <w:r>
              <w:rPr>
                <w:rFonts w:ascii="Arial" w:cs="Arial" w:eastAsia="Arial" w:hAnsi="Arial"/>
                <w:color w:val="1A1A2E"/>
                <w:sz w:val="20"/>
                <w:szCs w:val="20"/>
              </w:rPr>
              <w:t xml:space="preserve">The query is submitted through the Qubic oracle interface.</w:t>
            </w:r>
          </w:p>
        </w:tc>
      </w:tr>
      <w:tr>
        <w:tc>
          <w:tcPr>
            <w:tcW w:type="dxa" w:w="720"/>
            <w:tcBorders>
              <w:top w:val="none"/>
              <w:left w:val="none"/>
              <w:bottom w:val="none"/>
              <w:right w:val="none"/>
            </w:tcBorders>
            <w:shd w:fill="1A3A5C" w:val="clear"/>
            <w:tcMar>
              <w:top w:type="dxa" w:w="100"/>
              <w:left w:type="dxa" w:w="100"/>
              <w:bottom w:type="dxa" w:w="100"/>
              <w:right w:type="dxa" w:w="80"/>
            </w:tcMar>
          </w:tcPr>
          <w:p>
            <w:pPr>
              <w:jc w:val="center"/>
            </w:pPr>
            <w:r>
              <w:rPr>
                <w:rFonts w:ascii="Arial" w:cs="Arial" w:eastAsia="Arial" w:hAnsi="Arial"/>
                <w:b/>
                <w:bCs/>
                <w:color w:val="FFFFFF"/>
                <w:sz w:val="22"/>
                <w:szCs w:val="22"/>
              </w:rPr>
              <w:t xml:space="preserve">5</w:t>
            </w:r>
          </w:p>
        </w:tc>
        <w:tc>
          <w:tcPr>
            <w:tcW w:type="dxa" w:w="8640"/>
            <w:tcBorders>
              <w:top w:val="single" w:color="CCCCCC" w:sz="1"/>
              <w:left w:val="none"/>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color w:val="1A1A2E"/>
                <w:sz w:val="20"/>
                <w:szCs w:val="20"/>
              </w:rPr>
              <w:t xml:space="preserve">Computors process the oracle reply through the applicable Qubic oracle mechanics.</w:t>
            </w:r>
          </w:p>
        </w:tc>
      </w:tr>
      <w:tr>
        <w:tc>
          <w:tcPr>
            <w:tcW w:type="dxa" w:w="720"/>
            <w:tcBorders>
              <w:top w:val="none"/>
              <w:left w:val="none"/>
              <w:bottom w:val="none"/>
              <w:right w:val="none"/>
            </w:tcBorders>
            <w:shd w:fill="1C6EA4" w:val="clear"/>
            <w:tcMar>
              <w:top w:type="dxa" w:w="100"/>
              <w:left w:type="dxa" w:w="100"/>
              <w:bottom w:type="dxa" w:w="100"/>
              <w:right w:type="dxa" w:w="80"/>
            </w:tcMar>
          </w:tcPr>
          <w:p>
            <w:pPr>
              <w:jc w:val="center"/>
            </w:pPr>
            <w:r>
              <w:rPr>
                <w:rFonts w:ascii="Arial" w:cs="Arial" w:eastAsia="Arial" w:hAnsi="Arial"/>
                <w:b/>
                <w:bCs/>
                <w:color w:val="FFFFFF"/>
                <w:sz w:val="22"/>
                <w:szCs w:val="22"/>
              </w:rPr>
              <w:t xml:space="preserve">6</w:t>
            </w:r>
          </w:p>
        </w:tc>
        <w:tc>
          <w:tcPr>
            <w:tcW w:type="dxa" w:w="8640"/>
            <w:tcBorders>
              <w:top w:val="single" w:color="CCCCCC" w:sz="1"/>
              <w:left w:val="none"/>
              <w:bottom w:val="single" w:color="CCCCCC" w:sz="1"/>
              <w:right w:val="single" w:color="CCCCCC" w:sz="1"/>
            </w:tcBorders>
            <w:shd w:fill="EAF2FB" w:val="clear"/>
            <w:tcMar>
              <w:top w:type="dxa" w:w="100"/>
              <w:left w:type="dxa" w:w="140"/>
              <w:bottom w:type="dxa" w:w="100"/>
              <w:right w:type="dxa" w:w="100"/>
            </w:tcMar>
          </w:tcPr>
          <w:p>
            <w:r>
              <w:rPr>
                <w:rFonts w:ascii="Arial" w:cs="Arial" w:eastAsia="Arial" w:hAnsi="Arial"/>
                <w:color w:val="1A1A2E"/>
                <w:sz w:val="20"/>
                <w:szCs w:val="20"/>
              </w:rPr>
              <w:t xml:space="preserve">A quorum-validated oracle response is produced as oracle-supported settlement context per Qubic’s oracle validation model.</w:t>
            </w:r>
          </w:p>
        </w:tc>
      </w:tr>
      <w:tr>
        <w:tc>
          <w:tcPr>
            <w:tcW w:type="dxa" w:w="720"/>
            <w:tcBorders>
              <w:top w:val="none"/>
              <w:left w:val="none"/>
              <w:bottom w:val="none"/>
              <w:right w:val="none"/>
            </w:tcBorders>
            <w:shd w:fill="1A3A5C" w:val="clear"/>
            <w:tcMar>
              <w:top w:type="dxa" w:w="100"/>
              <w:left w:type="dxa" w:w="100"/>
              <w:bottom w:type="dxa" w:w="100"/>
              <w:right w:type="dxa" w:w="80"/>
            </w:tcMar>
          </w:tcPr>
          <w:p>
            <w:pPr>
              <w:jc w:val="center"/>
            </w:pPr>
            <w:r>
              <w:rPr>
                <w:rFonts w:ascii="Arial" w:cs="Arial" w:eastAsia="Arial" w:hAnsi="Arial"/>
                <w:b/>
                <w:bCs/>
                <w:color w:val="FFFFFF"/>
                <w:sz w:val="22"/>
                <w:szCs w:val="22"/>
              </w:rPr>
              <w:t xml:space="preserve">7</w:t>
            </w:r>
          </w:p>
        </w:tc>
        <w:tc>
          <w:tcPr>
            <w:tcW w:type="dxa" w:w="8640"/>
            <w:tcBorders>
              <w:top w:val="single" w:color="CCCCCC" w:sz="1"/>
              <w:left w:val="none"/>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color w:val="1A1A2E"/>
                <w:sz w:val="20"/>
                <w:szCs w:val="20"/>
              </w:rPr>
              <w:t xml:space="preserve">The oracle reply state becomes available.</w:t>
            </w:r>
          </w:p>
        </w:tc>
      </w:tr>
      <w:tr>
        <w:tc>
          <w:tcPr>
            <w:tcW w:type="dxa" w:w="720"/>
            <w:tcBorders>
              <w:top w:val="none"/>
              <w:left w:val="none"/>
              <w:bottom w:val="none"/>
              <w:right w:val="none"/>
            </w:tcBorders>
            <w:shd w:fill="1C6EA4" w:val="clear"/>
            <w:tcMar>
              <w:top w:type="dxa" w:w="100"/>
              <w:left w:type="dxa" w:w="100"/>
              <w:bottom w:type="dxa" w:w="100"/>
              <w:right w:type="dxa" w:w="80"/>
            </w:tcMar>
          </w:tcPr>
          <w:p>
            <w:pPr>
              <w:jc w:val="center"/>
            </w:pPr>
            <w:r>
              <w:rPr>
                <w:rFonts w:ascii="Arial" w:cs="Arial" w:eastAsia="Arial" w:hAnsi="Arial"/>
                <w:b/>
                <w:bCs/>
                <w:color w:val="FFFFFF"/>
                <w:sz w:val="22"/>
                <w:szCs w:val="22"/>
              </w:rPr>
              <w:t xml:space="preserve">8</w:t>
            </w:r>
          </w:p>
        </w:tc>
        <w:tc>
          <w:tcPr>
            <w:tcW w:type="dxa" w:w="8640"/>
            <w:tcBorders>
              <w:top w:val="single" w:color="CCCCCC" w:sz="1"/>
              <w:left w:val="none"/>
              <w:bottom w:val="single" w:color="CCCCCC" w:sz="1"/>
              <w:right w:val="single" w:color="CCCCCC" w:sz="1"/>
            </w:tcBorders>
            <w:shd w:fill="EAF2FB" w:val="clear"/>
            <w:tcMar>
              <w:top w:type="dxa" w:w="100"/>
              <w:left w:type="dxa" w:w="140"/>
              <w:bottom w:type="dxa" w:w="100"/>
              <w:right w:type="dxa" w:w="100"/>
            </w:tcMar>
          </w:tcPr>
          <w:p>
            <w:r>
              <w:rPr>
                <w:rFonts w:ascii="Arial" w:cs="Arial" w:eastAsia="Arial" w:hAnsi="Arial"/>
                <w:color w:val="1A1A2E"/>
                <w:sz w:val="20"/>
                <w:szCs w:val="20"/>
              </w:rPr>
              <w:t xml:space="preserve">The Resolution Engine maps the reply into the market’s outcome format.</w:t>
            </w:r>
          </w:p>
        </w:tc>
      </w:tr>
      <w:tr>
        <w:tc>
          <w:tcPr>
            <w:tcW w:type="dxa" w:w="720"/>
            <w:tcBorders>
              <w:top w:val="none"/>
              <w:left w:val="none"/>
              <w:bottom w:val="none"/>
              <w:right w:val="none"/>
            </w:tcBorders>
            <w:shd w:fill="1A3A5C" w:val="clear"/>
            <w:tcMar>
              <w:top w:type="dxa" w:w="100"/>
              <w:left w:type="dxa" w:w="100"/>
              <w:bottom w:type="dxa" w:w="100"/>
              <w:right w:type="dxa" w:w="80"/>
            </w:tcMar>
          </w:tcPr>
          <w:p>
            <w:pPr>
              <w:jc w:val="center"/>
            </w:pPr>
            <w:r>
              <w:rPr>
                <w:rFonts w:ascii="Arial" w:cs="Arial" w:eastAsia="Arial" w:hAnsi="Arial"/>
                <w:b/>
                <w:bCs/>
                <w:color w:val="FFFFFF"/>
                <w:sz w:val="22"/>
                <w:szCs w:val="22"/>
              </w:rPr>
              <w:t xml:space="preserve">9</w:t>
            </w:r>
          </w:p>
        </w:tc>
        <w:tc>
          <w:tcPr>
            <w:tcW w:type="dxa" w:w="8640"/>
            <w:tcBorders>
              <w:top w:val="single" w:color="CCCCCC" w:sz="1"/>
              <w:left w:val="none"/>
              <w:bottom w:val="single" w:color="CCCCCC" w:sz="1"/>
              <w:right w:val="single" w:color="CCCCCC" w:sz="1"/>
            </w:tcBorders>
            <w:shd w:fill="FFFFFF" w:val="clear"/>
            <w:tcMar>
              <w:top w:type="dxa" w:w="100"/>
              <w:left w:type="dxa" w:w="140"/>
              <w:bottom w:type="dxa" w:w="100"/>
              <w:right w:type="dxa" w:w="100"/>
            </w:tcMar>
          </w:tcPr>
          <w:p>
            <w:r>
              <w:rPr>
                <w:rFonts w:ascii="Arial" w:cs="Arial" w:eastAsia="Arial" w:hAnsi="Arial"/>
                <w:color w:val="1A1A2E"/>
                <w:sz w:val="20"/>
                <w:szCs w:val="20"/>
              </w:rPr>
              <w:t xml:space="preserve">The dispute window opens (or is bypassed if conditions are met).</w:t>
            </w:r>
          </w:p>
        </w:tc>
      </w:tr>
      <w:tr>
        <w:tc>
          <w:tcPr>
            <w:tcW w:type="dxa" w:w="720"/>
            <w:tcBorders>
              <w:top w:val="none"/>
              <w:left w:val="none"/>
              <w:bottom w:val="none"/>
              <w:right w:val="none"/>
            </w:tcBorders>
            <w:shd w:fill="1C6EA4" w:val="clear"/>
            <w:tcMar>
              <w:top w:type="dxa" w:w="100"/>
              <w:left w:type="dxa" w:w="100"/>
              <w:bottom w:type="dxa" w:w="100"/>
              <w:right w:type="dxa" w:w="80"/>
            </w:tcMar>
          </w:tcPr>
          <w:p>
            <w:pPr>
              <w:jc w:val="center"/>
            </w:pPr>
            <w:r>
              <w:rPr>
                <w:rFonts w:ascii="Arial" w:cs="Arial" w:eastAsia="Arial" w:hAnsi="Arial"/>
                <w:b/>
                <w:bCs/>
                <w:color w:val="FFFFFF"/>
                <w:sz w:val="22"/>
                <w:szCs w:val="22"/>
              </w:rPr>
              <w:t xml:space="preserve">10</w:t>
            </w:r>
          </w:p>
        </w:tc>
        <w:tc>
          <w:tcPr>
            <w:tcW w:type="dxa" w:w="8640"/>
            <w:tcBorders>
              <w:top w:val="single" w:color="CCCCCC" w:sz="1"/>
              <w:left w:val="none"/>
              <w:bottom w:val="single" w:color="CCCCCC" w:sz="1"/>
              <w:right w:val="single" w:color="CCCCCC" w:sz="1"/>
            </w:tcBorders>
            <w:shd w:fill="EAF2FB" w:val="clear"/>
            <w:tcMar>
              <w:top w:type="dxa" w:w="100"/>
              <w:left w:type="dxa" w:w="140"/>
              <w:bottom w:type="dxa" w:w="100"/>
              <w:right w:type="dxa" w:w="100"/>
            </w:tcMar>
          </w:tcPr>
          <w:p>
            <w:r>
              <w:rPr>
                <w:rFonts w:ascii="Arial" w:cs="Arial" w:eastAsia="Arial" w:hAnsi="Arial"/>
                <w:color w:val="1A1A2E"/>
                <w:sz w:val="20"/>
                <w:szCs w:val="20"/>
              </w:rPr>
              <w:t xml:space="preserve">Final settlement executes in $QUBIC; eligible participants claim payouts from the market balance.</w:t>
            </w:r>
          </w:p>
        </w:tc>
      </w:tr>
    </w:tbl>
    <w:p>
      <w:pPr>
        <w:spacing w:after="120" w:before="0"/>
      </w:pPr>
      <w:r>
        <w:t xml:space="preserve"/>
      </w:r>
    </w:p>
    <w:p>
      <w:pPr>
        <w:pStyle w:val="Heading3"/>
        <w:spacing w:after="80" w:before="240"/>
      </w:pPr>
      <w:r>
        <w:rPr>
          <w:rFonts w:ascii="Arial" w:cs="Arial" w:eastAsia="Arial" w:hAnsi="Arial"/>
          <w:b/>
          <w:bCs/>
          <w:color w:val="1C6EA4"/>
          <w:sz w:val="24"/>
          <w:szCs w:val="24"/>
        </w:rPr>
        <w:t xml:space="preserve">Oracle Accuracy Limitation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6EA4" w:sz="4"/>
              <w:left w:val="single" w:color="1C6EA4" w:sz="8"/>
              <w:bottom w:val="single" w:color="CCCCCC" w:sz="1"/>
              <w:right w:val="none" w:color="FFFFFF" w:sz="0"/>
            </w:tcBorders>
            <w:shd w:fill="EAF2FB" w:val="clear"/>
            <w:tcMar>
              <w:top w:type="dxa" w:w="120"/>
              <w:left w:type="dxa" w:w="200"/>
              <w:bottom w:type="dxa" w:w="120"/>
              <w:right w:type="dxa" w:w="200"/>
            </w:tcMar>
          </w:tcPr>
          <w:p>
            <w:pPr>
              <w:spacing w:after="80" w:before="60"/>
            </w:pPr>
            <w:r>
              <w:rPr>
                <w:rFonts w:ascii="Arial" w:cs="Arial" w:eastAsia="Arial" w:hAnsi="Arial"/>
                <w:b/>
                <w:bCs/>
                <w:color w:val="1A3A5C"/>
                <w:sz w:val="22"/>
                <w:szCs w:val="22"/>
              </w:rPr>
              <w:t xml:space="preserve">Important: What Quorum Validates—and What It Does Not</w:t>
            </w:r>
          </w:p>
          <w:p>
            <w:pPr>
              <w:pStyle w:val="ListParagraph"/>
              <w:numPr>
                <w:ilvl w:val="0"/>
                <w:numId w:val="2"/>
              </w:numPr>
              <w:spacing w:after="40" w:before="20"/>
            </w:pPr>
            <w:r>
              <w:rPr>
                <w:rFonts w:ascii="Arial" w:cs="Arial" w:eastAsia="Arial" w:hAnsi="Arial"/>
                <w:color w:val="1A1A2E"/>
                <w:sz w:val="20"/>
                <w:szCs w:val="20"/>
              </w:rPr>
              <w:t xml:space="preserve">A quorum-validated oracle response represents validated agreement among Computors over an oracle reply. It does not guarantee absolute real-world truth.</w:t>
            </w:r>
          </w:p>
          <w:p>
            <w:pPr>
              <w:pStyle w:val="ListParagraph"/>
              <w:numPr>
                <w:ilvl w:val="0"/>
                <w:numId w:val="2"/>
              </w:numPr>
              <w:spacing w:after="40" w:before="20"/>
            </w:pPr>
            <w:r>
              <w:rPr>
                <w:rFonts w:ascii="Arial" w:cs="Arial" w:eastAsia="Arial" w:hAnsi="Arial"/>
                <w:color w:val="1A1A2E"/>
                <w:sz w:val="20"/>
                <w:szCs w:val="20"/>
              </w:rPr>
              <w:t xml:space="preserve">Sources can still be wrong, ambiguous, delayed, or subject to manipulation.</w:t>
            </w:r>
          </w:p>
          <w:p>
            <w:pPr>
              <w:pStyle w:val="ListParagraph"/>
              <w:numPr>
                <w:ilvl w:val="0"/>
                <w:numId w:val="2"/>
              </w:numPr>
              <w:spacing w:after="40" w:before="20"/>
            </w:pPr>
            <w:r>
              <w:rPr>
                <w:rFonts w:ascii="Arial" w:cs="Arial" w:eastAsia="Arial" w:hAnsi="Arial"/>
                <w:color w:val="1A1A2E"/>
                <w:sz w:val="20"/>
                <w:szCs w:val="20"/>
              </w:rPr>
              <w:t xml:space="preserve">Qassandra therefore requires: invalid-market rules, dispute windows, and fallback resolution procedures for every market category.</w:t>
            </w:r>
          </w:p>
          <w:p>
            <w:pPr>
              <w:pStyle w:val="ListParagraph"/>
              <w:numPr>
                <w:ilvl w:val="0"/>
                <w:numId w:val="2"/>
              </w:numPr>
              <w:spacing w:after="40" w:before="20"/>
            </w:pPr>
            <w:r>
              <w:rPr>
                <w:rFonts w:ascii="Arial" w:cs="Arial" w:eastAsia="Arial" w:hAnsi="Arial"/>
                <w:color w:val="1A1A2E"/>
                <w:sz w:val="20"/>
                <w:szCs w:val="20"/>
              </w:rPr>
              <w:t xml:space="preserve">Preferred phrasing: “quorum-validated oracle response,” “validated agreement over an oracle reply,” or “oracle-supported settlement context.” Avoid “guaranteed oracle truth.”</w:t>
            </w:r>
          </w:p>
          <w:p>
            <w:pPr>
              <w:spacing w:after="80" w:before="0"/>
            </w:pPr>
            <w:r>
              <w:t xml:space="preserve"/>
            </w:r>
          </w:p>
        </w:tc>
      </w:tr>
    </w:tbl>
    <w:p>
      <w:pPr>
        <w:spacing w:after="200" w:before="0"/>
      </w:pPr>
      <w:r>
        <w:t xml:space="preserve"/>
      </w:r>
    </w:p>
    <w:p>
      <w:r>
        <w:br w:type="page"/>
      </w:r>
    </w:p>
    <w:p>
      <w:pPr>
        <w:pStyle w:val="Heading1"/>
        <w:shd w:fill="1A3A5C" w:val="clear"/>
        <w:spacing w:after="200" w:before="440"/>
        <w:ind w:left="200" w:right="200"/>
      </w:pPr>
      <w:r>
        <w:rPr>
          <w:rFonts w:ascii="Arial" w:cs="Arial" w:eastAsia="Arial" w:hAnsi="Arial"/>
          <w:b/>
          <w:bCs/>
          <w:color w:val="FFFFFF"/>
          <w:sz w:val="36"/>
          <w:szCs w:val="36"/>
        </w:rPr>
        <w:t xml:space="preserve">7. Qassandra Oracle Market Networks (QOMN) — Target Architecture</w:t>
      </w:r>
    </w:p>
    <w:p>
      <w:pPr>
        <w:spacing w:after="80" w:before="0"/>
      </w:pPr>
      <w:r>
        <w:t xml:space="preserve"/>
      </w:r>
    </w:p>
    <w:p>
      <w:pPr>
        <w:spacing w:after="140" w:before="0"/>
        <w:jc w:val="both"/>
      </w:pPr>
      <w:r>
        <w:rPr>
          <w:rFonts w:ascii="Arial" w:cs="Arial" w:eastAsia="Arial" w:hAnsi="Arial"/>
          <w:i w:val="false"/>
          <w:iCs w:val="false"/>
          <w:color w:val="1A1A2E"/>
          <w:sz w:val="22"/>
          <w:szCs w:val="22"/>
        </w:rPr>
        <w:t xml:space="preserve">A Qassandra Oracle Market Network (QOMN) is not a separate network layer or an independent oracle system. A QOMN is an on-chain software design pattern within Qassandra—a parameterized module that maps a market category to a specific oracle interface and resolution procedure.</w:t>
      </w:r>
    </w:p>
    <w:p>
      <w:pPr>
        <w:spacing w:after="80" w:before="0"/>
      </w:pPr>
      <w:r>
        <w:t xml:space="preserve"/>
      </w:r>
    </w:p>
    <w:p>
      <w:pPr>
        <w:pStyle w:val="Heading3"/>
        <w:spacing w:after="80" w:before="240"/>
      </w:pPr>
      <w:r>
        <w:rPr>
          <w:rFonts w:ascii="Arial" w:cs="Arial" w:eastAsia="Arial" w:hAnsi="Arial"/>
          <w:b/>
          <w:bCs/>
          <w:color w:val="1C6EA4"/>
          <w:sz w:val="24"/>
          <w:szCs w:val="24"/>
        </w:rPr>
        <w:t xml:space="preserve">What a QOMN Defines</w:t>
      </w:r>
    </w:p>
    <w:p>
      <w:pPr>
        <w:pStyle w:val="ListParagraph"/>
        <w:numPr>
          <w:ilvl w:val="0"/>
          <w:numId w:val="2"/>
        </w:numPr>
        <w:spacing w:after="80" w:before="40"/>
      </w:pPr>
      <w:r>
        <w:rPr>
          <w:rFonts w:ascii="Arial" w:cs="Arial" w:eastAsia="Arial" w:hAnsi="Arial"/>
          <w:color w:val="1A1A2E"/>
          <w:sz w:val="22"/>
          <w:szCs w:val="22"/>
        </w:rPr>
        <w:t xml:space="preserve">Qubic oracle interface reference</w:t>
      </w:r>
    </w:p>
    <w:p>
      <w:pPr>
        <w:pStyle w:val="ListParagraph"/>
        <w:numPr>
          <w:ilvl w:val="0"/>
          <w:numId w:val="2"/>
        </w:numPr>
        <w:spacing w:after="80" w:before="40"/>
      </w:pPr>
      <w:r>
        <w:rPr>
          <w:rFonts w:ascii="Arial" w:cs="Arial" w:eastAsia="Arial" w:hAnsi="Arial"/>
          <w:color w:val="1A1A2E"/>
          <w:sz w:val="22"/>
          <w:szCs w:val="22"/>
        </w:rPr>
        <w:t xml:space="preserve">Compact query schema for that market category</w:t>
      </w:r>
    </w:p>
    <w:p>
      <w:pPr>
        <w:pStyle w:val="ListParagraph"/>
        <w:numPr>
          <w:ilvl w:val="0"/>
          <w:numId w:val="2"/>
        </w:numPr>
        <w:spacing w:after="80" w:before="40"/>
      </w:pPr>
      <w:r>
        <w:rPr>
          <w:rFonts w:ascii="Arial" w:cs="Arial" w:eastAsia="Arial" w:hAnsi="Arial"/>
          <w:color w:val="1A1A2E"/>
          <w:sz w:val="22"/>
          <w:szCs w:val="22"/>
        </w:rPr>
        <w:t xml:space="preserve">Reply parser (how the oracle reply maps to YES/NO or scalar outcome)</w:t>
      </w:r>
    </w:p>
    <w:p>
      <w:pPr>
        <w:pStyle w:val="ListParagraph"/>
        <w:numPr>
          <w:ilvl w:val="0"/>
          <w:numId w:val="2"/>
        </w:numPr>
        <w:spacing w:after="80" w:before="40"/>
      </w:pPr>
      <w:r>
        <w:rPr>
          <w:rFonts w:ascii="Arial" w:cs="Arial" w:eastAsia="Arial" w:hAnsi="Arial"/>
          <w:color w:val="1A1A2E"/>
          <w:sz w:val="22"/>
          <w:szCs w:val="22"/>
        </w:rPr>
        <w:t xml:space="preserve">Maturity rules specific to the category</w:t>
      </w:r>
    </w:p>
    <w:p>
      <w:pPr>
        <w:pStyle w:val="ListParagraph"/>
        <w:numPr>
          <w:ilvl w:val="0"/>
          <w:numId w:val="2"/>
        </w:numPr>
        <w:spacing w:after="80" w:before="40"/>
      </w:pPr>
      <w:r>
        <w:rPr>
          <w:rFonts w:ascii="Arial" w:cs="Arial" w:eastAsia="Arial" w:hAnsi="Arial"/>
          <w:color w:val="1A1A2E"/>
          <w:sz w:val="22"/>
          <w:szCs w:val="22"/>
        </w:rPr>
        <w:t xml:space="preserve">Dispute rules and dispute bond requirements</w:t>
      </w:r>
    </w:p>
    <w:p>
      <w:pPr>
        <w:pStyle w:val="ListParagraph"/>
        <w:numPr>
          <w:ilvl w:val="0"/>
          <w:numId w:val="2"/>
        </w:numPr>
        <w:spacing w:after="80" w:before="40"/>
      </w:pPr>
      <w:r>
        <w:rPr>
          <w:rFonts w:ascii="Arial" w:cs="Arial" w:eastAsia="Arial" w:hAnsi="Arial"/>
          <w:color w:val="1A1A2E"/>
          <w:sz w:val="22"/>
          <w:szCs w:val="22"/>
        </w:rPr>
        <w:t xml:space="preserve">Invalid-market conditions and fallback procedures</w:t>
      </w:r>
    </w:p>
    <w:p>
      <w:pPr>
        <w:pStyle w:val="ListParagraph"/>
        <w:numPr>
          <w:ilvl w:val="0"/>
          <w:numId w:val="2"/>
        </w:numPr>
        <w:spacing w:after="80" w:before="40"/>
      </w:pPr>
      <w:r>
        <w:rPr>
          <w:rFonts w:ascii="Arial" w:cs="Arial" w:eastAsia="Arial" w:hAnsi="Arial"/>
          <w:color w:val="1A1A2E"/>
          <w:sz w:val="22"/>
          <w:szCs w:val="22"/>
        </w:rPr>
        <w:t xml:space="preserve">Settlement procedure (claim-based, $QUBIC only)</w:t>
      </w:r>
    </w:p>
    <w:p>
      <w:pPr>
        <w:pStyle w:val="ListParagraph"/>
        <w:numPr>
          <w:ilvl w:val="0"/>
          <w:numId w:val="2"/>
        </w:numPr>
        <w:spacing w:after="80" w:before="40"/>
      </w:pPr>
      <w:r>
        <w:rPr>
          <w:rFonts w:ascii="Arial" w:cs="Arial" w:eastAsia="Arial" w:hAnsi="Arial"/>
          <w:color w:val="1A1A2E"/>
          <w:sz w:val="22"/>
          <w:szCs w:val="22"/>
        </w:rPr>
        <w:t xml:space="preserve">Off-chain metadata schema for the indexer</w:t>
      </w:r>
    </w:p>
    <w:p>
      <w:pPr>
        <w:spacing w:after="80" w:before="0"/>
      </w:pPr>
      <w:r>
        <w:t xml:space="preserve"/>
      </w:r>
    </w:p>
    <w:p>
      <w:pPr>
        <w:pStyle w:val="Heading3"/>
        <w:spacing w:after="80" w:before="240"/>
      </w:pPr>
      <w:r>
        <w:rPr>
          <w:rFonts w:ascii="Arial" w:cs="Arial" w:eastAsia="Arial" w:hAnsi="Arial"/>
          <w:b/>
          <w:bCs/>
          <w:color w:val="1C6EA4"/>
          <w:sz w:val="24"/>
          <w:szCs w:val="24"/>
        </w:rPr>
        <w:t xml:space="preserve">Example: QUBIC/USD Threshold QOMN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1A3A5C" w:sz="4"/>
              <w:right w:val="single" w:color="CCCCCC" w:sz="1"/>
            </w:tcBorders>
            <w:shd w:fill="1A3A5C" w:val="clear"/>
            <w:tcMar>
              <w:top w:type="dxa" w:w="100"/>
              <w:left w:type="dxa" w:w="140"/>
              <w:bottom w:type="dxa" w:w="100"/>
              <w:right w:type="dxa" w:w="80"/>
            </w:tcMar>
          </w:tcPr>
          <w:p>
            <w:r>
              <w:rPr>
                <w:rFonts w:ascii="Arial" w:cs="Arial" w:eastAsia="Arial" w:hAnsi="Arial"/>
                <w:b/>
                <w:bCs/>
                <w:color w:val="FFFFFF"/>
                <w:sz w:val="22"/>
                <w:szCs w:val="22"/>
              </w:rPr>
              <w:t xml:space="preserve">QOMN Parameter</w:t>
            </w:r>
          </w:p>
        </w:tc>
        <w:tc>
          <w:tcPr>
            <w:tcW w:type="dxa" w:w="4680"/>
            <w:tcBorders>
              <w:top w:val="single" w:color="CCCCCC" w:sz="1"/>
              <w:left w:val="single" w:color="CCCCCC" w:sz="1"/>
              <w:bottom w:val="single" w:color="1A3A5C" w:sz="4"/>
              <w:right w:val="single" w:color="CCCCCC" w:sz="1"/>
            </w:tcBorders>
            <w:shd w:fill="1A3A5C" w:val="clear"/>
            <w:tcMar>
              <w:top w:type="dxa" w:w="100"/>
              <w:left w:type="dxa" w:w="140"/>
              <w:bottom w:type="dxa" w:w="100"/>
              <w:right w:type="dxa" w:w="80"/>
            </w:tcMar>
          </w:tcPr>
          <w:p>
            <w:r>
              <w:rPr>
                <w:rFonts w:ascii="Arial" w:cs="Arial" w:eastAsia="Arial" w:hAnsi="Arial"/>
                <w:b/>
                <w:bCs/>
                <w:color w:val="FFFFFF"/>
                <w:sz w:val="22"/>
                <w:szCs w:val="22"/>
              </w:rPr>
              <w:t xml:space="preserve">Specification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Oracle interface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Qubic price oracle interface</w:t>
            </w:r>
          </w:p>
        </w:tc>
      </w:tr>
      <w:tr>
        <w:tc>
          <w:tcPr>
            <w:tcW w:type="dxa" w:w="46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80"/>
            </w:tcMar>
          </w:tcPr>
          <w:p>
            <w:r>
              <w:rPr>
                <w:rFonts w:ascii="Arial" w:cs="Arial" w:eastAsia="Arial" w:hAnsi="Arial"/>
                <w:b w:val="false"/>
                <w:bCs w:val="false"/>
                <w:color w:val="1A1A2E"/>
                <w:sz w:val="20"/>
                <w:szCs w:val="20"/>
              </w:rPr>
              <w:t xml:space="preserve">Market maturity</w:t>
            </w:r>
          </w:p>
        </w:tc>
        <w:tc>
          <w:tcPr>
            <w:tcW w:type="dxa" w:w="46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80"/>
            </w:tcMar>
          </w:tcPr>
          <w:p>
            <w:r>
              <w:rPr>
                <w:rFonts w:ascii="Arial" w:cs="Arial" w:eastAsia="Arial" w:hAnsi="Arial"/>
                <w:b w:val="false"/>
                <w:bCs w:val="false"/>
                <w:color w:val="1A1A2E"/>
                <w:sz w:val="20"/>
                <w:szCs w:val="20"/>
              </w:rPr>
              <w:t xml:space="preserve">Defined epoch-aligned UTC timestamp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Threshold value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Numeric price level in USD terms (reference data only; not a settlement asset)</w:t>
            </w:r>
          </w:p>
        </w:tc>
      </w:tr>
      <w:tr>
        <w:tc>
          <w:tcPr>
            <w:tcW w:type="dxa" w:w="46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80"/>
            </w:tcMar>
          </w:tcPr>
          <w:p>
            <w:r>
              <w:rPr>
                <w:rFonts w:ascii="Arial" w:cs="Arial" w:eastAsia="Arial" w:hAnsi="Arial"/>
                <w:b w:val="false"/>
                <w:bCs w:val="false"/>
                <w:color w:val="1A1A2E"/>
                <w:sz w:val="20"/>
                <w:szCs w:val="20"/>
              </w:rPr>
              <w:t xml:space="preserve">Accepted price format</w:t>
            </w:r>
          </w:p>
        </w:tc>
        <w:tc>
          <w:tcPr>
            <w:tcW w:type="dxa" w:w="46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80"/>
            </w:tcMar>
          </w:tcPr>
          <w:p>
            <w:r>
              <w:rPr>
                <w:rFonts w:ascii="Arial" w:cs="Arial" w:eastAsia="Arial" w:hAnsi="Arial"/>
                <w:b w:val="false"/>
                <w:bCs w:val="false"/>
                <w:color w:val="1A1A2E"/>
                <w:sz w:val="20"/>
                <w:szCs w:val="20"/>
              </w:rPr>
              <w:t xml:space="preserve">64-bit fixed-point or integer representation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Outcome parser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Above-threshold → YES; at-or-below → NO</w:t>
            </w:r>
          </w:p>
        </w:tc>
      </w:tr>
      <w:tr>
        <w:tc>
          <w:tcPr>
            <w:tcW w:type="dxa" w:w="46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80"/>
            </w:tcMar>
          </w:tcPr>
          <w:p>
            <w:r>
              <w:rPr>
                <w:rFonts w:ascii="Arial" w:cs="Arial" w:eastAsia="Arial" w:hAnsi="Arial"/>
                <w:b w:val="false"/>
                <w:bCs w:val="false"/>
                <w:color w:val="1A1A2E"/>
                <w:sz w:val="20"/>
                <w:szCs w:val="20"/>
              </w:rPr>
              <w:t xml:space="preserve">Dispute window</w:t>
            </w:r>
          </w:p>
        </w:tc>
        <w:tc>
          <w:tcPr>
            <w:tcW w:type="dxa" w:w="46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80"/>
            </w:tcMar>
          </w:tcPr>
          <w:p>
            <w:r>
              <w:rPr>
                <w:rFonts w:ascii="Arial" w:cs="Arial" w:eastAsia="Arial" w:hAnsi="Arial"/>
                <w:b w:val="false"/>
                <w:bCs w:val="false"/>
                <w:color w:val="1A1A2E"/>
                <w:sz w:val="20"/>
                <w:szCs w:val="20"/>
              </w:rPr>
              <w:t xml:space="preserve">Configurable epochs post-reply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Settlement asset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$QUBIC exclusively</w:t>
            </w:r>
          </w:p>
        </w:tc>
      </w:tr>
      <w:tr>
        <w:tc>
          <w:tcPr>
            <w:tcW w:type="dxa" w:w="46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80"/>
            </w:tcMar>
          </w:tcPr>
          <w:p>
            <w:r>
              <w:rPr>
                <w:rFonts w:ascii="Arial" w:cs="Arial" w:eastAsia="Arial" w:hAnsi="Arial"/>
                <w:b w:val="false"/>
                <w:bCs w:val="false"/>
                <w:color w:val="1A1A2E"/>
                <w:sz w:val="20"/>
                <w:szCs w:val="20"/>
              </w:rPr>
              <w:t xml:space="preserve">Invalid-market trigger</w:t>
            </w:r>
          </w:p>
        </w:tc>
        <w:tc>
          <w:tcPr>
            <w:tcW w:type="dxa" w:w="46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80"/>
            </w:tcMar>
          </w:tcPr>
          <w:p>
            <w:r>
              <w:rPr>
                <w:rFonts w:ascii="Arial" w:cs="Arial" w:eastAsia="Arial" w:hAnsi="Arial"/>
                <w:b w:val="false"/>
                <w:bCs w:val="false"/>
                <w:color w:val="1A1A2E"/>
                <w:sz w:val="20"/>
                <w:szCs w:val="20"/>
              </w:rPr>
              <w:t xml:space="preserve">Oracle timeout, ambiguous reply, or quorum failure</w:t>
            </w:r>
          </w:p>
        </w:tc>
      </w:tr>
    </w:tbl>
    <w:p>
      <w:pPr>
        <w:spacing w:after="80" w:before="0"/>
      </w:pPr>
      <w:r>
        <w:t xml:space="preserve"/>
      </w:r>
    </w:p>
    <w:p>
      <w:pPr>
        <w:spacing w:after="140" w:before="0"/>
        <w:jc w:val="both"/>
      </w:pPr>
      <w:r>
        <w:rPr>
          <w:rFonts w:ascii="Arial" w:cs="Arial" w:eastAsia="Arial" w:hAnsi="Arial"/>
          <w:i w:val="false"/>
          <w:iCs w:val="false"/>
          <w:color w:val="1A1A2E"/>
          <w:sz w:val="22"/>
          <w:szCs w:val="22"/>
        </w:rPr>
        <w:t xml:space="preserve">The on-chain contract stores compact deterministic state. The off-chain indexer stores human-readable and agent-readable context, cryptographically bound to on-chain market state via metadata hash.</w:t>
      </w:r>
    </w:p>
    <w:p>
      <w:pPr>
        <w:spacing w:after="200" w:before="0"/>
      </w:pPr>
      <w:r>
        <w:t xml:space="preserve"/>
      </w:r>
    </w:p>
    <w:p>
      <w:pPr>
        <w:pStyle w:val="Heading1"/>
        <w:shd w:fill="1A3A5C" w:val="clear"/>
        <w:spacing w:after="200" w:before="440"/>
        <w:ind w:left="200" w:right="200"/>
      </w:pPr>
      <w:r>
        <w:rPr>
          <w:rFonts w:ascii="Arial" w:cs="Arial" w:eastAsia="Arial" w:hAnsi="Arial"/>
          <w:b/>
          <w:bCs/>
          <w:color w:val="FFFFFF"/>
          <w:sz w:val="36"/>
          <w:szCs w:val="36"/>
        </w:rPr>
        <w:t xml:space="preserve">8. Hybrid Market Context Architecture</w:t>
      </w:r>
    </w:p>
    <w:p>
      <w:pPr>
        <w:spacing w:after="80" w:before="0"/>
      </w:pPr>
      <w:r>
        <w:t xml:space="preserve"/>
      </w:r>
    </w:p>
    <w:p>
      <w:pPr>
        <w:spacing w:after="140" w:before="0"/>
        <w:jc w:val="both"/>
      </w:pPr>
      <w:r>
        <w:rPr>
          <w:rFonts w:ascii="Arial" w:cs="Arial" w:eastAsia="Arial" w:hAnsi="Arial"/>
          <w:i w:val="false"/>
          <w:iCs w:val="false"/>
          <w:color w:val="1A1A2E"/>
          <w:sz w:val="22"/>
          <w:szCs w:val="22"/>
        </w:rPr>
        <w:t xml:space="preserve">Qassandra is context-first, but not all context belongs on-chain. The hybrid architecture separates settlement-critical state from rich contextual data, binding both together cryptographically.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1A3A5C" w:sz="4"/>
              <w:right w:val="single" w:color="CCCCCC" w:sz="1"/>
            </w:tcBorders>
            <w:shd w:fill="1A3A5C" w:val="clear"/>
            <w:tcMar>
              <w:top w:type="dxa" w:w="100"/>
              <w:left w:type="dxa" w:w="140"/>
              <w:bottom w:type="dxa" w:w="100"/>
              <w:right w:type="dxa" w:w="80"/>
            </w:tcMar>
          </w:tcPr>
          <w:p>
            <w:r>
              <w:rPr>
                <w:rFonts w:ascii="Arial" w:cs="Arial" w:eastAsia="Arial" w:hAnsi="Arial"/>
                <w:b/>
                <w:bCs/>
                <w:color w:val="FFFFFF"/>
                <w:sz w:val="22"/>
                <w:szCs w:val="22"/>
              </w:rPr>
              <w:t xml:space="preserve">On-Chain (Smart Contract)</w:t>
            </w:r>
          </w:p>
        </w:tc>
        <w:tc>
          <w:tcPr>
            <w:tcW w:type="dxa" w:w="4680"/>
            <w:tcBorders>
              <w:top w:val="single" w:color="CCCCCC" w:sz="1"/>
              <w:left w:val="single" w:color="CCCCCC" w:sz="1"/>
              <w:bottom w:val="single" w:color="1A3A5C" w:sz="4"/>
              <w:right w:val="single" w:color="CCCCCC" w:sz="1"/>
            </w:tcBorders>
            <w:shd w:fill="1A3A5C" w:val="clear"/>
            <w:tcMar>
              <w:top w:type="dxa" w:w="100"/>
              <w:left w:type="dxa" w:w="140"/>
              <w:bottom w:type="dxa" w:w="100"/>
              <w:right w:type="dxa" w:w="80"/>
            </w:tcMar>
          </w:tcPr>
          <w:p>
            <w:r>
              <w:rPr>
                <w:rFonts w:ascii="Arial" w:cs="Arial" w:eastAsia="Arial" w:hAnsi="Arial"/>
                <w:b/>
                <w:bCs/>
                <w:color w:val="FFFFFF"/>
                <w:sz w:val="22"/>
                <w:szCs w:val="22"/>
              </w:rPr>
              <w:t xml:space="preserve">Off-Chain (Indexer)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Market ID, type, creator 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Full market question and description</w:t>
            </w:r>
          </w:p>
        </w:tc>
      </w:tr>
      <w:tr>
        <w:tc>
          <w:tcPr>
            <w:tcW w:type="dxa" w:w="46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80"/>
            </w:tcMar>
          </w:tcPr>
          <w:p>
            <w:r>
              <w:rPr>
                <w:rFonts w:ascii="Arial" w:cs="Arial" w:eastAsia="Arial" w:hAnsi="Arial"/>
                <w:b w:val="false"/>
                <w:bCs w:val="false"/>
                <w:color w:val="1A1A2E"/>
                <w:sz w:val="20"/>
                <w:szCs w:val="20"/>
              </w:rPr>
              <w:t xml:space="preserve">Metadata hash (binding)</w:t>
            </w:r>
          </w:p>
        </w:tc>
        <w:tc>
          <w:tcPr>
            <w:tcW w:type="dxa" w:w="46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80"/>
            </w:tcMar>
          </w:tcPr>
          <w:p>
            <w:r>
              <w:rPr>
                <w:rFonts w:ascii="Arial" w:cs="Arial" w:eastAsia="Arial" w:hAnsi="Arial"/>
                <w:b w:val="false"/>
                <w:bCs w:val="false"/>
                <w:color w:val="1A1A2E"/>
                <w:sz w:val="20"/>
                <w:szCs w:val="20"/>
              </w:rPr>
              <w:t xml:space="preserve">Source documentation and resolution explanation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Maturity timestamp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Historical probability charts</w:t>
            </w:r>
          </w:p>
        </w:tc>
      </w:tr>
      <w:tr>
        <w:tc>
          <w:tcPr>
            <w:tcW w:type="dxa" w:w="46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80"/>
            </w:tcMar>
          </w:tcPr>
          <w:p>
            <w:r>
              <w:rPr>
                <w:rFonts w:ascii="Arial" w:cs="Arial" w:eastAsia="Arial" w:hAnsi="Arial"/>
                <w:b w:val="false"/>
                <w:bCs w:val="false"/>
                <w:color w:val="1A1A2E"/>
                <w:sz w:val="20"/>
                <w:szCs w:val="20"/>
              </w:rPr>
              <w:t xml:space="preserve">Oracle interface ID</w:t>
            </w:r>
          </w:p>
        </w:tc>
        <w:tc>
          <w:tcPr>
            <w:tcW w:type="dxa" w:w="46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80"/>
            </w:tcMar>
          </w:tcPr>
          <w:p>
            <w:r>
              <w:rPr>
                <w:rFonts w:ascii="Arial" w:cs="Arial" w:eastAsia="Arial" w:hAnsi="Arial"/>
                <w:b w:val="false"/>
                <w:bCs w:val="false"/>
                <w:color w:val="1A1A2E"/>
                <w:sz w:val="20"/>
                <w:szCs w:val="20"/>
              </w:rPr>
              <w:t xml:space="preserve">Agent-readable JSON schema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Oracle query 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UI state and analytics history</w:t>
            </w:r>
          </w:p>
        </w:tc>
      </w:tr>
      <w:tr>
        <w:tc>
          <w:tcPr>
            <w:tcW w:type="dxa" w:w="46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80"/>
            </w:tcMar>
          </w:tcPr>
          <w:p>
            <w:r>
              <w:rPr>
                <w:rFonts w:ascii="Arial" w:cs="Arial" w:eastAsia="Arial" w:hAnsi="Arial"/>
                <w:b w:val="false"/>
                <w:bCs w:val="false"/>
                <w:color w:val="1A1A2E"/>
                <w:sz w:val="20"/>
                <w:szCs w:val="20"/>
              </w:rPr>
              <w:t xml:space="preserve">Threshold / numeric condition</w:t>
            </w:r>
          </w:p>
        </w:tc>
        <w:tc>
          <w:tcPr>
            <w:tcW w:type="dxa" w:w="46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80"/>
            </w:tcMar>
          </w:tcPr>
          <w:p>
            <w:r>
              <w:rPr>
                <w:rFonts w:ascii="Arial" w:cs="Arial" w:eastAsia="Arial" w:hAnsi="Arial"/>
                <w:b w:val="false"/>
                <w:bCs w:val="false"/>
                <w:color w:val="1A1A2E"/>
                <w:sz w:val="20"/>
                <w:szCs w:val="20"/>
              </w:rPr>
              <w:t xml:space="preserve">Market commentary and source links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Outcome bits and status flags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Agent context packets</w:t>
            </w:r>
          </w:p>
        </w:tc>
      </w:tr>
      <w:tr>
        <w:tc>
          <w:tcPr>
            <w:tcW w:type="dxa" w:w="46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80"/>
            </w:tcMar>
          </w:tcPr>
          <w:p>
            <w:r>
              <w:rPr>
                <w:rFonts w:ascii="Arial" w:cs="Arial" w:eastAsia="Arial" w:hAnsi="Arial"/>
                <w:b w:val="false"/>
                <w:bCs w:val="false"/>
                <w:color w:val="1A1A2E"/>
                <w:sz w:val="20"/>
                <w:szCs w:val="20"/>
              </w:rPr>
              <w:t xml:space="preserve">Dispute state</w:t>
            </w:r>
          </w:p>
        </w:tc>
        <w:tc>
          <w:tcPr>
            <w:tcW w:type="dxa" w:w="46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80"/>
            </w:tcMar>
          </w:tcPr>
          <w:p>
            <w:r>
              <w:rPr>
                <w:rFonts w:ascii="Arial" w:cs="Arial" w:eastAsia="Arial" w:hAnsi="Arial"/>
                <w:b w:val="false"/>
                <w:bCs w:val="false"/>
                <w:color w:val="1A1A2E"/>
                <w:sz w:val="20"/>
                <w:szCs w:val="20"/>
              </w:rPr>
              <w:t xml:space="preserve">Off-chain evidence and explanatory text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Internal $QUBIC balances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
            </w:r>
          </w:p>
        </w:tc>
      </w:tr>
      <w:tr>
        <w:tc>
          <w:tcPr>
            <w:tcW w:type="dxa" w:w="46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80"/>
            </w:tcMar>
          </w:tcPr>
          <w:p>
            <w:r>
              <w:rPr>
                <w:rFonts w:ascii="Arial" w:cs="Arial" w:eastAsia="Arial" w:hAnsi="Arial"/>
                <w:b w:val="false"/>
                <w:bCs w:val="false"/>
                <w:color w:val="1A1A2E"/>
                <w:sz w:val="20"/>
                <w:szCs w:val="20"/>
              </w:rPr>
              <w:t xml:space="preserve">Settlement records</w:t>
            </w:r>
          </w:p>
        </w:tc>
        <w:tc>
          <w:tcPr>
            <w:tcW w:type="dxa" w:w="46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80"/>
            </w:tcMar>
          </w:tcPr>
          <w:p>
            <w:r>
              <w:rPr>
                <w:rFonts w:ascii="Arial" w:cs="Arial" w:eastAsia="Arial" w:hAnsi="Arial"/>
                <w:b w:val="false"/>
                <w:bCs w:val="false"/>
                <w:color w:val="1A1A2E"/>
                <w:sz w:val="20"/>
                <w:szCs w:val="20"/>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QDRA eligibility references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6EA4" w:sz="4"/>
              <w:left w:val="single" w:color="1C6EA4" w:sz="8"/>
              <w:bottom w:val="single" w:color="CCCCCC" w:sz="1"/>
              <w:right w:val="none" w:color="FFFFFF" w:sz="0"/>
            </w:tcBorders>
            <w:shd w:fill="EAF2FB" w:val="clear"/>
            <w:tcMar>
              <w:top w:type="dxa" w:w="120"/>
              <w:left w:type="dxa" w:w="200"/>
              <w:bottom w:type="dxa" w:w="120"/>
              <w:right w:type="dxa" w:w="200"/>
            </w:tcMar>
          </w:tcPr>
          <w:p>
            <w:pPr>
              <w:spacing w:after="80" w:before="60"/>
            </w:pPr>
            <w:r>
              <w:rPr>
                <w:rFonts w:ascii="Arial" w:cs="Arial" w:eastAsia="Arial" w:hAnsi="Arial"/>
                <w:b/>
                <w:bCs/>
                <w:color w:val="1A3A5C"/>
                <w:sz w:val="22"/>
                <w:szCs w:val="22"/>
              </w:rPr>
              <w:t xml:space="preserve">Architecture Principle</w:t>
            </w:r>
          </w:p>
          <w:p>
            <w:pPr>
              <w:pStyle w:val="ListParagraph"/>
              <w:numPr>
                <w:ilvl w:val="0"/>
                <w:numId w:val="2"/>
              </w:numPr>
              <w:spacing w:after="40" w:before="20"/>
            </w:pPr>
            <w:r>
              <w:rPr>
                <w:rFonts w:ascii="Arial" w:cs="Arial" w:eastAsia="Arial" w:hAnsi="Arial"/>
                <w:color w:val="1A1A2E"/>
                <w:sz w:val="20"/>
                <w:szCs w:val="20"/>
              </w:rPr>
              <w:t xml:space="preserve">Bare-metal state on-chain. Rich context off-chain. Cryptographic binding between both.</w:t>
            </w:r>
          </w:p>
          <w:p>
            <w:pPr>
              <w:pStyle w:val="ListParagraph"/>
              <w:numPr>
                <w:ilvl w:val="0"/>
                <w:numId w:val="2"/>
              </w:numPr>
              <w:spacing w:after="40" w:before="20"/>
            </w:pPr>
            <w:r>
              <w:rPr>
                <w:rFonts w:ascii="Arial" w:cs="Arial" w:eastAsia="Arial" w:hAnsi="Arial"/>
                <w:color w:val="1A1A2E"/>
                <w:sz w:val="20"/>
                <w:szCs w:val="20"/>
              </w:rPr>
              <w:t xml:space="preserve">Agents, models, and frameworks change. The context architecture—anchored by the on-chain metadata hash—is the durable moat.</w:t>
            </w:r>
          </w:p>
          <w:p>
            <w:pPr>
              <w:pStyle w:val="ListParagraph"/>
              <w:numPr>
                <w:ilvl w:val="0"/>
                <w:numId w:val="2"/>
              </w:numPr>
              <w:spacing w:after="40" w:before="20"/>
            </w:pPr>
            <w:r>
              <w:rPr>
                <w:rFonts w:ascii="Arial" w:cs="Arial" w:eastAsia="Arial" w:hAnsi="Arial"/>
                <w:color w:val="1A1A2E"/>
                <w:sz w:val="20"/>
                <w:szCs w:val="20"/>
              </w:rPr>
              <w:t xml:space="preserve">The contract enforces: marketId + metadataHash + maturityTimestamp + oracleInterface + settlementRule.</w:t>
            </w:r>
          </w:p>
          <w:p>
            <w:pPr>
              <w:pStyle w:val="ListParagraph"/>
              <w:numPr>
                <w:ilvl w:val="0"/>
                <w:numId w:val="2"/>
              </w:numPr>
              <w:spacing w:after="40" w:before="20"/>
            </w:pPr>
            <w:r>
              <w:rPr>
                <w:rFonts w:ascii="Arial" w:cs="Arial" w:eastAsia="Arial" w:hAnsi="Arial"/>
                <w:color w:val="1A1A2E"/>
                <w:sz w:val="20"/>
                <w:szCs w:val="20"/>
              </w:rPr>
              <w:t xml:space="preserve">The indexer exposes: question text + charts + agent schema + historical data + UI state.</w:t>
            </w:r>
          </w:p>
          <w:p>
            <w:pPr>
              <w:spacing w:after="80" w:before="0"/>
            </w:pPr>
            <w:r>
              <w:t xml:space="preserve"/>
            </w:r>
          </w:p>
        </w:tc>
      </w:tr>
    </w:tbl>
    <w:p>
      <w:pPr>
        <w:spacing w:after="200" w:before="0"/>
      </w:pPr>
      <w:r>
        <w:t xml:space="preserve"/>
      </w:r>
    </w:p>
    <w:p>
      <w:r>
        <w:br w:type="page"/>
      </w:r>
    </w:p>
    <w:p>
      <w:pPr>
        <w:pStyle w:val="Heading1"/>
        <w:shd w:fill="1A3A5C" w:val="clear"/>
        <w:spacing w:after="200" w:before="440"/>
        <w:ind w:left="200" w:right="200"/>
      </w:pPr>
      <w:r>
        <w:rPr>
          <w:rFonts w:ascii="Arial" w:cs="Arial" w:eastAsia="Arial" w:hAnsi="Arial"/>
          <w:b/>
          <w:bCs/>
          <w:color w:val="FFFFFF"/>
          <w:sz w:val="36"/>
          <w:szCs w:val="36"/>
        </w:rPr>
        <w:t xml:space="preserve">9. $QUBIC-Only Settlement and Rewards</w:t>
      </w:r>
    </w:p>
    <w:p>
      <w:pPr>
        <w:spacing w:after="80" w:before="0"/>
      </w:pPr>
      <w:r>
        <w:t xml:space="preserve"/>
      </w:r>
    </w:p>
    <w:p>
      <w:pPr>
        <w:spacing w:after="140" w:before="0"/>
        <w:jc w:val="both"/>
      </w:pPr>
      <w:r>
        <w:rPr>
          <w:rFonts w:ascii="Arial" w:cs="Arial" w:eastAsia="Arial" w:hAnsi="Arial"/>
          <w:i w:val="false"/>
          <w:iCs w:val="false"/>
          <w:color w:val="1A1A2E"/>
          <w:sz w:val="22"/>
          <w:szCs w:val="22"/>
        </w:rPr>
        <w:t xml:space="preserve">$QUBIC is the exclusive asset for every economic function within Qassandra. This is not a preference—it is an architectural constraint. Participants transfer $QUBIC into contract-controlled market balances. The protocol manages all positions, deductions, settlement eligibility, and rewards through its internal ledger, then executes payouts from those balances.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1A3A5C" w:sz="4"/>
              <w:right w:val="single" w:color="CCCCCC" w:sz="1"/>
            </w:tcBorders>
            <w:shd w:fill="1A3A5C" w:val="clear"/>
            <w:tcMar>
              <w:top w:type="dxa" w:w="100"/>
              <w:left w:type="dxa" w:w="140"/>
              <w:bottom w:type="dxa" w:w="100"/>
              <w:right w:type="dxa" w:w="80"/>
            </w:tcMar>
          </w:tcPr>
          <w:p>
            <w:r>
              <w:rPr>
                <w:rFonts w:ascii="Arial" w:cs="Arial" w:eastAsia="Arial" w:hAnsi="Arial"/>
                <w:b/>
                <w:bCs/>
                <w:color w:val="FFFFFF"/>
                <w:sz w:val="22"/>
                <w:szCs w:val="22"/>
              </w:rPr>
              <w:t xml:space="preserve">Function</w:t>
            </w:r>
          </w:p>
        </w:tc>
        <w:tc>
          <w:tcPr>
            <w:tcW w:type="dxa" w:w="4680"/>
            <w:tcBorders>
              <w:top w:val="single" w:color="CCCCCC" w:sz="1"/>
              <w:left w:val="single" w:color="CCCCCC" w:sz="1"/>
              <w:bottom w:val="single" w:color="1A3A5C" w:sz="4"/>
              <w:right w:val="single" w:color="CCCCCC" w:sz="1"/>
            </w:tcBorders>
            <w:shd w:fill="1A3A5C" w:val="clear"/>
            <w:tcMar>
              <w:top w:type="dxa" w:w="100"/>
              <w:left w:type="dxa" w:w="140"/>
              <w:bottom w:type="dxa" w:w="100"/>
              <w:right w:type="dxa" w:w="80"/>
            </w:tcMar>
          </w:tcPr>
          <w:p>
            <w:r>
              <w:rPr>
                <w:rFonts w:ascii="Arial" w:cs="Arial" w:eastAsia="Arial" w:hAnsi="Arial"/>
                <w:b/>
                <w:bCs/>
                <w:color w:val="FFFFFF"/>
                <w:sz w:val="22"/>
                <w:szCs w:val="22"/>
              </w:rPr>
              <w:t xml:space="preserve">$QUBIC Role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Market balances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Transferred by participants into contract-controlled balances via function calls</w:t>
            </w:r>
          </w:p>
        </w:tc>
      </w:tr>
      <w:tr>
        <w:tc>
          <w:tcPr>
            <w:tcW w:type="dxa" w:w="46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80"/>
            </w:tcMar>
          </w:tcPr>
          <w:p>
            <w:r>
              <w:rPr>
                <w:rFonts w:ascii="Arial" w:cs="Arial" w:eastAsia="Arial" w:hAnsi="Arial"/>
                <w:b w:val="false"/>
                <w:bCs w:val="false"/>
                <w:color w:val="1A1A2E"/>
                <w:sz w:val="20"/>
                <w:szCs w:val="20"/>
              </w:rPr>
              <w:t xml:space="preserve">Market creation premiums</w:t>
            </w:r>
          </w:p>
        </w:tc>
        <w:tc>
          <w:tcPr>
            <w:tcW w:type="dxa" w:w="46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80"/>
            </w:tcMar>
          </w:tcPr>
          <w:p>
            <w:r>
              <w:rPr>
                <w:rFonts w:ascii="Arial" w:cs="Arial" w:eastAsia="Arial" w:hAnsi="Arial"/>
                <w:b w:val="false"/>
                <w:bCs w:val="false"/>
                <w:color w:val="1A1A2E"/>
                <w:sz w:val="20"/>
                <w:szCs w:val="20"/>
              </w:rPr>
              <w:t xml:space="preserve">Transferred at market creation; partially burned, partially to treasury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Trading premiums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Internal spread deducted from market balances</w:t>
            </w:r>
          </w:p>
        </w:tc>
      </w:tr>
      <w:tr>
        <w:tc>
          <w:tcPr>
            <w:tcW w:type="dxa" w:w="46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80"/>
            </w:tcMar>
          </w:tcPr>
          <w:p>
            <w:r>
              <w:rPr>
                <w:rFonts w:ascii="Arial" w:cs="Arial" w:eastAsia="Arial" w:hAnsi="Arial"/>
                <w:b w:val="false"/>
                <w:bCs w:val="false"/>
                <w:color w:val="1A1A2E"/>
                <w:sz w:val="20"/>
                <w:szCs w:val="20"/>
              </w:rPr>
              <w:t xml:space="preserve">Settlement payouts</w:t>
            </w:r>
          </w:p>
        </w:tc>
        <w:tc>
          <w:tcPr>
            <w:tcW w:type="dxa" w:w="46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80"/>
            </w:tcMar>
          </w:tcPr>
          <w:p>
            <w:r>
              <w:rPr>
                <w:rFonts w:ascii="Arial" w:cs="Arial" w:eastAsia="Arial" w:hAnsi="Arial"/>
                <w:b w:val="false"/>
                <w:bCs w:val="false"/>
                <w:color w:val="1A1A2E"/>
                <w:sz w:val="20"/>
                <w:szCs w:val="20"/>
              </w:rPr>
              <w:t xml:space="preserve">Claimed from contract balance by eligible participants in $QUBIC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Oracle-resolution allocation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$QUBIC reserved or designated to support oracle querying and resolution flow</w:t>
            </w:r>
          </w:p>
        </w:tc>
      </w:tr>
      <w:tr>
        <w:tc>
          <w:tcPr>
            <w:tcW w:type="dxa" w:w="46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80"/>
            </w:tcMar>
          </w:tcPr>
          <w:p>
            <w:r>
              <w:rPr>
                <w:rFonts w:ascii="Arial" w:cs="Arial" w:eastAsia="Arial" w:hAnsi="Arial"/>
                <w:b w:val="false"/>
                <w:bCs w:val="false"/>
                <w:color w:val="1A1A2E"/>
                <w:sz w:val="20"/>
                <w:szCs w:val="20"/>
              </w:rPr>
              <w:t xml:space="preserve">Dispute bonds</w:t>
            </w:r>
          </w:p>
        </w:tc>
        <w:tc>
          <w:tcPr>
            <w:tcW w:type="dxa" w:w="46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80"/>
            </w:tcMar>
          </w:tcPr>
          <w:p>
            <w:r>
              <w:rPr>
                <w:rFonts w:ascii="Arial" w:cs="Arial" w:eastAsia="Arial" w:hAnsi="Arial"/>
                <w:b w:val="false"/>
                <w:bCs w:val="false"/>
                <w:color w:val="1A1A2E"/>
                <w:sz w:val="20"/>
                <w:szCs w:val="20"/>
              </w:rPr>
              <w:t xml:space="preserve">Bonds posted and resolved in $QUBIC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Keeper and resolver rewards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Paid from protocol revenue in $QUBIC</w:t>
            </w:r>
          </w:p>
        </w:tc>
      </w:tr>
      <w:tr>
        <w:tc>
          <w:tcPr>
            <w:tcW w:type="dxa" w:w="46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80"/>
            </w:tcMar>
          </w:tcPr>
          <w:p>
            <w:r>
              <w:rPr>
                <w:rFonts w:ascii="Arial" w:cs="Arial" w:eastAsia="Arial" w:hAnsi="Arial"/>
                <w:b w:val="false"/>
                <w:bCs w:val="false"/>
                <w:color w:val="1A1A2E"/>
                <w:sz w:val="20"/>
                <w:szCs w:val="20"/>
              </w:rPr>
              <w:t xml:space="preserve">Agent-access charges</w:t>
            </w:r>
          </w:p>
        </w:tc>
        <w:tc>
          <w:tcPr>
            <w:tcW w:type="dxa" w:w="46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80"/>
            </w:tcMar>
          </w:tcPr>
          <w:p>
            <w:r>
              <w:rPr>
                <w:rFonts w:ascii="Arial" w:cs="Arial" w:eastAsia="Arial" w:hAnsi="Arial"/>
                <w:b w:val="false"/>
                <w:bCs w:val="false"/>
                <w:color w:val="1A1A2E"/>
                <w:sz w:val="20"/>
                <w:szCs w:val="20"/>
              </w:rPr>
              <w:t xml:space="preserve">$QUBIC credits, subscriptions, or periodic settlement for context access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Protocol reward pools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Governed pools denominated in $QUBIC (subject to governance and legal review)</w:t>
            </w:r>
          </w:p>
        </w:tc>
      </w:tr>
      <w:tr>
        <w:tc>
          <w:tcPr>
            <w:tcW w:type="dxa" w:w="46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80"/>
            </w:tcMar>
          </w:tcPr>
          <w:p>
            <w:r>
              <w:rPr>
                <w:rFonts w:ascii="Arial" w:cs="Arial" w:eastAsia="Arial" w:hAnsi="Arial"/>
                <w:b w:val="false"/>
                <w:bCs w:val="false"/>
                <w:color w:val="1A1A2E"/>
                <w:sz w:val="20"/>
                <w:szCs w:val="20"/>
              </w:rPr>
              <w:t xml:space="preserve">Programmatic burn allocations</w:t>
            </w:r>
          </w:p>
        </w:tc>
        <w:tc>
          <w:tcPr>
            <w:tcW w:type="dxa" w:w="46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80"/>
            </w:tcMar>
          </w:tcPr>
          <w:p>
            <w:r>
              <w:rPr>
                <w:rFonts w:ascii="Arial" w:cs="Arial" w:eastAsia="Arial" w:hAnsi="Arial"/>
                <w:b w:val="false"/>
                <w:bCs w:val="false"/>
                <w:color w:val="1A1A2E"/>
                <w:sz w:val="20"/>
                <w:szCs w:val="20"/>
              </w:rPr>
              <w:t xml:space="preserve">Governed portion of $QUBIC permanently burned</w:t>
            </w:r>
          </w:p>
        </w:tc>
      </w:tr>
    </w:tbl>
    <w:p>
      <w:pPr>
        <w:spacing w:after="120" w:before="0"/>
      </w:pPr>
      <w:r>
        <w:t xml:space="preserve"/>
      </w:r>
    </w:p>
    <w:p>
      <w:pPr>
        <w:spacing w:after="140" w:before="0"/>
        <w:jc w:val="both"/>
      </w:pPr>
      <w:r>
        <w:rPr>
          <w:rFonts w:ascii="Arial" w:cs="Arial" w:eastAsia="Arial" w:hAnsi="Arial"/>
          <w:i w:val="false"/>
          <w:iCs w:val="false"/>
          <w:color w:val="1A1A2E"/>
          <w:sz w:val="22"/>
          <w:szCs w:val="22"/>
        </w:rPr>
        <w:t xml:space="preserve">External assets may appear only as reference points inside a market question—never as settlement or reward assets. A QUBIC/USD price market references USD as a benchmark price signal, but the position, the payout, and every protocol charge remain in $QUBIC.</w:t>
      </w:r>
    </w:p>
    <w:p>
      <w:pPr>
        <w:spacing w:after="200" w:before="0"/>
      </w:pPr>
      <w:r>
        <w:t xml:space="preserve"/>
      </w:r>
    </w:p>
    <w:p>
      <w:r>
        <w:br w:type="page"/>
      </w:r>
    </w:p>
    <w:p>
      <w:pPr>
        <w:pStyle w:val="Heading1"/>
        <w:shd w:fill="1A3A5C" w:val="clear"/>
        <w:spacing w:after="200" w:before="440"/>
        <w:ind w:left="200" w:right="200"/>
      </w:pPr>
      <w:r>
        <w:rPr>
          <w:rFonts w:ascii="Arial" w:cs="Arial" w:eastAsia="Arial" w:hAnsi="Arial"/>
          <w:b/>
          <w:bCs/>
          <w:color w:val="FFFFFF"/>
          <w:sz w:val="36"/>
          <w:szCs w:val="36"/>
        </w:rPr>
        <w:t xml:space="preserve">10. CCIP-Ready Interoperability (V1 Target Architecture)</w:t>
      </w:r>
    </w:p>
    <w:p>
      <w:pPr>
        <w:spacing w:after="80" w:before="0"/>
      </w:pPr>
      <w:r>
        <w:t xml:space="preserve"/>
      </w:r>
    </w:p>
    <w:p>
      <w:pPr>
        <w:spacing w:after="140" w:before="0"/>
        <w:jc w:val="both"/>
      </w:pPr>
      <w:r>
        <w:rPr>
          <w:rFonts w:ascii="Arial" w:cs="Arial" w:eastAsia="Arial" w:hAnsi="Arial"/>
          <w:i w:val="false"/>
          <w:iCs w:val="false"/>
          <w:color w:val="1A1A2E"/>
          <w:sz w:val="22"/>
          <w:szCs w:val="22"/>
        </w:rPr>
        <w:t xml:space="preserve">Qassandra V1 implements CCIP-ready interoperability through bounded external-message adapters, canonical market metadata, cross-chain proof hooks, and deterministic replay protection, while preserving QUBIC-only settlement and avoiding unbounded state growth.</w:t>
      </w:r>
    </w:p>
    <w:p>
      <w:pPr>
        <w:spacing w:after="140" w:before="0"/>
        <w:jc w:val="both"/>
      </w:pPr>
      <w:r>
        <w:rPr>
          <w:rFonts w:ascii="Arial" w:cs="Arial" w:eastAsia="Arial" w:hAnsi="Arial"/>
          <w:i w:val="false"/>
          <w:iCs w:val="false"/>
          <w:color w:val="1A1A2E"/>
          <w:sz w:val="22"/>
          <w:szCs w:val="22"/>
        </w:rPr>
        <w:t xml:space="preserve">Qassandra V1 is designed to be CCIP-ready—not CCIP-dependent. The distinction is architectural and deliberate. Qassandra does not require Chainlink’s Cross-Chain Interoperability Protocol to function. Settlement, fees, oracle-resolution allocation, keeper rewards, agent-access charges, execution sustainability, and burn allocations remain denominated exclusively in $QUBIC in V1. Future protocol expansions must preserve this QUBIC-native economic boundary unless explicitly changed through governance and legal review. What CCIP-readiness provides is a structured, bounded path for Qassandra to receive, validate, and contextualize external cross-chain signals—without importing foreign settlement logic, external custody models, or unbounded state growth into the Qubic contract layer.</w:t>
      </w:r>
    </w:p>
    <w:p>
      <w:pPr>
        <w:spacing w:after="140" w:before="0"/>
        <w:jc w:val="both"/>
      </w:pPr>
      <w:r>
        <w:rPr>
          <w:rFonts w:ascii="Arial" w:cs="Arial" w:eastAsia="Arial" w:hAnsi="Arial"/>
          <w:i w:val="false"/>
          <w:iCs w:val="false"/>
          <w:color w:val="1A1A2E"/>
          <w:sz w:val="22"/>
          <w:szCs w:val="22"/>
        </w:rPr>
        <w:t xml:space="preserve">External assets—stablecoins, tokenized commodities, Bitcoin collateral, real-world asset references, or cross-chain liquidity signals—may appear in Qassandra as market context or oracle input data. They are not, and will not be in V1, native settlement assets. The external asset is always the subject of the market question—never the medium of its answer.</w:t>
      </w:r>
    </w:p>
    <w:p>
      <w:pPr>
        <w:spacing w:after="80" w:before="0"/>
      </w:pPr>
      <w:r>
        <w:t xml:space="preserve"/>
      </w:r>
    </w:p>
    <w:p>
      <w:pPr>
        <w:pStyle w:val="Heading2"/>
        <w:pBdr>
          <w:bottom w:val="single" w:color="1C6EA4" w:sz="2" w:space="1"/>
        </w:pBdr>
        <w:spacing w:after="120" w:before="340"/>
      </w:pPr>
      <w:r>
        <w:rPr>
          <w:rFonts w:ascii="Arial" w:cs="Arial" w:eastAsia="Arial" w:hAnsi="Arial"/>
          <w:b/>
          <w:bCs/>
          <w:color w:val="1A3A5C"/>
          <w:sz w:val="28"/>
          <w:szCs w:val="28"/>
        </w:rPr>
        <w:t xml:space="preserve">10.1  External Message Adapter Layer</w:t>
      </w:r>
    </w:p>
    <w:p>
      <w:pPr>
        <w:spacing w:after="140" w:before="0"/>
        <w:jc w:val="both"/>
      </w:pPr>
      <w:r>
        <w:rPr>
          <w:rFonts w:ascii="Arial" w:cs="Arial" w:eastAsia="Arial" w:hAnsi="Arial"/>
          <w:i w:val="false"/>
          <w:iCs w:val="false"/>
          <w:color w:val="1A1A2E"/>
          <w:sz w:val="22"/>
          <w:szCs w:val="22"/>
        </w:rPr>
        <w:t xml:space="preserve">Qassandra V1 introduces an adapter-ready external message validation layer defining the boundary through which cross-chain messages may enter Qassandra’s oracle context, and the strict constraints they must satisfy before any downstream processing occurs.</w:t>
      </w:r>
    </w:p>
    <w:p>
      <w:pPr>
        <w:spacing w:after="140" w:before="0"/>
        <w:jc w:val="both"/>
      </w:pPr>
      <w:r>
        <w:rPr>
          <w:rFonts w:ascii="Arial" w:cs="Arial" w:eastAsia="Arial" w:hAnsi="Arial"/>
          <w:i w:val="false"/>
          <w:iCs w:val="false"/>
          <w:color w:val="1A1A2E"/>
          <w:sz w:val="22"/>
          <w:szCs w:val="22"/>
        </w:rPr>
        <w:t xml:space="preserve">Every external message must carry a canonical envelope containing:</w:t>
      </w:r>
    </w:p>
    <w:p>
      <w:pPr>
        <w:pStyle w:val="ListParagraph"/>
        <w:numPr>
          <w:ilvl w:val="0"/>
          <w:numId w:val="2"/>
        </w:numPr>
        <w:spacing w:after="80" w:before="40"/>
      </w:pPr>
      <w:r>
        <w:rPr>
          <w:rFonts w:ascii="Arial" w:cs="Arial" w:eastAsia="Arial" w:hAnsi="Arial"/>
          <w:color w:val="1A1A2E"/>
          <w:sz w:val="22"/>
          <w:szCs w:val="22"/>
        </w:rPr>
        <w:t xml:space="preserve">Source protocol identifier — the originating interoperability protocol (e.g., a CCIP router reference)</w:t>
      </w:r>
    </w:p>
    <w:p>
      <w:pPr>
        <w:pStyle w:val="ListParagraph"/>
        <w:numPr>
          <w:ilvl w:val="0"/>
          <w:numId w:val="2"/>
        </w:numPr>
        <w:spacing w:after="80" w:before="40"/>
      </w:pPr>
      <w:r>
        <w:rPr>
          <w:rFonts w:ascii="Arial" w:cs="Arial" w:eastAsia="Arial" w:hAnsi="Arial"/>
          <w:color w:val="1A1A2E"/>
          <w:sz w:val="22"/>
          <w:szCs w:val="22"/>
        </w:rPr>
        <w:t xml:space="preserve">Source chain selector — a deterministic identifier for the originating chain</w:t>
      </w:r>
    </w:p>
    <w:p>
      <w:pPr>
        <w:pStyle w:val="ListParagraph"/>
        <w:numPr>
          <w:ilvl w:val="0"/>
          <w:numId w:val="2"/>
        </w:numPr>
        <w:spacing w:after="80" w:before="40"/>
      </w:pPr>
      <w:r>
        <w:rPr>
          <w:rFonts w:ascii="Arial" w:cs="Arial" w:eastAsia="Arial" w:hAnsi="Arial"/>
          <w:color w:val="1A1A2E"/>
          <w:sz w:val="22"/>
          <w:szCs w:val="22"/>
        </w:rPr>
        <w:t xml:space="preserve">Sender hash — a compact commitment to the message originator</w:t>
      </w:r>
    </w:p>
    <w:p>
      <w:pPr>
        <w:pStyle w:val="ListParagraph"/>
        <w:numPr>
          <w:ilvl w:val="0"/>
          <w:numId w:val="2"/>
        </w:numPr>
        <w:spacing w:after="80" w:before="40"/>
      </w:pPr>
      <w:r>
        <w:rPr>
          <w:rFonts w:ascii="Arial" w:cs="Arial" w:eastAsia="Arial" w:hAnsi="Arial"/>
          <w:color w:val="1A1A2E"/>
          <w:sz w:val="22"/>
          <w:szCs w:val="22"/>
        </w:rPr>
        <w:t xml:space="preserve">Message hash — a cryptographic commitment to the full message content</w:t>
      </w:r>
    </w:p>
    <w:p>
      <w:pPr>
        <w:pStyle w:val="ListParagraph"/>
        <w:numPr>
          <w:ilvl w:val="0"/>
          <w:numId w:val="2"/>
        </w:numPr>
        <w:spacing w:after="80" w:before="40"/>
      </w:pPr>
      <w:r>
        <w:rPr>
          <w:rFonts w:ascii="Arial" w:cs="Arial" w:eastAsia="Arial" w:hAnsi="Arial"/>
          <w:color w:val="1A1A2E"/>
          <w:sz w:val="22"/>
          <w:szCs w:val="22"/>
        </w:rPr>
        <w:t xml:space="preserve">Payload hash — a commitment to the structured data payload within the message</w:t>
      </w:r>
    </w:p>
    <w:p>
      <w:pPr>
        <w:pStyle w:val="ListParagraph"/>
        <w:numPr>
          <w:ilvl w:val="0"/>
          <w:numId w:val="2"/>
        </w:numPr>
        <w:spacing w:after="80" w:before="40"/>
      </w:pPr>
      <w:r>
        <w:rPr>
          <w:rFonts w:ascii="Arial" w:cs="Arial" w:eastAsia="Arial" w:hAnsi="Arial"/>
          <w:color w:val="1A1A2E"/>
          <w:sz w:val="22"/>
          <w:szCs w:val="22"/>
        </w:rPr>
        <w:t xml:space="preserve">Market ID — the Qassandra market the message is associated with</w:t>
      </w:r>
    </w:p>
    <w:p>
      <w:pPr>
        <w:pStyle w:val="ListParagraph"/>
        <w:numPr>
          <w:ilvl w:val="0"/>
          <w:numId w:val="2"/>
        </w:numPr>
        <w:spacing w:after="80" w:before="40"/>
      </w:pPr>
      <w:r>
        <w:rPr>
          <w:rFonts w:ascii="Arial" w:cs="Arial" w:eastAsia="Arial" w:hAnsi="Arial"/>
          <w:color w:val="1A1A2E"/>
          <w:sz w:val="22"/>
          <w:szCs w:val="22"/>
        </w:rPr>
        <w:t xml:space="preserve">Expiry tick — the Qubic tick beyond which the message is treated as stale and rejected</w:t>
      </w:r>
    </w:p>
    <w:p>
      <w:pPr>
        <w:spacing w:after="40" w:before="0"/>
      </w:pPr>
      <w:r>
        <w:t xml:space="preserve"/>
      </w:r>
    </w:p>
    <w:p>
      <w:pPr>
        <w:spacing w:after="140" w:before="0"/>
        <w:jc w:val="both"/>
      </w:pPr>
      <w:r>
        <w:rPr>
          <w:rFonts w:ascii="Arial" w:cs="Arial" w:eastAsia="Arial" w:hAnsi="Arial"/>
          <w:i w:val="false"/>
          <w:iCs w:val="false"/>
          <w:color w:val="1A1A2E"/>
          <w:sz w:val="22"/>
          <w:szCs w:val="22"/>
        </w:rPr>
        <w:t xml:space="preserve">External messages are inputs to Qassandra’s oracle context. They cannot directly force market settlement, override oracle quorum, introduce external custody, or modify contract state outside of the defined resolution and dispute flow.</w:t>
      </w:r>
    </w:p>
    <w:p>
      <w:pPr>
        <w:spacing w:after="80" w:before="0"/>
      </w:pPr>
      <w:r>
        <w:t xml:space="preserve"/>
      </w:r>
    </w:p>
    <w:p>
      <w:pPr>
        <w:pStyle w:val="Heading2"/>
        <w:pBdr>
          <w:bottom w:val="single" w:color="1C6EA4" w:sz="2" w:space="1"/>
        </w:pBdr>
        <w:spacing w:after="120" w:before="340"/>
      </w:pPr>
      <w:r>
        <w:rPr>
          <w:rFonts w:ascii="Arial" w:cs="Arial" w:eastAsia="Arial" w:hAnsi="Arial"/>
          <w:b/>
          <w:bCs/>
          <w:color w:val="1A3A5C"/>
          <w:sz w:val="28"/>
          <w:szCs w:val="28"/>
        </w:rPr>
        <w:t xml:space="preserve">10.2  Canonical Market Metadata</w:t>
      </w:r>
    </w:p>
    <w:p>
      <w:pPr>
        <w:spacing w:after="140" w:before="0"/>
        <w:jc w:val="both"/>
      </w:pPr>
      <w:r>
        <w:rPr>
          <w:rFonts w:ascii="Arial" w:cs="Arial" w:eastAsia="Arial" w:hAnsi="Arial"/>
          <w:i w:val="false"/>
          <w:iCs w:val="false"/>
          <w:color w:val="1A1A2E"/>
          <w:sz w:val="22"/>
          <w:szCs w:val="22"/>
        </w:rPr>
        <w:t xml:space="preserve">Qassandra V1 introduces a canonical market metadata schema enabling external systems to identify, classify, and interact with a Qassandra market through a compatible interoperability layer.</w:t>
      </w:r>
    </w:p>
    <w:p>
      <w:pPr>
        <w:spacing w:after="140" w:before="0"/>
        <w:jc w:val="both"/>
      </w:pPr>
      <w:r>
        <w:rPr>
          <w:rFonts w:ascii="Arial" w:cs="Arial" w:eastAsia="Arial" w:hAnsi="Arial"/>
          <w:i w:val="false"/>
          <w:iCs w:val="false"/>
          <w:color w:val="1A1A2E"/>
          <w:sz w:val="22"/>
          <w:szCs w:val="22"/>
        </w:rPr>
        <w:t xml:space="preserve">The canonical metadata schema includes:</w:t>
      </w:r>
    </w:p>
    <w:p>
      <w:pPr>
        <w:pStyle w:val="ListParagraph"/>
        <w:numPr>
          <w:ilvl w:val="0"/>
          <w:numId w:val="2"/>
        </w:numPr>
        <w:spacing w:after="80" w:before="40"/>
      </w:pPr>
      <w:r>
        <w:rPr>
          <w:rFonts w:ascii="Arial" w:cs="Arial" w:eastAsia="Arial" w:hAnsi="Arial"/>
          <w:color w:val="1A1A2E"/>
          <w:sz w:val="22"/>
          <w:szCs w:val="22"/>
        </w:rPr>
        <w:t xml:space="preserve">Market type — the category of forecast market (price threshold, milestone, performance, attestation, etc.)</w:t>
      </w:r>
    </w:p>
    <w:p>
      <w:pPr>
        <w:pStyle w:val="ListParagraph"/>
        <w:numPr>
          <w:ilvl w:val="0"/>
          <w:numId w:val="2"/>
        </w:numPr>
        <w:spacing w:after="80" w:before="40"/>
      </w:pPr>
      <w:r>
        <w:rPr>
          <w:rFonts w:ascii="Arial" w:cs="Arial" w:eastAsia="Arial" w:hAnsi="Arial"/>
          <w:color w:val="1A1A2E"/>
          <w:sz w:val="22"/>
          <w:szCs w:val="22"/>
        </w:rPr>
        <w:t xml:space="preserve">Base and quote asset references — the underlying assets referenced in the market question (reference data only; neither becomes a settlement asset)</w:t>
      </w:r>
    </w:p>
    <w:p>
      <w:pPr>
        <w:pStyle w:val="ListParagraph"/>
        <w:numPr>
          <w:ilvl w:val="0"/>
          <w:numId w:val="2"/>
        </w:numPr>
        <w:spacing w:after="80" w:before="40"/>
      </w:pPr>
      <w:r>
        <w:rPr>
          <w:rFonts w:ascii="Arial" w:cs="Arial" w:eastAsia="Arial" w:hAnsi="Arial"/>
          <w:color w:val="1A1A2E"/>
          <w:sz w:val="22"/>
          <w:szCs w:val="22"/>
        </w:rPr>
        <w:t xml:space="preserve">Oracle model — the Qubic oracle interface and query format used for resolution</w:t>
      </w:r>
    </w:p>
    <w:p>
      <w:pPr>
        <w:pStyle w:val="ListParagraph"/>
        <w:numPr>
          <w:ilvl w:val="0"/>
          <w:numId w:val="2"/>
        </w:numPr>
        <w:spacing w:after="80" w:before="40"/>
      </w:pPr>
      <w:r>
        <w:rPr>
          <w:rFonts w:ascii="Arial" w:cs="Arial" w:eastAsia="Arial" w:hAnsi="Arial"/>
          <w:color w:val="1A1A2E"/>
          <w:sz w:val="22"/>
          <w:szCs w:val="22"/>
        </w:rPr>
        <w:t xml:space="preserve">Resolution model — the outcome parser logic (binary, scalar, multi-outcome) and quorum requirements</w:t>
      </w:r>
    </w:p>
    <w:p>
      <w:pPr>
        <w:pStyle w:val="ListParagraph"/>
        <w:numPr>
          <w:ilvl w:val="0"/>
          <w:numId w:val="2"/>
        </w:numPr>
        <w:spacing w:after="80" w:before="40"/>
      </w:pPr>
      <w:r>
        <w:rPr>
          <w:rFonts w:ascii="Arial" w:cs="Arial" w:eastAsia="Arial" w:hAnsi="Arial"/>
          <w:color w:val="1A1A2E"/>
          <w:sz w:val="22"/>
          <w:szCs w:val="22"/>
        </w:rPr>
        <w:t xml:space="preserve">Settlement asset — locked to $QUBIC in V1; not configurable for external assets</w:t>
      </w:r>
    </w:p>
    <w:p>
      <w:pPr>
        <w:pStyle w:val="ListParagraph"/>
        <w:numPr>
          <w:ilvl w:val="0"/>
          <w:numId w:val="2"/>
        </w:numPr>
        <w:spacing w:after="80" w:before="40"/>
      </w:pPr>
      <w:r>
        <w:rPr>
          <w:rFonts w:ascii="Arial" w:cs="Arial" w:eastAsia="Arial" w:hAnsi="Arial"/>
          <w:color w:val="1A1A2E"/>
          <w:sz w:val="22"/>
          <w:szCs w:val="22"/>
        </w:rPr>
        <w:t xml:space="preserve">Metadata hash — a cryptographic commitment to the full off-chain metadata record, anchored on-chain</w:t>
      </w:r>
    </w:p>
    <w:p>
      <w:pPr>
        <w:pStyle w:val="ListParagraph"/>
        <w:numPr>
          <w:ilvl w:val="0"/>
          <w:numId w:val="2"/>
        </w:numPr>
        <w:spacing w:after="80" w:before="40"/>
      </w:pPr>
      <w:r>
        <w:rPr>
          <w:rFonts w:ascii="Arial" w:cs="Arial" w:eastAsia="Arial" w:hAnsi="Arial"/>
          <w:color w:val="1A1A2E"/>
          <w:sz w:val="22"/>
          <w:szCs w:val="22"/>
        </w:rPr>
        <w:t xml:space="preserve">External compatibility flags — bit flags indicating recognized interoperability protocols and chain selectors for this market</w:t>
      </w:r>
    </w:p>
    <w:p>
      <w:pPr>
        <w:spacing w:after="80" w:before="0"/>
      </w:pPr>
      <w:r>
        <w:t xml:space="preserve"/>
      </w:r>
    </w:p>
    <w:p>
      <w:pPr>
        <w:pStyle w:val="Heading2"/>
        <w:pBdr>
          <w:bottom w:val="single" w:color="1C6EA4" w:sz="2" w:space="1"/>
        </w:pBdr>
        <w:spacing w:after="120" w:before="340"/>
      </w:pPr>
      <w:r>
        <w:rPr>
          <w:rFonts w:ascii="Arial" w:cs="Arial" w:eastAsia="Arial" w:hAnsi="Arial"/>
          <w:b/>
          <w:bCs/>
          <w:color w:val="1A3A5C"/>
          <w:sz w:val="28"/>
          <w:szCs w:val="28"/>
        </w:rPr>
        <w:t xml:space="preserve">10.3  Cross-Chain Proof Hooks</w:t>
      </w:r>
    </w:p>
    <w:p>
      <w:pPr>
        <w:spacing w:after="140" w:before="0"/>
        <w:jc w:val="both"/>
      </w:pPr>
      <w:r>
        <w:rPr>
          <w:rFonts w:ascii="Arial" w:cs="Arial" w:eastAsia="Arial" w:hAnsi="Arial"/>
          <w:i w:val="false"/>
          <w:iCs w:val="false"/>
          <w:color w:val="1A1A2E"/>
          <w:sz w:val="22"/>
          <w:szCs w:val="22"/>
        </w:rPr>
        <w:t xml:space="preserve">Qassandra V1 defines a cross-chain proof hook structure for markets that may receive attestations, price proofs, or state proofs from external chains. These hooks allow Qassandra’s resolution engine to check an external proof’s integrity and finality status before incorporating its payload into oracle context.</w:t>
      </w:r>
    </w:p>
    <w:p>
      <w:pPr>
        <w:spacing w:after="140" w:before="0"/>
        <w:jc w:val="both"/>
      </w:pPr>
      <w:r>
        <w:rPr>
          <w:rFonts w:ascii="Arial" w:cs="Arial" w:eastAsia="Arial" w:hAnsi="Arial"/>
          <w:i w:val="false"/>
          <w:iCs w:val="false"/>
          <w:color w:val="1A1A2E"/>
          <w:sz w:val="22"/>
          <w:szCs w:val="22"/>
        </w:rPr>
        <w:t xml:space="preserve">Each proof hook record carries:</w:t>
      </w:r>
    </w:p>
    <w:p>
      <w:pPr>
        <w:pStyle w:val="ListParagraph"/>
        <w:numPr>
          <w:ilvl w:val="0"/>
          <w:numId w:val="2"/>
        </w:numPr>
        <w:spacing w:after="80" w:before="40"/>
      </w:pPr>
      <w:r>
        <w:rPr>
          <w:rFonts w:ascii="Arial" w:cs="Arial" w:eastAsia="Arial" w:hAnsi="Arial"/>
          <w:color w:val="1A1A2E"/>
          <w:sz w:val="22"/>
          <w:szCs w:val="22"/>
        </w:rPr>
        <w:t xml:space="preserve">Source chain selector — identifies the chain from which the proof originated</w:t>
      </w:r>
    </w:p>
    <w:p>
      <w:pPr>
        <w:pStyle w:val="ListParagraph"/>
        <w:numPr>
          <w:ilvl w:val="0"/>
          <w:numId w:val="2"/>
        </w:numPr>
        <w:spacing w:after="80" w:before="40"/>
      </w:pPr>
      <w:r>
        <w:rPr>
          <w:rFonts w:ascii="Arial" w:cs="Arial" w:eastAsia="Arial" w:hAnsi="Arial"/>
          <w:color w:val="1A1A2E"/>
          <w:sz w:val="22"/>
          <w:szCs w:val="22"/>
        </w:rPr>
        <w:t xml:space="preserve">Destination chain selector — the chain context for which the proof is valid (Qubic in V1)</w:t>
      </w:r>
    </w:p>
    <w:p>
      <w:pPr>
        <w:pStyle w:val="ListParagraph"/>
        <w:numPr>
          <w:ilvl w:val="0"/>
          <w:numId w:val="2"/>
        </w:numPr>
        <w:spacing w:after="80" w:before="40"/>
      </w:pPr>
      <w:r>
        <w:rPr>
          <w:rFonts w:ascii="Arial" w:cs="Arial" w:eastAsia="Arial" w:hAnsi="Arial"/>
          <w:color w:val="1A1A2E"/>
          <w:sz w:val="22"/>
          <w:szCs w:val="22"/>
        </w:rPr>
        <w:t xml:space="preserve">Message ID hash — a deterministic identifier for the specific cross-chain message</w:t>
      </w:r>
    </w:p>
    <w:p>
      <w:pPr>
        <w:pStyle w:val="ListParagraph"/>
        <w:numPr>
          <w:ilvl w:val="0"/>
          <w:numId w:val="2"/>
        </w:numPr>
        <w:spacing w:after="80" w:before="40"/>
      </w:pPr>
      <w:r>
        <w:rPr>
          <w:rFonts w:ascii="Arial" w:cs="Arial" w:eastAsia="Arial" w:hAnsi="Arial"/>
          <w:color w:val="1A1A2E"/>
          <w:sz w:val="22"/>
          <w:szCs w:val="22"/>
        </w:rPr>
        <w:t xml:space="preserve">Payload hash — a commitment to the proof’s structured data content</w:t>
      </w:r>
    </w:p>
    <w:p>
      <w:pPr>
        <w:pStyle w:val="ListParagraph"/>
        <w:numPr>
          <w:ilvl w:val="0"/>
          <w:numId w:val="2"/>
        </w:numPr>
        <w:spacing w:after="80" w:before="40"/>
      </w:pPr>
      <w:r>
        <w:rPr>
          <w:rFonts w:ascii="Arial" w:cs="Arial" w:eastAsia="Arial" w:hAnsi="Arial"/>
          <w:color w:val="1A1A2E"/>
          <w:sz w:val="22"/>
          <w:szCs w:val="22"/>
        </w:rPr>
        <w:t xml:space="preserve">Proof hash — a cryptographic commitment to the full proof artifact</w:t>
      </w:r>
    </w:p>
    <w:p>
      <w:pPr>
        <w:pStyle w:val="ListParagraph"/>
        <w:numPr>
          <w:ilvl w:val="0"/>
          <w:numId w:val="2"/>
        </w:numPr>
        <w:spacing w:after="80" w:before="40"/>
      </w:pPr>
      <w:r>
        <w:rPr>
          <w:rFonts w:ascii="Arial" w:cs="Arial" w:eastAsia="Arial" w:hAnsi="Arial"/>
          <w:color w:val="1A1A2E"/>
          <w:sz w:val="22"/>
          <w:szCs w:val="22"/>
        </w:rPr>
        <w:t xml:space="preserve">Proof status — the current validation state (pending, accepted, rejected, expired)</w:t>
      </w:r>
    </w:p>
    <w:p>
      <w:pPr>
        <w:pStyle w:val="ListParagraph"/>
        <w:numPr>
          <w:ilvl w:val="0"/>
          <w:numId w:val="2"/>
        </w:numPr>
        <w:spacing w:after="80" w:before="40"/>
      </w:pPr>
      <w:r>
        <w:rPr>
          <w:rFonts w:ascii="Arial" w:cs="Arial" w:eastAsia="Arial" w:hAnsi="Arial"/>
          <w:color w:val="1A1A2E"/>
          <w:sz w:val="22"/>
          <w:szCs w:val="22"/>
        </w:rPr>
        <w:t xml:space="preserve">Finality level — an indicator of the proof’s finality on its source chain (probabilistic, checkpoint-confirmed, finalized)</w:t>
      </w:r>
    </w:p>
    <w:p>
      <w:pPr>
        <w:spacing w:after="40" w:before="0"/>
      </w:pPr>
      <w:r>
        <w:t xml:space="preserve"/>
      </w:r>
    </w:p>
    <w:p>
      <w:pPr>
        <w:spacing w:after="140" w:before="0"/>
        <w:jc w:val="both"/>
      </w:pPr>
      <w:r>
        <w:rPr>
          <w:rFonts w:ascii="Arial" w:cs="Arial" w:eastAsia="Arial" w:hAnsi="Arial"/>
          <w:i w:val="false"/>
          <w:iCs w:val="false"/>
          <w:color w:val="1A1A2E"/>
          <w:sz w:val="22"/>
          <w:szCs w:val="22"/>
        </w:rPr>
        <w:t xml:space="preserve">Proof hooks inform the oracle request layer. A proof that has not reached the required finality level or carries an invalid proof hash will not satisfy the oracle query’s acceptance criteria. The resolution engine remains the authoritative decision point; a cross-chain proof hook is an input, not an override.</w:t>
      </w:r>
    </w:p>
    <w:p>
      <w:pPr>
        <w:spacing w:after="80" w:before="0"/>
      </w:pPr>
      <w:r>
        <w:t xml:space="preserve"/>
      </w:r>
    </w:p>
    <w:p>
      <w:pPr>
        <w:pStyle w:val="Heading2"/>
        <w:pBdr>
          <w:bottom w:val="single" w:color="1C6EA4" w:sz="2" w:space="1"/>
        </w:pBdr>
        <w:spacing w:after="120" w:before="340"/>
      </w:pPr>
      <w:r>
        <w:rPr>
          <w:rFonts w:ascii="Arial" w:cs="Arial" w:eastAsia="Arial" w:hAnsi="Arial"/>
          <w:b/>
          <w:bCs/>
          <w:color w:val="1A3A5C"/>
          <w:sz w:val="28"/>
          <w:szCs w:val="28"/>
        </w:rPr>
        <w:t xml:space="preserve">10.4  Deterministic Replay Protection</w:t>
      </w:r>
    </w:p>
    <w:p>
      <w:pPr>
        <w:spacing w:after="140" w:before="0"/>
        <w:jc w:val="both"/>
      </w:pPr>
      <w:r>
        <w:rPr>
          <w:rFonts w:ascii="Arial" w:cs="Arial" w:eastAsia="Arial" w:hAnsi="Arial"/>
          <w:i w:val="false"/>
          <w:iCs w:val="false"/>
          <w:color w:val="1A1A2E"/>
          <w:sz w:val="22"/>
          <w:szCs w:val="22"/>
        </w:rPr>
        <w:t xml:space="preserve">Cross-chain interoperability surfaces a class of attack that purely local contracts do not face: message replay. Qassandra V1 addresses this through a layered, market-local replay protection architecture designed for Qubic’s compact state constraints.</w:t>
      </w:r>
    </w:p>
    <w:p>
      <w:pPr>
        <w:pStyle w:val="ListParagraph"/>
        <w:numPr>
          <w:ilvl w:val="0"/>
          <w:numId w:val="2"/>
        </w:numPr>
        <w:spacing w:after="80" w:before="40"/>
      </w:pPr>
      <w:r>
        <w:rPr>
          <w:rFonts w:ascii="Arial" w:cs="Arial" w:eastAsia="Arial" w:hAnsi="Arial"/>
          <w:color w:val="1A1A2E"/>
          <w:sz w:val="22"/>
          <w:szCs w:val="22"/>
        </w:rPr>
        <w:t xml:space="preserve">Market-local replay caches — each market maintains its own replay protection structure, isolated from other markets</w:t>
      </w:r>
    </w:p>
    <w:p>
      <w:pPr>
        <w:pStyle w:val="ListParagraph"/>
        <w:numPr>
          <w:ilvl w:val="0"/>
          <w:numId w:val="2"/>
        </w:numPr>
        <w:spacing w:after="80" w:before="40"/>
      </w:pPr>
      <w:r>
        <w:rPr>
          <w:rFonts w:ascii="Arial" w:cs="Arial" w:eastAsia="Arial" w:hAnsi="Arial"/>
          <w:color w:val="1A1A2E"/>
          <w:sz w:val="22"/>
          <w:szCs w:val="22"/>
        </w:rPr>
        <w:t xml:space="preserve">Expiry ticks — every external message carries an expiry tick; messages presented after their expiry tick are unconditionally rejected</w:t>
      </w:r>
    </w:p>
    <w:p>
      <w:pPr>
        <w:pStyle w:val="ListParagraph"/>
        <w:numPr>
          <w:ilvl w:val="0"/>
          <w:numId w:val="2"/>
        </w:numPr>
        <w:spacing w:after="80" w:before="40"/>
      </w:pPr>
      <w:r>
        <w:rPr>
          <w:rFonts w:ascii="Arial" w:cs="Arial" w:eastAsia="Arial" w:hAnsi="Arial"/>
          <w:color w:val="1A1A2E"/>
          <w:sz w:val="22"/>
          <w:szCs w:val="22"/>
        </w:rPr>
        <w:t xml:space="preserve">Fixed-size recent-message ring buffer — active markets maintain a compact ring buffer of recently seen message hashes; size is bounded and does not grow with market age</w:t>
      </w:r>
    </w:p>
    <w:p>
      <w:pPr>
        <w:pStyle w:val="ListParagraph"/>
        <w:numPr>
          <w:ilvl w:val="0"/>
          <w:numId w:val="2"/>
        </w:numPr>
        <w:spacing w:after="80" w:before="40"/>
      </w:pPr>
      <w:r>
        <w:rPr>
          <w:rFonts w:ascii="Arial" w:cs="Arial" w:eastAsia="Arial" w:hAnsi="Arial"/>
          <w:color w:val="1A1A2E"/>
          <w:sz w:val="22"/>
          <w:szCs w:val="22"/>
        </w:rPr>
        <w:t xml:space="preserve">Near O(1) lookup table with tombstone-aware probing — open-addressing with tombstone markers for deleted entries, providing efficient membership testing without dynamic allocation</w:t>
      </w:r>
    </w:p>
    <w:p>
      <w:pPr>
        <w:pStyle w:val="ListParagraph"/>
        <w:numPr>
          <w:ilvl w:val="0"/>
          <w:numId w:val="2"/>
        </w:numPr>
        <w:spacing w:after="80" w:before="40"/>
      </w:pPr>
      <w:r>
        <w:rPr>
          <w:rFonts w:ascii="Arial" w:cs="Arial" w:eastAsia="Arial" w:hAnsi="Arial"/>
          <w:color w:val="1A1A2E"/>
          <w:sz w:val="22"/>
          <w:szCs w:val="22"/>
        </w:rPr>
        <w:t xml:space="preserve">Finalized archive hashes — once a market reaches finality, its replay cache is collapsed into a compressed archive commitment; the archive hash preserves proof of what was seen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6EA4" w:sz="4"/>
              <w:left w:val="single" w:color="1C6EA4" w:sz="8"/>
              <w:bottom w:val="single" w:color="CCCCCC" w:sz="1"/>
              <w:right w:val="none" w:color="FFFFFF" w:sz="0"/>
            </w:tcBorders>
            <w:shd w:fill="EAF2FB" w:val="clear"/>
            <w:tcMar>
              <w:top w:type="dxa" w:w="120"/>
              <w:left w:type="dxa" w:w="200"/>
              <w:bottom w:type="dxa" w:w="120"/>
              <w:right w:type="dxa" w:w="200"/>
            </w:tcMar>
          </w:tcPr>
          <w:p>
            <w:pPr>
              <w:spacing w:after="80" w:before="60"/>
            </w:pPr>
            <w:r>
              <w:rPr>
                <w:rFonts w:ascii="Arial" w:cs="Arial" w:eastAsia="Arial" w:hAnsi="Arial"/>
                <w:b/>
                <w:bCs/>
                <w:color w:val="1A3A5C"/>
                <w:sz w:val="22"/>
                <w:szCs w:val="22"/>
              </w:rPr>
              <w:t xml:space="preserve">Replay Protection Design Principle</w:t>
            </w:r>
          </w:p>
          <w:p>
            <w:pPr>
              <w:pStyle w:val="ListParagraph"/>
              <w:numPr>
                <w:ilvl w:val="0"/>
                <w:numId w:val="2"/>
              </w:numPr>
              <w:spacing w:after="40" w:before="20"/>
            </w:pPr>
            <w:r>
              <w:rPr>
                <w:rFonts w:ascii="Arial" w:cs="Arial" w:eastAsia="Arial" w:hAnsi="Arial"/>
                <w:color w:val="1A1A2E"/>
                <w:sz w:val="20"/>
                <w:szCs w:val="20"/>
              </w:rPr>
              <w:t xml:space="preserve">Active market = detailed replay protection.</w:t>
            </w:r>
          </w:p>
          <w:p>
            <w:pPr>
              <w:pStyle w:val="ListParagraph"/>
              <w:numPr>
                <w:ilvl w:val="0"/>
                <w:numId w:val="2"/>
              </w:numPr>
              <w:spacing w:after="40" w:before="20"/>
            </w:pPr>
            <w:r>
              <w:rPr>
                <w:rFonts w:ascii="Arial" w:cs="Arial" w:eastAsia="Arial" w:hAnsi="Arial"/>
                <w:color w:val="1A1A2E"/>
                <w:sz w:val="20"/>
                <w:szCs w:val="20"/>
              </w:rPr>
              <w:t xml:space="preserve">Finalized market = compressed archive commitment.</w:t>
            </w:r>
          </w:p>
          <w:p>
            <w:pPr>
              <w:pStyle w:val="ListParagraph"/>
              <w:numPr>
                <w:ilvl w:val="0"/>
                <w:numId w:val="2"/>
              </w:numPr>
              <w:spacing w:after="40" w:before="20"/>
            </w:pPr>
            <w:r>
              <w:rPr>
                <w:rFonts w:ascii="Arial" w:cs="Arial" w:eastAsia="Arial" w:hAnsi="Arial"/>
                <w:color w:val="1A1A2E"/>
                <w:sz w:val="20"/>
                <w:szCs w:val="20"/>
              </w:rPr>
              <w:t xml:space="preserve">State growth is bounded by market lifecycle, not by message volume. Qassandra does not accumulate unbounded replay history.</w:t>
            </w:r>
          </w:p>
          <w:p>
            <w:pPr>
              <w:spacing w:after="80" w:before="0"/>
            </w:pPr>
            <w:r>
              <w:t xml:space="preserve"/>
            </w:r>
          </w:p>
        </w:tc>
      </w:tr>
    </w:tbl>
    <w:p>
      <w:pPr>
        <w:spacing w:after="80" w:before="0"/>
      </w:pPr>
      <w:r>
        <w:t xml:space="preserve"/>
      </w:r>
    </w:p>
    <w:p>
      <w:pPr>
        <w:pStyle w:val="Heading2"/>
        <w:pBdr>
          <w:bottom w:val="single" w:color="1C6EA4" w:sz="2" w:space="1"/>
        </w:pBdr>
        <w:spacing w:after="120" w:before="340"/>
      </w:pPr>
      <w:r>
        <w:rPr>
          <w:rFonts w:ascii="Arial" w:cs="Arial" w:eastAsia="Arial" w:hAnsi="Arial"/>
          <w:b/>
          <w:bCs/>
          <w:color w:val="1A3A5C"/>
          <w:sz w:val="28"/>
          <w:szCs w:val="28"/>
        </w:rPr>
        <w:t xml:space="preserve">10.5  Settlement and Economic Boundary</w:t>
      </w:r>
    </w:p>
    <w:p>
      <w:pPr>
        <w:spacing w:after="140" w:before="0"/>
        <w:jc w:val="both"/>
      </w:pPr>
      <w:r>
        <w:rPr>
          <w:rFonts w:ascii="Arial" w:cs="Arial" w:eastAsia="Arial" w:hAnsi="Arial"/>
          <w:i w:val="false"/>
          <w:iCs w:val="false"/>
          <w:color w:val="1A1A2E"/>
          <w:sz w:val="22"/>
          <w:szCs w:val="22"/>
        </w:rPr>
        <w:t xml:space="preserve">CCIP-ready interoperability in Qassandra V1 is strictly an information and context layer. It has no authority over Qassandra’s economic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1A3A5C" w:sz="4"/>
              <w:right w:val="single" w:color="CCCCCC" w:sz="1"/>
            </w:tcBorders>
            <w:shd w:fill="1A3A5C" w:val="clear"/>
            <w:tcMar>
              <w:top w:type="dxa" w:w="100"/>
              <w:left w:type="dxa" w:w="140"/>
              <w:bottom w:type="dxa" w:w="100"/>
              <w:right w:type="dxa" w:w="80"/>
            </w:tcMar>
          </w:tcPr>
          <w:p>
            <w:r>
              <w:rPr>
                <w:rFonts w:ascii="Arial" w:cs="Arial" w:eastAsia="Arial" w:hAnsi="Arial"/>
                <w:b/>
                <w:bCs/>
                <w:color w:val="FFFFFF"/>
                <w:sz w:val="22"/>
                <w:szCs w:val="22"/>
              </w:rPr>
              <w:t xml:space="preserve">Layer</w:t>
            </w:r>
          </w:p>
        </w:tc>
        <w:tc>
          <w:tcPr>
            <w:tcW w:type="dxa" w:w="4680"/>
            <w:tcBorders>
              <w:top w:val="single" w:color="CCCCCC" w:sz="1"/>
              <w:left w:val="single" w:color="CCCCCC" w:sz="1"/>
              <w:bottom w:val="single" w:color="1A3A5C" w:sz="4"/>
              <w:right w:val="single" w:color="CCCCCC" w:sz="1"/>
            </w:tcBorders>
            <w:shd w:fill="1A3A5C" w:val="clear"/>
            <w:tcMar>
              <w:top w:type="dxa" w:w="100"/>
              <w:left w:type="dxa" w:w="140"/>
              <w:bottom w:type="dxa" w:w="100"/>
              <w:right w:type="dxa" w:w="80"/>
            </w:tcMar>
          </w:tcPr>
          <w:p>
            <w:r>
              <w:rPr>
                <w:rFonts w:ascii="Arial" w:cs="Arial" w:eastAsia="Arial" w:hAnsi="Arial"/>
                <w:b/>
                <w:bCs/>
                <w:color w:val="FFFFFF"/>
                <w:sz w:val="22"/>
                <w:szCs w:val="22"/>
              </w:rPr>
              <w:t xml:space="preserve">V1 Constraint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Settlement asset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$QUBIC exclusively — not configurable for external assets</w:t>
            </w:r>
          </w:p>
        </w:tc>
      </w:tr>
      <w:tr>
        <w:tc>
          <w:tcPr>
            <w:tcW w:type="dxa" w:w="46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80"/>
            </w:tcMar>
          </w:tcPr>
          <w:p>
            <w:r>
              <w:rPr>
                <w:rFonts w:ascii="Arial" w:cs="Arial" w:eastAsia="Arial" w:hAnsi="Arial"/>
                <w:b w:val="false"/>
                <w:bCs w:val="false"/>
                <w:color w:val="1A1A2E"/>
                <w:sz w:val="20"/>
                <w:szCs w:val="20"/>
              </w:rPr>
              <w:t xml:space="preserve">Protocol fees</w:t>
            </w:r>
          </w:p>
        </w:tc>
        <w:tc>
          <w:tcPr>
            <w:tcW w:type="dxa" w:w="46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80"/>
            </w:tcMar>
          </w:tcPr>
          <w:p>
            <w:r>
              <w:rPr>
                <w:rFonts w:ascii="Arial" w:cs="Arial" w:eastAsia="Arial" w:hAnsi="Arial"/>
                <w:b w:val="false"/>
                <w:bCs w:val="false"/>
                <w:color w:val="1A1A2E"/>
                <w:sz w:val="20"/>
                <w:szCs w:val="20"/>
              </w:rPr>
              <w:t xml:space="preserve">$QUBIC exclusively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Oracle-resolution allocation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$QUBIC exclusively</w:t>
            </w:r>
          </w:p>
        </w:tc>
      </w:tr>
      <w:tr>
        <w:tc>
          <w:tcPr>
            <w:tcW w:type="dxa" w:w="46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80"/>
            </w:tcMar>
          </w:tcPr>
          <w:p>
            <w:r>
              <w:rPr>
                <w:rFonts w:ascii="Arial" w:cs="Arial" w:eastAsia="Arial" w:hAnsi="Arial"/>
                <w:b w:val="false"/>
                <w:bCs w:val="false"/>
                <w:color w:val="1A1A2E"/>
                <w:sz w:val="20"/>
                <w:szCs w:val="20"/>
              </w:rPr>
              <w:t xml:space="preserve">Keeper and resolver rewards</w:t>
            </w:r>
          </w:p>
        </w:tc>
        <w:tc>
          <w:tcPr>
            <w:tcW w:type="dxa" w:w="46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80"/>
            </w:tcMar>
          </w:tcPr>
          <w:p>
            <w:r>
              <w:rPr>
                <w:rFonts w:ascii="Arial" w:cs="Arial" w:eastAsia="Arial" w:hAnsi="Arial"/>
                <w:b w:val="false"/>
                <w:bCs w:val="false"/>
                <w:color w:val="1A1A2E"/>
                <w:sz w:val="20"/>
                <w:szCs w:val="20"/>
              </w:rPr>
              <w:t xml:space="preserve">$QUBIC exclusively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Execution sustainability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$QUBIC exclusively</w:t>
            </w:r>
          </w:p>
        </w:tc>
      </w:tr>
      <w:tr>
        <w:tc>
          <w:tcPr>
            <w:tcW w:type="dxa" w:w="46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80"/>
            </w:tcMar>
          </w:tcPr>
          <w:p>
            <w:r>
              <w:rPr>
                <w:rFonts w:ascii="Arial" w:cs="Arial" w:eastAsia="Arial" w:hAnsi="Arial"/>
                <w:b w:val="false"/>
                <w:bCs w:val="false"/>
                <w:color w:val="1A1A2E"/>
                <w:sz w:val="20"/>
                <w:szCs w:val="20"/>
              </w:rPr>
              <w:t xml:space="preserve">QDRA-aligned protocol rewards</w:t>
            </w:r>
          </w:p>
        </w:tc>
        <w:tc>
          <w:tcPr>
            <w:tcW w:type="dxa" w:w="46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80"/>
            </w:tcMar>
          </w:tcPr>
          <w:p>
            <w:r>
              <w:rPr>
                <w:rFonts w:ascii="Arial" w:cs="Arial" w:eastAsia="Arial" w:hAnsi="Arial"/>
                <w:b w:val="false"/>
                <w:bCs w:val="false"/>
                <w:color w:val="1A1A2E"/>
                <w:sz w:val="20"/>
                <w:szCs w:val="20"/>
              </w:rPr>
              <w:t xml:space="preserve">$QUBIC exclusively (subject to governance and legal review)</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External asset role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Market context and oracle input data only</w:t>
            </w:r>
          </w:p>
        </w:tc>
      </w:tr>
      <w:tr>
        <w:tc>
          <w:tcPr>
            <w:tcW w:type="dxa" w:w="46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80"/>
            </w:tcMar>
          </w:tcPr>
          <w:p>
            <w:r>
              <w:rPr>
                <w:rFonts w:ascii="Arial" w:cs="Arial" w:eastAsia="Arial" w:hAnsi="Arial"/>
                <w:b w:val="false"/>
                <w:bCs w:val="false"/>
                <w:color w:val="1A1A2E"/>
                <w:sz w:val="20"/>
                <w:szCs w:val="20"/>
              </w:rPr>
              <w:t xml:space="preserve">Stablecoins, wrapped assets</w:t>
            </w:r>
          </w:p>
        </w:tc>
        <w:tc>
          <w:tcPr>
            <w:tcW w:type="dxa" w:w="46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80"/>
            </w:tcMar>
          </w:tcPr>
          <w:p>
            <w:r>
              <w:rPr>
                <w:rFonts w:ascii="Arial" w:cs="Arial" w:eastAsia="Arial" w:hAnsi="Arial"/>
                <w:b w:val="false"/>
                <w:bCs w:val="false"/>
                <w:color w:val="1A1A2E"/>
                <w:sz w:val="20"/>
                <w:szCs w:val="20"/>
              </w:rPr>
              <w:t xml:space="preserve">Reference data only — not settlement assets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Cross-chain custody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Not present in V1 — no bridge custody model</w:t>
            </w:r>
          </w:p>
        </w:tc>
      </w:tr>
      <w:tr>
        <w:tc>
          <w:tcPr>
            <w:tcW w:type="dxa" w:w="46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80"/>
            </w:tcMar>
          </w:tcPr>
          <w:p>
            <w:r>
              <w:rPr>
                <w:rFonts w:ascii="Arial" w:cs="Arial" w:eastAsia="Arial" w:hAnsi="Arial"/>
                <w:b w:val="false"/>
                <w:bCs w:val="false"/>
                <w:color w:val="1A1A2E"/>
                <w:sz w:val="20"/>
                <w:szCs w:val="20"/>
              </w:rPr>
              <w:t xml:space="preserve">External message authority</w:t>
            </w:r>
          </w:p>
        </w:tc>
        <w:tc>
          <w:tcPr>
            <w:tcW w:type="dxa" w:w="46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80"/>
            </w:tcMar>
          </w:tcPr>
          <w:p>
            <w:r>
              <w:rPr>
                <w:rFonts w:ascii="Arial" w:cs="Arial" w:eastAsia="Arial" w:hAnsi="Arial"/>
                <w:b w:val="false"/>
                <w:bCs w:val="false"/>
                <w:color w:val="1A1A2E"/>
                <w:sz w:val="20"/>
                <w:szCs w:val="20"/>
              </w:rPr>
              <w:t xml:space="preserve">Cannot force settlement, override oracle resolution, or introduce non-QUBIC settlement</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6EA4" w:sz="4"/>
              <w:left w:val="single" w:color="1C6EA4" w:sz="8"/>
              <w:bottom w:val="single" w:color="CCCCCC" w:sz="1"/>
              <w:right w:val="none" w:color="FFFFFF" w:sz="0"/>
            </w:tcBorders>
            <w:shd w:fill="EAF2FB" w:val="clear"/>
            <w:tcMar>
              <w:top w:type="dxa" w:w="120"/>
              <w:left w:type="dxa" w:w="200"/>
              <w:bottom w:type="dxa" w:w="120"/>
              <w:right w:type="dxa" w:w="200"/>
            </w:tcMar>
          </w:tcPr>
          <w:p>
            <w:pPr>
              <w:spacing w:after="80" w:before="60"/>
            </w:pPr>
            <w:r>
              <w:rPr>
                <w:rFonts w:ascii="Arial" w:cs="Arial" w:eastAsia="Arial" w:hAnsi="Arial"/>
                <w:b/>
                <w:bCs/>
                <w:color w:val="1A3A5C"/>
                <w:sz w:val="22"/>
                <w:szCs w:val="22"/>
              </w:rPr>
              <w:t xml:space="preserve">CCIP-Ready Framing</w:t>
            </w:r>
          </w:p>
          <w:p>
            <w:pPr>
              <w:pStyle w:val="ListParagraph"/>
              <w:numPr>
                <w:ilvl w:val="0"/>
                <w:numId w:val="2"/>
              </w:numPr>
              <w:spacing w:after="40" w:before="20"/>
            </w:pPr>
            <w:r>
              <w:rPr>
                <w:rFonts w:ascii="Arial" w:cs="Arial" w:eastAsia="Arial" w:hAnsi="Arial"/>
                <w:color w:val="1A1A2E"/>
                <w:sz w:val="20"/>
                <w:szCs w:val="20"/>
              </w:rPr>
              <w:t xml:space="preserve">QUBIC settles. CCIP connects. Qassandra contextualizes.</w:t>
            </w:r>
          </w:p>
          <w:p>
            <w:pPr>
              <w:pStyle w:val="ListParagraph"/>
              <w:numPr>
                <w:ilvl w:val="0"/>
                <w:numId w:val="2"/>
              </w:numPr>
              <w:spacing w:after="40" w:before="20"/>
            </w:pPr>
            <w:r>
              <w:rPr>
                <w:rFonts w:ascii="Arial" w:cs="Arial" w:eastAsia="Arial" w:hAnsi="Arial"/>
                <w:color w:val="1A1A2E"/>
                <w:sz w:val="20"/>
                <w:szCs w:val="20"/>
              </w:rPr>
              <w:t xml:space="preserve">Qassandra V1 is CCIP-ready: structured to receive, validate, and contextualize external cross-chain signals.</w:t>
            </w:r>
          </w:p>
          <w:p>
            <w:pPr>
              <w:pStyle w:val="ListParagraph"/>
              <w:numPr>
                <w:ilvl w:val="0"/>
                <w:numId w:val="2"/>
              </w:numPr>
              <w:spacing w:after="40" w:before="20"/>
            </w:pPr>
            <w:r>
              <w:rPr>
                <w:rFonts w:ascii="Arial" w:cs="Arial" w:eastAsia="Arial" w:hAnsi="Arial"/>
                <w:color w:val="1A1A2E"/>
                <w:sz w:val="20"/>
                <w:szCs w:val="20"/>
              </w:rPr>
              <w:t xml:space="preserve">Qassandra V1 is not CCIP-dependent: it does not require CCIP to function, and its settlement layer is not affected by CCIP message delivery or failure.</w:t>
            </w:r>
          </w:p>
          <w:p>
            <w:pPr>
              <w:pStyle w:val="ListParagraph"/>
              <w:numPr>
                <w:ilvl w:val="0"/>
                <w:numId w:val="2"/>
              </w:numPr>
              <w:spacing w:after="40" w:before="20"/>
            </w:pPr>
            <w:r>
              <w:rPr>
                <w:rFonts w:ascii="Arial" w:cs="Arial" w:eastAsia="Arial" w:hAnsi="Arial"/>
                <w:color w:val="1A1A2E"/>
                <w:sz w:val="20"/>
                <w:szCs w:val="20"/>
              </w:rPr>
              <w:t xml:space="preserve">External assets inform market questions. They do not enter Qassandra’s economic layer.</w:t>
            </w:r>
          </w:p>
          <w:p>
            <w:pPr>
              <w:spacing w:after="80" w:before="0"/>
            </w:pPr>
            <w:r>
              <w:t xml:space="preserve"/>
            </w:r>
          </w:p>
        </w:tc>
      </w:tr>
    </w:tbl>
    <w:p>
      <w:pPr>
        <w:spacing w:after="200" w:before="0"/>
      </w:pPr>
      <w:r>
        <w:t xml:space="preserve"/>
      </w:r>
    </w:p>
    <w:p>
      <w:r>
        <w:br w:type="page"/>
      </w:r>
    </w:p>
    <w:p>
      <w:pPr>
        <w:pStyle w:val="Heading1"/>
        <w:shd w:fill="1A3A5C" w:val="clear"/>
        <w:spacing w:after="200" w:before="440"/>
        <w:ind w:left="200" w:right="200"/>
      </w:pPr>
      <w:r>
        <w:rPr>
          <w:rFonts w:ascii="Arial" w:cs="Arial" w:eastAsia="Arial" w:hAnsi="Arial"/>
          <w:b/>
          <w:bCs/>
          <w:color w:val="FFFFFF"/>
          <w:sz w:val="36"/>
          <w:szCs w:val="36"/>
        </w:rPr>
        <w:t xml:space="preserve">11. QDRA and $QUBIC Reward Alignment</w:t>
      </w:r>
    </w:p>
    <w:p>
      <w:pPr>
        <w:spacing w:after="80" w:before="0"/>
      </w:pPr>
      <w:r>
        <w:t xml:space="preserve"/>
      </w:r>
    </w:p>
    <w:p>
      <w:pPr>
        <w:spacing w:after="140" w:before="0"/>
        <w:jc w:val="both"/>
      </w:pPr>
      <w:r>
        <w:rPr>
          <w:rFonts w:ascii="Arial" w:cs="Arial" w:eastAsia="Arial" w:hAnsi="Arial"/>
          <w:i w:val="false"/>
          <w:iCs w:val="false"/>
          <w:color w:val="1A1A2E"/>
          <w:sz w:val="22"/>
          <w:szCs w:val="22"/>
        </w:rPr>
        <w:t xml:space="preserve">$QDRA may serve as Qassandra’s protocol-alignment and participation asset. The initial protocol pitch should focus on Qassandra’s core infrastructure value—oracle settlement, agent-readable context, and $QUBIC-only economics. QDRA reward alignment is the deeper protocol-economics layer, described here for completeness.</w:t>
      </w:r>
    </w:p>
    <w:p>
      <w:pPr>
        <w:spacing w:after="140" w:before="0"/>
        <w:jc w:val="both"/>
      </w:pPr>
      <w:r>
        <w:rPr>
          <w:rFonts w:ascii="Arial" w:cs="Arial" w:eastAsia="Arial" w:hAnsi="Arial"/>
          <w:i w:val="false"/>
          <w:iCs w:val="false"/>
          <w:color w:val="1A1A2E"/>
          <w:sz w:val="22"/>
          <w:szCs w:val="22"/>
        </w:rPr>
        <w:t xml:space="preserve">Qubic already supports the concept of contract shares and participation-oriented distributions in existing smart contract patterns. Qassandra adapts this precedent conservatively: $QDRA is described as a protocol-alignment asset, and only governed, legally reviewed $QUBIC-denominated protocol rewards may flow to eligible participants. No language in this section or document constitutes a guarantee of rewards, income, or returns of any kind.</w:t>
      </w:r>
    </w:p>
    <w:p>
      <w:pPr>
        <w:spacing w:after="80" w:before="0"/>
      </w:pPr>
      <w:r>
        <w:t xml:space="preserve"/>
      </w:r>
    </w:p>
    <w:p>
      <w:pPr>
        <w:pStyle w:val="Heading3"/>
        <w:spacing w:after="80" w:before="240"/>
      </w:pPr>
      <w:r>
        <w:rPr>
          <w:rFonts w:ascii="Arial" w:cs="Arial" w:eastAsia="Arial" w:hAnsi="Arial"/>
          <w:b/>
          <w:bCs/>
          <w:color w:val="1C6EA4"/>
          <w:sz w:val="24"/>
          <w:szCs w:val="24"/>
        </w:rPr>
        <w:t xml:space="preserve">Eligible QDRA-Aligned Roles (Subject to Governance and Legal Review)</w:t>
      </w:r>
    </w:p>
    <w:p>
      <w:pPr>
        <w:pStyle w:val="ListParagraph"/>
        <w:numPr>
          <w:ilvl w:val="0"/>
          <w:numId w:val="2"/>
        </w:numPr>
        <w:spacing w:after="80" w:before="40"/>
      </w:pPr>
      <w:r>
        <w:rPr>
          <w:rFonts w:ascii="Arial" w:cs="Arial" w:eastAsia="Arial" w:hAnsi="Arial"/>
          <w:color w:val="1A1A2E"/>
          <w:sz w:val="22"/>
          <w:szCs w:val="22"/>
        </w:rPr>
        <w:t xml:space="preserve">Active QDRA lockers</w:t>
      </w:r>
    </w:p>
    <w:p>
      <w:pPr>
        <w:pStyle w:val="ListParagraph"/>
        <w:numPr>
          <w:ilvl w:val="0"/>
          <w:numId w:val="2"/>
        </w:numPr>
        <w:spacing w:after="80" w:before="40"/>
      </w:pPr>
      <w:r>
        <w:rPr>
          <w:rFonts w:ascii="Arial" w:cs="Arial" w:eastAsia="Arial" w:hAnsi="Arial"/>
          <w:color w:val="1A1A2E"/>
          <w:sz w:val="22"/>
          <w:szCs w:val="22"/>
        </w:rPr>
        <w:t xml:space="preserve">Keepers (maintain market health and trigger resolution)</w:t>
      </w:r>
    </w:p>
    <w:p>
      <w:pPr>
        <w:pStyle w:val="ListParagraph"/>
        <w:numPr>
          <w:ilvl w:val="0"/>
          <w:numId w:val="2"/>
        </w:numPr>
        <w:spacing w:after="80" w:before="40"/>
      </w:pPr>
      <w:r>
        <w:rPr>
          <w:rFonts w:ascii="Arial" w:cs="Arial" w:eastAsia="Arial" w:hAnsi="Arial"/>
          <w:color w:val="1A1A2E"/>
          <w:sz w:val="22"/>
          <w:szCs w:val="22"/>
        </w:rPr>
        <w:t xml:space="preserve">Resolvers (participate in oracle-review and dispute resolution)</w:t>
      </w:r>
    </w:p>
    <w:p>
      <w:pPr>
        <w:pStyle w:val="ListParagraph"/>
        <w:numPr>
          <w:ilvl w:val="0"/>
          <w:numId w:val="2"/>
        </w:numPr>
        <w:spacing w:after="80" w:before="40"/>
      </w:pPr>
      <w:r>
        <w:rPr>
          <w:rFonts w:ascii="Arial" w:cs="Arial" w:eastAsia="Arial" w:hAnsi="Arial"/>
          <w:color w:val="1A1A2E"/>
          <w:sz w:val="22"/>
          <w:szCs w:val="22"/>
        </w:rPr>
        <w:t xml:space="preserve">Market curators (validate market quality and metadata standards)</w:t>
      </w:r>
    </w:p>
    <w:p>
      <w:pPr>
        <w:pStyle w:val="ListParagraph"/>
        <w:numPr>
          <w:ilvl w:val="0"/>
          <w:numId w:val="2"/>
        </w:numPr>
        <w:spacing w:after="80" w:before="40"/>
      </w:pPr>
      <w:r>
        <w:rPr>
          <w:rFonts w:ascii="Arial" w:cs="Arial" w:eastAsia="Arial" w:hAnsi="Arial"/>
          <w:color w:val="1A1A2E"/>
          <w:sz w:val="22"/>
          <w:szCs w:val="22"/>
        </w:rPr>
        <w:t xml:space="preserve">Governance participants</w:t>
      </w:r>
    </w:p>
    <w:p>
      <w:pPr>
        <w:pStyle w:val="ListParagraph"/>
        <w:numPr>
          <w:ilvl w:val="0"/>
          <w:numId w:val="2"/>
        </w:numPr>
        <w:spacing w:after="80" w:before="40"/>
      </w:pPr>
      <w:r>
        <w:rPr>
          <w:rFonts w:ascii="Arial" w:cs="Arial" w:eastAsia="Arial" w:hAnsi="Arial"/>
          <w:color w:val="1A1A2E"/>
          <w:sz w:val="22"/>
          <w:szCs w:val="22"/>
        </w:rPr>
        <w:t xml:space="preserve">Oracle-review participants</w:t>
      </w:r>
    </w:p>
    <w:p>
      <w:pPr>
        <w:pStyle w:val="ListParagraph"/>
        <w:numPr>
          <w:ilvl w:val="0"/>
          <w:numId w:val="2"/>
        </w:numPr>
        <w:spacing w:after="80" w:before="40"/>
      </w:pPr>
      <w:r>
        <w:rPr>
          <w:rFonts w:ascii="Arial" w:cs="Arial" w:eastAsia="Arial" w:hAnsi="Arial"/>
          <w:color w:val="1A1A2E"/>
          <w:sz w:val="22"/>
          <w:szCs w:val="22"/>
        </w:rPr>
        <w:t xml:space="preserve">Agent-network operators</w:t>
      </w:r>
    </w:p>
    <w:p>
      <w:pPr>
        <w:spacing w:after="80" w:before="0"/>
      </w:pPr>
      <w:r>
        <w:t xml:space="preserve"/>
      </w:r>
    </w:p>
    <w:p>
      <w:pPr>
        <w:pStyle w:val="Heading3"/>
        <w:spacing w:after="80" w:before="240"/>
      </w:pPr>
      <w:r>
        <w:rPr>
          <w:rFonts w:ascii="Arial" w:cs="Arial" w:eastAsia="Arial" w:hAnsi="Arial"/>
          <w:b/>
          <w:bCs/>
          <w:color w:val="1C6EA4"/>
          <w:sz w:val="24"/>
          <w:szCs w:val="24"/>
        </w:rPr>
        <w:t xml:space="preserve">Language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1A3A5C" w:sz="4"/>
              <w:right w:val="single" w:color="CCCCCC" w:sz="1"/>
            </w:tcBorders>
            <w:shd w:fill="1A3A5C" w:val="clear"/>
            <w:tcMar>
              <w:top w:type="dxa" w:w="100"/>
              <w:left w:type="dxa" w:w="140"/>
              <w:bottom w:type="dxa" w:w="100"/>
              <w:right w:type="dxa" w:w="80"/>
            </w:tcMar>
          </w:tcPr>
          <w:p>
            <w:r>
              <w:rPr>
                <w:rFonts w:ascii="Arial" w:cs="Arial" w:eastAsia="Arial" w:hAnsi="Arial"/>
                <w:b/>
                <w:bCs/>
                <w:color w:val="FFFFFF"/>
                <w:sz w:val="22"/>
                <w:szCs w:val="22"/>
              </w:rPr>
              <w:t xml:space="preserve">Use This</w:t>
            </w:r>
          </w:p>
        </w:tc>
        <w:tc>
          <w:tcPr>
            <w:tcW w:type="dxa" w:w="4680"/>
            <w:tcBorders>
              <w:top w:val="single" w:color="CCCCCC" w:sz="1"/>
              <w:left w:val="single" w:color="CCCCCC" w:sz="1"/>
              <w:bottom w:val="single" w:color="1A3A5C" w:sz="4"/>
              <w:right w:val="single" w:color="CCCCCC" w:sz="1"/>
            </w:tcBorders>
            <w:shd w:fill="1A3A5C" w:val="clear"/>
            <w:tcMar>
              <w:top w:type="dxa" w:w="100"/>
              <w:left w:type="dxa" w:w="140"/>
              <w:bottom w:type="dxa" w:w="100"/>
              <w:right w:type="dxa" w:w="80"/>
            </w:tcMar>
          </w:tcPr>
          <w:p>
            <w:r>
              <w:rPr>
                <w:rFonts w:ascii="Arial" w:cs="Arial" w:eastAsia="Arial" w:hAnsi="Arial"/>
                <w:b/>
                <w:bCs/>
                <w:color w:val="FFFFFF"/>
                <w:sz w:val="22"/>
                <w:szCs w:val="22"/>
              </w:rPr>
              <w:t xml:space="preserve">Avoid This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Governed reward pool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Dividends</w:t>
            </w:r>
          </w:p>
        </w:tc>
      </w:tr>
      <w:tr>
        <w:tc>
          <w:tcPr>
            <w:tcW w:type="dxa" w:w="46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80"/>
            </w:tcMar>
          </w:tcPr>
          <w:p>
            <w:r>
              <w:rPr>
                <w:rFonts w:ascii="Arial" w:cs="Arial" w:eastAsia="Arial" w:hAnsi="Arial"/>
                <w:b w:val="false"/>
                <w:bCs w:val="false"/>
                <w:color w:val="1A1A2E"/>
                <w:sz w:val="20"/>
                <w:szCs w:val="20"/>
              </w:rPr>
              <w:t xml:space="preserve">$QUBIC-denominated protocol rewards</w:t>
            </w:r>
          </w:p>
        </w:tc>
        <w:tc>
          <w:tcPr>
            <w:tcW w:type="dxa" w:w="46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80"/>
            </w:tcMar>
          </w:tcPr>
          <w:p>
            <w:r>
              <w:rPr>
                <w:rFonts w:ascii="Arial" w:cs="Arial" w:eastAsia="Arial" w:hAnsi="Arial"/>
                <w:b w:val="false"/>
                <w:bCs w:val="false"/>
                <w:color w:val="1A1A2E"/>
                <w:sz w:val="20"/>
                <w:szCs w:val="20"/>
              </w:rPr>
              <w:t xml:space="preserve">Passive income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Eligible QDRA-aligned participants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Guaranteed yield</w:t>
            </w:r>
          </w:p>
        </w:tc>
      </w:tr>
      <w:tr>
        <w:tc>
          <w:tcPr>
            <w:tcW w:type="dxa" w:w="46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80"/>
            </w:tcMar>
          </w:tcPr>
          <w:p>
            <w:r>
              <w:rPr>
                <w:rFonts w:ascii="Arial" w:cs="Arial" w:eastAsia="Arial" w:hAnsi="Arial"/>
                <w:b w:val="false"/>
                <w:bCs w:val="false"/>
                <w:color w:val="1A1A2E"/>
                <w:sz w:val="20"/>
                <w:szCs w:val="20"/>
              </w:rPr>
              <w:t xml:space="preserve">Protocol-alignment asset</w:t>
            </w:r>
          </w:p>
        </w:tc>
        <w:tc>
          <w:tcPr>
            <w:tcW w:type="dxa" w:w="46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80"/>
            </w:tcMar>
          </w:tcPr>
          <w:p>
            <w:r>
              <w:rPr>
                <w:rFonts w:ascii="Arial" w:cs="Arial" w:eastAsia="Arial" w:hAnsi="Arial"/>
                <w:b w:val="false"/>
                <w:bCs w:val="false"/>
                <w:color w:val="1A1A2E"/>
                <w:sz w:val="20"/>
                <w:szCs w:val="20"/>
              </w:rPr>
              <w:t xml:space="preserve">Shareholder income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Active lockers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Profit share</w:t>
            </w:r>
          </w:p>
        </w:tc>
      </w:tr>
      <w:tr>
        <w:tc>
          <w:tcPr>
            <w:tcW w:type="dxa" w:w="46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80"/>
            </w:tcMar>
          </w:tcPr>
          <w:p>
            <w:r>
              <w:rPr>
                <w:rFonts w:ascii="Arial" w:cs="Arial" w:eastAsia="Arial" w:hAnsi="Arial"/>
                <w:b w:val="false"/>
                <w:bCs w:val="false"/>
                <w:color w:val="1A1A2E"/>
                <w:sz w:val="20"/>
                <w:szCs w:val="20"/>
              </w:rPr>
              <w:t xml:space="preserve">Keepers and resolvers</w:t>
            </w:r>
          </w:p>
        </w:tc>
        <w:tc>
          <w:tcPr>
            <w:tcW w:type="dxa" w:w="46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80"/>
            </w:tcMar>
          </w:tcPr>
          <w:p>
            <w:r>
              <w:rPr>
                <w:rFonts w:ascii="Arial" w:cs="Arial" w:eastAsia="Arial" w:hAnsi="Arial"/>
                <w:b w:val="false"/>
                <w:bCs w:val="false"/>
                <w:color w:val="1A1A2E"/>
                <w:sz w:val="20"/>
                <w:szCs w:val="20"/>
              </w:rPr>
              <w:t xml:space="preserve">Revenue rights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Participation-based rewards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Investment return</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6EA4" w:sz="4"/>
              <w:left w:val="single" w:color="1C6EA4" w:sz="8"/>
              <w:bottom w:val="single" w:color="CCCCCC" w:sz="1"/>
              <w:right w:val="none" w:color="FFFFFF" w:sz="0"/>
            </w:tcBorders>
            <w:shd w:fill="EAF2FB" w:val="clear"/>
            <w:tcMar>
              <w:top w:type="dxa" w:w="120"/>
              <w:left w:type="dxa" w:w="200"/>
              <w:bottom w:type="dxa" w:w="120"/>
              <w:right w:type="dxa" w:w="200"/>
            </w:tcMar>
          </w:tcPr>
          <w:p>
            <w:pPr>
              <w:spacing w:after="80" w:before="60"/>
            </w:pPr>
            <w:r>
              <w:rPr>
                <w:rFonts w:ascii="Arial" w:cs="Arial" w:eastAsia="Arial" w:hAnsi="Arial"/>
                <w:b/>
                <w:bCs/>
                <w:color w:val="1A3A5C"/>
                <w:sz w:val="22"/>
                <w:szCs w:val="22"/>
              </w:rPr>
              <w:t xml:space="preserve">Legal and Compliance Note</w:t>
            </w:r>
          </w:p>
          <w:p>
            <w:pPr>
              <w:pStyle w:val="ListParagraph"/>
              <w:numPr>
                <w:ilvl w:val="0"/>
                <w:numId w:val="2"/>
              </w:numPr>
              <w:spacing w:after="40" w:before="20"/>
            </w:pPr>
            <w:r>
              <w:rPr>
                <w:rFonts w:ascii="Arial" w:cs="Arial" w:eastAsia="Arial" w:hAnsi="Arial"/>
                <w:color w:val="1A1A2E"/>
                <w:sz w:val="20"/>
                <w:szCs w:val="20"/>
              </w:rPr>
              <w:t xml:space="preserve">QDRA reward eligibility is subject to governance, technical implementation, participation rules, and applicable legal review.</w:t>
            </w:r>
          </w:p>
          <w:p>
            <w:pPr>
              <w:pStyle w:val="ListParagraph"/>
              <w:numPr>
                <w:ilvl w:val="0"/>
                <w:numId w:val="2"/>
              </w:numPr>
              <w:spacing w:after="40" w:before="20"/>
            </w:pPr>
            <w:r>
              <w:rPr>
                <w:rFonts w:ascii="Arial" w:cs="Arial" w:eastAsia="Arial" w:hAnsi="Arial"/>
                <w:color w:val="1A1A2E"/>
                <w:sz w:val="20"/>
                <w:szCs w:val="20"/>
              </w:rPr>
              <w:t xml:space="preserve">No language in this document constitutes a guarantee of rewards, returns, or income of any kind.</w:t>
            </w:r>
          </w:p>
          <w:p>
            <w:pPr>
              <w:pStyle w:val="ListParagraph"/>
              <w:numPr>
                <w:ilvl w:val="0"/>
                <w:numId w:val="2"/>
              </w:numPr>
              <w:spacing w:after="40" w:before="20"/>
            </w:pPr>
            <w:r>
              <w:rPr>
                <w:rFonts w:ascii="Arial" w:cs="Arial" w:eastAsia="Arial" w:hAnsi="Arial"/>
                <w:color w:val="1A1A2E"/>
                <w:sz w:val="20"/>
                <w:szCs w:val="20"/>
              </w:rPr>
              <w:t xml:space="preserve">The QDRA reward mechanism must not be activated before legal review is complete (Phase 5).</w:t>
            </w:r>
          </w:p>
          <w:p>
            <w:pPr>
              <w:spacing w:after="80" w:before="0"/>
            </w:pPr>
            <w:r>
              <w:t xml:space="preserve"/>
            </w:r>
          </w:p>
        </w:tc>
      </w:tr>
    </w:tbl>
    <w:p>
      <w:pPr>
        <w:spacing w:after="200" w:before="0"/>
      </w:pPr>
      <w:r>
        <w:t xml:space="preserve"/>
      </w:r>
    </w:p>
    <w:p>
      <w:pPr>
        <w:pStyle w:val="Heading1"/>
        <w:shd w:fill="1A3A5C" w:val="clear"/>
        <w:spacing w:after="200" w:before="440"/>
        <w:ind w:left="200" w:right="200"/>
      </w:pPr>
      <w:r>
        <w:rPr>
          <w:rFonts w:ascii="Arial" w:cs="Arial" w:eastAsia="Arial" w:hAnsi="Arial"/>
          <w:b/>
          <w:bCs/>
          <w:color w:val="FFFFFF"/>
          <w:sz w:val="36"/>
          <w:szCs w:val="36"/>
        </w:rPr>
        <w:t xml:space="preserve">12. Programmatic Burn Alignment</w:t>
      </w:r>
    </w:p>
    <w:p>
      <w:pPr>
        <w:spacing w:after="80" w:before="0"/>
      </w:pPr>
      <w:r>
        <w:t xml:space="preserve"/>
      </w:r>
    </w:p>
    <w:p>
      <w:pPr>
        <w:spacing w:after="140" w:before="0"/>
        <w:jc w:val="both"/>
      </w:pPr>
      <w:r>
        <w:rPr>
          <w:rFonts w:ascii="Arial" w:cs="Arial" w:eastAsia="Arial" w:hAnsi="Arial"/>
          <w:i w:val="false"/>
          <w:iCs w:val="false"/>
          <w:color w:val="1A1A2E"/>
          <w:sz w:val="22"/>
          <w:szCs w:val="22"/>
        </w:rPr>
        <w:t xml:space="preserve">Qassandra explicitly supports Qubic’s deflationary economic model. A governed portion of collected $QUBIC protocol revenue may be routed to permanent burn mechanisms, independent of normal contract execution requirements.</w:t>
      </w:r>
    </w:p>
    <w:p>
      <w:pPr>
        <w:spacing w:after="80" w:before="0"/>
      </w:pPr>
      <w:r>
        <w:t xml:space="preserve"/>
      </w:r>
    </w:p>
    <w:p>
      <w:pPr>
        <w:pStyle w:val="Heading3"/>
        <w:spacing w:after="80" w:before="240"/>
      </w:pPr>
      <w:r>
        <w:rPr>
          <w:rFonts w:ascii="Arial" w:cs="Arial" w:eastAsia="Arial" w:hAnsi="Arial"/>
          <w:b/>
          <w:bCs/>
          <w:color w:val="1C6EA4"/>
          <w:sz w:val="24"/>
          <w:szCs w:val="24"/>
        </w:rPr>
        <w:t xml:space="preserve">Three Layers of QUBIC Alignment</w:t>
      </w:r>
    </w:p>
    <w:p>
      <w:pPr>
        <w:pStyle w:val="ListParagraph"/>
        <w:numPr>
          <w:ilvl w:val="0"/>
          <w:numId w:val="2"/>
        </w:numPr>
        <w:spacing w:after="80" w:before="40"/>
      </w:pPr>
      <w:r>
        <w:rPr>
          <w:rFonts w:ascii="Arial" w:cs="Arial" w:eastAsia="Arial" w:hAnsi="Arial"/>
          <w:color w:val="1A1A2E"/>
          <w:sz w:val="22"/>
          <w:szCs w:val="22"/>
        </w:rPr>
        <w:t xml:space="preserve">Market activity — All Qassandra market activity requires $QUBIC-denominated participation via function calls into contract-controlled balances.</w:t>
      </w:r>
    </w:p>
    <w:p>
      <w:pPr>
        <w:pStyle w:val="ListParagraph"/>
        <w:numPr>
          <w:ilvl w:val="0"/>
          <w:numId w:val="2"/>
        </w:numPr>
        <w:spacing w:after="80" w:before="40"/>
      </w:pPr>
      <w:r>
        <w:rPr>
          <w:rFonts w:ascii="Arial" w:cs="Arial" w:eastAsia="Arial" w:hAnsi="Arial"/>
          <w:color w:val="1A1A2E"/>
          <w:sz w:val="22"/>
          <w:szCs w:val="22"/>
        </w:rPr>
        <w:t xml:space="preserve">Oracle-resolution allocation and execution sustainability — Oracle usage and contract execution sustainability are funded through designated $QUBIC protocol allocations and any Qubic-native burn-aligned mechanics required by the network.</w:t>
      </w:r>
    </w:p>
    <w:p>
      <w:pPr>
        <w:pStyle w:val="ListParagraph"/>
        <w:numPr>
          <w:ilvl w:val="0"/>
          <w:numId w:val="2"/>
        </w:numPr>
        <w:spacing w:after="80" w:before="40"/>
      </w:pPr>
      <w:r>
        <w:rPr>
          <w:rFonts w:ascii="Arial" w:cs="Arial" w:eastAsia="Arial" w:hAnsi="Arial"/>
          <w:color w:val="1A1A2E"/>
          <w:sz w:val="22"/>
          <w:szCs w:val="22"/>
        </w:rPr>
        <w:t xml:space="preserve">Governed burn allocation — A governance-controlled share of protocol revenue routes to permanent $QUBIC burns.</w:t>
      </w:r>
    </w:p>
    <w:p>
      <w:pPr>
        <w:spacing w:after="80" w:before="0"/>
      </w:pPr>
      <w:r>
        <w:t xml:space="preserve"/>
      </w:r>
    </w:p>
    <w:p>
      <w:pPr>
        <w:pStyle w:val="Heading3"/>
        <w:spacing w:after="80" w:before="240"/>
      </w:pPr>
      <w:r>
        <w:rPr>
          <w:rFonts w:ascii="Arial" w:cs="Arial" w:eastAsia="Arial" w:hAnsi="Arial"/>
          <w:b/>
          <w:bCs/>
          <w:color w:val="1C6EA4"/>
          <w:sz w:val="24"/>
          <w:szCs w:val="24"/>
        </w:rPr>
        <w:t xml:space="preserve">The Economic Flywheel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6EA4" w:sz="4"/>
              <w:left w:val="single" w:color="1C6EA4" w:sz="8"/>
              <w:bottom w:val="single" w:color="CCCCCC" w:sz="1"/>
              <w:right w:val="none" w:color="FFFFFF" w:sz="0"/>
            </w:tcBorders>
            <w:shd w:fill="EAF2FB" w:val="clear"/>
            <w:tcMar>
              <w:top w:type="dxa" w:w="120"/>
              <w:left w:type="dxa" w:w="200"/>
              <w:bottom w:type="dxa" w:w="120"/>
              <w:right w:type="dxa" w:w="200"/>
            </w:tcMar>
          </w:tcPr>
          <w:p>
            <w:pPr>
              <w:spacing w:after="80" w:before="60"/>
            </w:pPr>
            <w:r>
              <w:rPr>
                <w:rFonts w:ascii="Arial" w:cs="Arial" w:eastAsia="Arial" w:hAnsi="Arial"/>
                <w:b/>
                <w:bCs/>
                <w:color w:val="1A3A5C"/>
                <w:sz w:val="22"/>
                <w:szCs w:val="22"/>
              </w:rPr>
              <w:t xml:space="preserve">Full Flywheel</w:t>
            </w:r>
          </w:p>
          <w:p>
            <w:pPr>
              <w:pStyle w:val="ListParagraph"/>
              <w:numPr>
                <w:ilvl w:val="0"/>
                <w:numId w:val="2"/>
              </w:numPr>
              <w:spacing w:after="40" w:before="20"/>
            </w:pPr>
            <w:r>
              <w:rPr>
                <w:rFonts w:ascii="Arial" w:cs="Arial" w:eastAsia="Arial" w:hAnsi="Arial"/>
                <w:color w:val="1A1A2E"/>
                <w:sz w:val="20"/>
                <w:szCs w:val="20"/>
              </w:rPr>
              <w:t xml:space="preserve">Market created — $QUBIC creation premium transferred into contract-controlled market balance</w:t>
            </w:r>
          </w:p>
          <w:p>
            <w:pPr>
              <w:pStyle w:val="ListParagraph"/>
              <w:numPr>
                <w:ilvl w:val="0"/>
                <w:numId w:val="2"/>
              </w:numPr>
              <w:spacing w:after="40" w:before="20"/>
            </w:pPr>
            <w:r>
              <w:rPr>
                <w:rFonts w:ascii="Arial" w:cs="Arial" w:eastAsia="Arial" w:hAnsi="Arial"/>
                <w:color w:val="1A1A2E"/>
                <w:sz w:val="20"/>
                <w:szCs w:val="20"/>
              </w:rPr>
              <w:t xml:space="preserve">↓ Internal market activity tracked in $QUBIC internal ledger</w:t>
            </w:r>
          </w:p>
          <w:p>
            <w:pPr>
              <w:pStyle w:val="ListParagraph"/>
              <w:numPr>
                <w:ilvl w:val="0"/>
                <w:numId w:val="2"/>
              </w:numPr>
              <w:spacing w:after="40" w:before="20"/>
            </w:pPr>
            <w:r>
              <w:rPr>
                <w:rFonts w:ascii="Arial" w:cs="Arial" w:eastAsia="Arial" w:hAnsi="Arial"/>
                <w:color w:val="1A1A2E"/>
                <w:sz w:val="20"/>
                <w:szCs w:val="20"/>
              </w:rPr>
              <w:t xml:space="preserve">↓ Oracle-resolution allocation designated in $QUBIC</w:t>
            </w:r>
          </w:p>
          <w:p>
            <w:pPr>
              <w:pStyle w:val="ListParagraph"/>
              <w:numPr>
                <w:ilvl w:val="0"/>
                <w:numId w:val="2"/>
              </w:numPr>
              <w:spacing w:after="40" w:before="20"/>
            </w:pPr>
            <w:r>
              <w:rPr>
                <w:rFonts w:ascii="Arial" w:cs="Arial" w:eastAsia="Arial" w:hAnsi="Arial"/>
                <w:color w:val="1A1A2E"/>
                <w:sz w:val="20"/>
                <w:szCs w:val="20"/>
              </w:rPr>
              <w:t xml:space="preserve">↓ Dispute bonds posted in $QUBIC</w:t>
            </w:r>
          </w:p>
          <w:p>
            <w:pPr>
              <w:pStyle w:val="ListParagraph"/>
              <w:numPr>
                <w:ilvl w:val="0"/>
                <w:numId w:val="2"/>
              </w:numPr>
              <w:spacing w:after="40" w:before="20"/>
            </w:pPr>
            <w:r>
              <w:rPr>
                <w:rFonts w:ascii="Arial" w:cs="Arial" w:eastAsia="Arial" w:hAnsi="Arial"/>
                <w:color w:val="1A1A2E"/>
                <w:sz w:val="20"/>
                <w:szCs w:val="20"/>
              </w:rPr>
              <w:t xml:space="preserve">↓ Settlement claimed in $QUBIC by eligible participants</w:t>
            </w:r>
          </w:p>
          <w:p>
            <w:pPr>
              <w:pStyle w:val="ListParagraph"/>
              <w:numPr>
                <w:ilvl w:val="0"/>
                <w:numId w:val="2"/>
              </w:numPr>
              <w:spacing w:after="40" w:before="20"/>
            </w:pPr>
            <w:r>
              <w:rPr>
                <w:rFonts w:ascii="Arial" w:cs="Arial" w:eastAsia="Arial" w:hAnsi="Arial"/>
                <w:color w:val="1A1A2E"/>
                <w:sz w:val="20"/>
                <w:szCs w:val="20"/>
              </w:rPr>
              <w:t xml:space="preserve">↓ Keepers and resolvers rewarded in $QUBIC</w:t>
            </w:r>
          </w:p>
          <w:p>
            <w:pPr>
              <w:pStyle w:val="ListParagraph"/>
              <w:numPr>
                <w:ilvl w:val="0"/>
                <w:numId w:val="2"/>
              </w:numPr>
              <w:spacing w:after="40" w:before="20"/>
            </w:pPr>
            <w:r>
              <w:rPr>
                <w:rFonts w:ascii="Arial" w:cs="Arial" w:eastAsia="Arial" w:hAnsi="Arial"/>
                <w:color w:val="1A1A2E"/>
                <w:sz w:val="20"/>
                <w:szCs w:val="20"/>
              </w:rPr>
              <w:t xml:space="preserve">↓ Agents pay $QUBIC for context access (credits, subscriptions, or periodic settlement)</w:t>
            </w:r>
          </w:p>
          <w:p>
            <w:pPr>
              <w:pStyle w:val="ListParagraph"/>
              <w:numPr>
                <w:ilvl w:val="0"/>
                <w:numId w:val="2"/>
              </w:numPr>
              <w:spacing w:after="40" w:before="20"/>
            </w:pPr>
            <w:r>
              <w:rPr>
                <w:rFonts w:ascii="Arial" w:cs="Arial" w:eastAsia="Arial" w:hAnsi="Arial"/>
                <w:color w:val="1A1A2E"/>
                <w:sz w:val="20"/>
                <w:szCs w:val="20"/>
              </w:rPr>
              <w:t xml:space="preserve">↓ Programmatic burn allocation strengthens QUBIC alignment</w:t>
            </w:r>
          </w:p>
          <w:p>
            <w:pPr>
              <w:pStyle w:val="ListParagraph"/>
              <w:numPr>
                <w:ilvl w:val="0"/>
                <w:numId w:val="2"/>
              </w:numPr>
              <w:spacing w:after="40" w:before="20"/>
            </w:pPr>
            <w:r>
              <w:rPr>
                <w:rFonts w:ascii="Arial" w:cs="Arial" w:eastAsia="Arial" w:hAnsi="Arial"/>
                <w:color w:val="1A1A2E"/>
                <w:sz w:val="20"/>
                <w:szCs w:val="20"/>
              </w:rPr>
              <w:t xml:space="preserve">↓ Eligible QDRA-aligned participants may receive governed $QUBIC rewards (subject to governance and legal review)</w:t>
            </w:r>
          </w:p>
          <w:p>
            <w:pPr>
              <w:pStyle w:val="ListParagraph"/>
              <w:numPr>
                <w:ilvl w:val="0"/>
                <w:numId w:val="2"/>
              </w:numPr>
              <w:spacing w:after="40" w:before="20"/>
            </w:pPr>
            <w:r>
              <w:rPr>
                <w:rFonts w:ascii="Arial" w:cs="Arial" w:eastAsia="Arial" w:hAnsi="Arial"/>
                <w:color w:val="1A1A2E"/>
                <w:sz w:val="20"/>
                <w:szCs w:val="20"/>
              </w:rPr>
              <w:t xml:space="preserve">↓ More markets increase QUBIC utility and demand</w:t>
            </w:r>
          </w:p>
          <w:p>
            <w:pPr>
              <w:spacing w:after="80" w:before="0"/>
            </w:pPr>
            <w:r>
              <w:t xml:space="preserve"/>
            </w:r>
          </w:p>
        </w:tc>
      </w:tr>
    </w:tbl>
    <w:p>
      <w:pPr>
        <w:spacing w:after="200" w:before="0"/>
      </w:pPr>
      <w:r>
        <w:t xml:space="preserve"/>
      </w:r>
    </w:p>
    <w:p>
      <w:r>
        <w:br w:type="page"/>
      </w:r>
    </w:p>
    <w:p>
      <w:pPr>
        <w:pStyle w:val="Heading1"/>
        <w:shd w:fill="1A3A5C" w:val="clear"/>
        <w:spacing w:after="200" w:before="440"/>
        <w:ind w:left="200" w:right="200"/>
      </w:pPr>
      <w:r>
        <w:rPr>
          <w:rFonts w:ascii="Arial" w:cs="Arial" w:eastAsia="Arial" w:hAnsi="Arial"/>
          <w:b/>
          <w:bCs/>
          <w:color w:val="FFFFFF"/>
          <w:sz w:val="36"/>
          <w:szCs w:val="36"/>
        </w:rPr>
        <w:t xml:space="preserve">13. Market Risk Parameters — Target Architecture</w:t>
      </w:r>
    </w:p>
    <w:p>
      <w:pPr>
        <w:spacing w:after="80" w:before="0"/>
      </w:pPr>
      <w:r>
        <w:t xml:space="preserve"/>
      </w:r>
    </w:p>
    <w:p>
      <w:pPr>
        <w:spacing w:after="140" w:before="0"/>
        <w:jc w:val="both"/>
      </w:pPr>
      <w:r>
        <w:rPr>
          <w:rFonts w:ascii="Arial" w:cs="Arial" w:eastAsia="Arial" w:hAnsi="Arial"/>
          <w:i w:val="false"/>
          <w:iCs w:val="false"/>
          <w:color w:val="1A1A2E"/>
          <w:sz w:val="22"/>
          <w:szCs w:val="22"/>
        </w:rPr>
        <w:t xml:space="preserve">Every Qassandra market is designed to operate within defined risk parameters. Each parameter is market-local: its enforcement affects only the market it governs and does not propagate risk into the broader protocol or Qubic network.</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1A3A5C" w:sz="4"/>
              <w:right w:val="single" w:color="CCCCCC" w:sz="1"/>
            </w:tcBorders>
            <w:shd w:fill="1A3A5C" w:val="clear"/>
            <w:tcMar>
              <w:top w:type="dxa" w:w="100"/>
              <w:left w:type="dxa" w:w="140"/>
              <w:bottom w:type="dxa" w:w="100"/>
              <w:right w:type="dxa" w:w="80"/>
            </w:tcMar>
          </w:tcPr>
          <w:p>
            <w:r>
              <w:rPr>
                <w:rFonts w:ascii="Arial" w:cs="Arial" w:eastAsia="Arial" w:hAnsi="Arial"/>
                <w:b/>
                <w:bCs/>
                <w:color w:val="FFFFFF"/>
                <w:sz w:val="22"/>
                <w:szCs w:val="22"/>
              </w:rPr>
              <w:t xml:space="preserve">Risk Parameter</w:t>
            </w:r>
          </w:p>
        </w:tc>
        <w:tc>
          <w:tcPr>
            <w:tcW w:type="dxa" w:w="4680"/>
            <w:tcBorders>
              <w:top w:val="single" w:color="CCCCCC" w:sz="1"/>
              <w:left w:val="single" w:color="CCCCCC" w:sz="1"/>
              <w:bottom w:val="single" w:color="1A3A5C" w:sz="4"/>
              <w:right w:val="single" w:color="CCCCCC" w:sz="1"/>
            </w:tcBorders>
            <w:shd w:fill="1A3A5C" w:val="clear"/>
            <w:tcMar>
              <w:top w:type="dxa" w:w="100"/>
              <w:left w:type="dxa" w:w="140"/>
              <w:bottom w:type="dxa" w:w="100"/>
              <w:right w:type="dxa" w:w="80"/>
            </w:tcMar>
          </w:tcPr>
          <w:p>
            <w:r>
              <w:rPr>
                <w:rFonts w:ascii="Arial" w:cs="Arial" w:eastAsia="Arial" w:hAnsi="Arial"/>
                <w:b/>
                <w:bCs/>
                <w:color w:val="FFFFFF"/>
                <w:sz w:val="22"/>
                <w:szCs w:val="22"/>
              </w:rPr>
              <w:t xml:space="preserve">Purpose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Market exposure ceiling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Maximum $QUBIC at risk per market; failure stays local to that market</w:t>
            </w:r>
          </w:p>
        </w:tc>
      </w:tr>
      <w:tr>
        <w:tc>
          <w:tcPr>
            <w:tcW w:type="dxa" w:w="46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80"/>
            </w:tcMar>
          </w:tcPr>
          <w:p>
            <w:r>
              <w:rPr>
                <w:rFonts w:ascii="Arial" w:cs="Arial" w:eastAsia="Arial" w:hAnsi="Arial"/>
                <w:b w:val="false"/>
                <w:bCs w:val="false"/>
                <w:color w:val="1A1A2E"/>
                <w:sz w:val="20"/>
                <w:szCs w:val="20"/>
              </w:rPr>
              <w:t xml:space="preserve">Category exposure ceiling</w:t>
            </w:r>
          </w:p>
        </w:tc>
        <w:tc>
          <w:tcPr>
            <w:tcW w:type="dxa" w:w="46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80"/>
            </w:tcMar>
          </w:tcPr>
          <w:p>
            <w:r>
              <w:rPr>
                <w:rFonts w:ascii="Arial" w:cs="Arial" w:eastAsia="Arial" w:hAnsi="Arial"/>
                <w:b w:val="false"/>
                <w:bCs w:val="false"/>
                <w:color w:val="1A1A2E"/>
                <w:sz w:val="20"/>
                <w:szCs w:val="20"/>
              </w:rPr>
              <w:t xml:space="preserve">Maximum $QUBIC at risk per category; bounded failure scope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Market creation premium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Entry cost; partially burned, partially to treasury</w:t>
            </w:r>
          </w:p>
        </w:tc>
      </w:tr>
      <w:tr>
        <w:tc>
          <w:tcPr>
            <w:tcW w:type="dxa" w:w="46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80"/>
            </w:tcMar>
          </w:tcPr>
          <w:p>
            <w:r>
              <w:rPr>
                <w:rFonts w:ascii="Arial" w:cs="Arial" w:eastAsia="Arial" w:hAnsi="Arial"/>
                <w:b w:val="false"/>
                <w:bCs w:val="false"/>
                <w:color w:val="1A1A2E"/>
                <w:sz w:val="20"/>
                <w:szCs w:val="20"/>
              </w:rPr>
              <w:t xml:space="preserve">Minimum liquidity requirement</w:t>
            </w:r>
          </w:p>
        </w:tc>
        <w:tc>
          <w:tcPr>
            <w:tcW w:type="dxa" w:w="46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80"/>
            </w:tcMar>
          </w:tcPr>
          <w:p>
            <w:r>
              <w:rPr>
                <w:rFonts w:ascii="Arial" w:cs="Arial" w:eastAsia="Arial" w:hAnsi="Arial"/>
                <w:b w:val="false"/>
                <w:bCs w:val="false"/>
                <w:color w:val="1A1A2E"/>
                <w:sz w:val="20"/>
                <w:szCs w:val="20"/>
              </w:rPr>
              <w:t xml:space="preserve">Ensures sufficient market depth at creation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Oracle interface 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Specifies the target Qubic oracle interface</w:t>
            </w:r>
          </w:p>
        </w:tc>
      </w:tr>
      <w:tr>
        <w:tc>
          <w:tcPr>
            <w:tcW w:type="dxa" w:w="46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80"/>
            </w:tcMar>
          </w:tcPr>
          <w:p>
            <w:r>
              <w:rPr>
                <w:rFonts w:ascii="Arial" w:cs="Arial" w:eastAsia="Arial" w:hAnsi="Arial"/>
                <w:b w:val="false"/>
                <w:bCs w:val="false"/>
                <w:color w:val="1A1A2E"/>
                <w:sz w:val="20"/>
                <w:szCs w:val="20"/>
              </w:rPr>
              <w:t xml:space="preserve">Accepted reply format</w:t>
            </w:r>
          </w:p>
        </w:tc>
        <w:tc>
          <w:tcPr>
            <w:tcW w:type="dxa" w:w="46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80"/>
            </w:tcMar>
          </w:tcPr>
          <w:p>
            <w:r>
              <w:rPr>
                <w:rFonts w:ascii="Arial" w:cs="Arial" w:eastAsia="Arial" w:hAnsi="Arial"/>
                <w:b w:val="false"/>
                <w:bCs w:val="false"/>
                <w:color w:val="1A1A2E"/>
                <w:sz w:val="20"/>
                <w:szCs w:val="20"/>
              </w:rPr>
              <w:t xml:space="preserve">Defines valid oracle reply structure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Maturity timestamp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Epoch-aligned market close time</w:t>
            </w:r>
          </w:p>
        </w:tc>
      </w:tr>
      <w:tr>
        <w:tc>
          <w:tcPr>
            <w:tcW w:type="dxa" w:w="46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80"/>
            </w:tcMar>
          </w:tcPr>
          <w:p>
            <w:r>
              <w:rPr>
                <w:rFonts w:ascii="Arial" w:cs="Arial" w:eastAsia="Arial" w:hAnsi="Arial"/>
                <w:b w:val="false"/>
                <w:bCs w:val="false"/>
                <w:color w:val="1A1A2E"/>
                <w:sz w:val="20"/>
                <w:szCs w:val="20"/>
              </w:rPr>
              <w:t xml:space="preserve">Dispute window</w:t>
            </w:r>
          </w:p>
        </w:tc>
        <w:tc>
          <w:tcPr>
            <w:tcW w:type="dxa" w:w="46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80"/>
            </w:tcMar>
          </w:tcPr>
          <w:p>
            <w:r>
              <w:rPr>
                <w:rFonts w:ascii="Arial" w:cs="Arial" w:eastAsia="Arial" w:hAnsi="Arial"/>
                <w:b w:val="false"/>
                <w:bCs w:val="false"/>
                <w:color w:val="1A1A2E"/>
                <w:sz w:val="20"/>
                <w:szCs w:val="20"/>
              </w:rPr>
              <w:t xml:space="preserve">Number of epochs available for post-resolution dispute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Resolution delay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Buffer between oracle reply and settlement execution</w:t>
            </w:r>
          </w:p>
        </w:tc>
      </w:tr>
      <w:tr>
        <w:tc>
          <w:tcPr>
            <w:tcW w:type="dxa" w:w="46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80"/>
            </w:tcMar>
          </w:tcPr>
          <w:p>
            <w:r>
              <w:rPr>
                <w:rFonts w:ascii="Arial" w:cs="Arial" w:eastAsia="Arial" w:hAnsi="Arial"/>
                <w:b w:val="false"/>
                <w:bCs w:val="false"/>
                <w:color w:val="1A1A2E"/>
                <w:sz w:val="20"/>
                <w:szCs w:val="20"/>
              </w:rPr>
              <w:t xml:space="preserve">Invalid-outcome criteria</w:t>
            </w:r>
          </w:p>
        </w:tc>
        <w:tc>
          <w:tcPr>
            <w:tcW w:type="dxa" w:w="46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80"/>
            </w:tcMar>
          </w:tcPr>
          <w:p>
            <w:r>
              <w:rPr>
                <w:rFonts w:ascii="Arial" w:cs="Arial" w:eastAsia="Arial" w:hAnsi="Arial"/>
                <w:b w:val="false"/>
                <w:bCs w:val="false"/>
                <w:color w:val="1A1A2E"/>
                <w:sz w:val="20"/>
                <w:szCs w:val="20"/>
              </w:rPr>
              <w:t xml:space="preserve">Conditions that trigger invalid-market status and refund logic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Agent participation limit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Maximum agent-driven position size per market</w:t>
            </w:r>
          </w:p>
        </w:tc>
      </w:tr>
      <w:tr>
        <w:tc>
          <w:tcPr>
            <w:tcW w:type="dxa" w:w="46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80"/>
            </w:tcMar>
          </w:tcPr>
          <w:p>
            <w:r>
              <w:rPr>
                <w:rFonts w:ascii="Arial" w:cs="Arial" w:eastAsia="Arial" w:hAnsi="Arial"/>
                <w:b w:val="false"/>
                <w:bCs w:val="false"/>
                <w:color w:val="1A1A2E"/>
                <w:sz w:val="20"/>
                <w:szCs w:val="20"/>
              </w:rPr>
              <w:t xml:space="preserve">Keeper bond</w:t>
            </w:r>
          </w:p>
        </w:tc>
        <w:tc>
          <w:tcPr>
            <w:tcW w:type="dxa" w:w="46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80"/>
            </w:tcMar>
          </w:tcPr>
          <w:p>
            <w:r>
              <w:rPr>
                <w:rFonts w:ascii="Arial" w:cs="Arial" w:eastAsia="Arial" w:hAnsi="Arial"/>
                <w:b w:val="false"/>
                <w:bCs w:val="false"/>
                <w:color w:val="1A1A2E"/>
                <w:sz w:val="20"/>
                <w:szCs w:val="20"/>
              </w:rPr>
              <w:t xml:space="preserve">$QUBIC bond required for keeper role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Dispute bond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$QUBIC bond required to initiate a dispute</w:t>
            </w:r>
          </w:p>
        </w:tc>
      </w:tr>
      <w:tr>
        <w:tc>
          <w:tcPr>
            <w:tcW w:type="dxa" w:w="46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80"/>
            </w:tcMar>
          </w:tcPr>
          <w:p>
            <w:r>
              <w:rPr>
                <w:rFonts w:ascii="Arial" w:cs="Arial" w:eastAsia="Arial" w:hAnsi="Arial"/>
                <w:b w:val="false"/>
                <w:bCs w:val="false"/>
                <w:color w:val="1A1A2E"/>
                <w:sz w:val="20"/>
                <w:szCs w:val="20"/>
              </w:rPr>
              <w:t xml:space="preserve">Max settlement liability</w:t>
            </w:r>
          </w:p>
        </w:tc>
        <w:tc>
          <w:tcPr>
            <w:tcW w:type="dxa" w:w="46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80"/>
            </w:tcMar>
          </w:tcPr>
          <w:p>
            <w:r>
              <w:rPr>
                <w:rFonts w:ascii="Arial" w:cs="Arial" w:eastAsia="Arial" w:hAnsi="Arial"/>
                <w:b w:val="false"/>
                <w:bCs w:val="false"/>
                <w:color w:val="1A1A2E"/>
                <w:sz w:val="20"/>
                <w:szCs w:val="20"/>
              </w:rPr>
              <w:t xml:space="preserve">Protocol-level cap on a single settlement event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Emergency freeze trigger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Condition that activates market or protocol pause</w:t>
            </w:r>
          </w:p>
        </w:tc>
      </w:tr>
    </w:tbl>
    <w:p>
      <w:pPr>
        <w:spacing w:after="200" w:before="0"/>
      </w:pPr>
      <w:r>
        <w:t xml:space="preserve"/>
      </w:r>
    </w:p>
    <w:p>
      <w:pPr>
        <w:pStyle w:val="Heading1"/>
        <w:shd w:fill="1A3A5C" w:val="clear"/>
        <w:spacing w:after="200" w:before="440"/>
        <w:ind w:left="200" w:right="200"/>
      </w:pPr>
      <w:r>
        <w:rPr>
          <w:rFonts w:ascii="Arial" w:cs="Arial" w:eastAsia="Arial" w:hAnsi="Arial"/>
          <w:b/>
          <w:bCs/>
          <w:color w:val="FFFFFF"/>
          <w:sz w:val="36"/>
          <w:szCs w:val="36"/>
        </w:rPr>
        <w:t xml:space="preserve">14. Network Non-Interference Standard</w:t>
      </w:r>
    </w:p>
    <w:p>
      <w:pPr>
        <w:spacing w:after="80" w:before="0"/>
      </w:pPr>
      <w:r>
        <w:t xml:space="preserve"/>
      </w:r>
    </w:p>
    <w:p>
      <w:pPr>
        <w:spacing w:after="140" w:before="0"/>
        <w:jc w:val="both"/>
      </w:pPr>
      <w:r>
        <w:rPr>
          <w:rFonts w:ascii="Arial" w:cs="Arial" w:eastAsia="Arial" w:hAnsi="Arial"/>
          <w:i w:val="false"/>
          <w:iCs w:val="false"/>
          <w:color w:val="1A1A2E"/>
          <w:sz w:val="22"/>
          <w:szCs w:val="22"/>
        </w:rPr>
        <w:t xml:space="preserve">Qassandra treats network non-interference as a primary design requirement.</w:t>
      </w:r>
    </w:p>
    <w:p>
      <w:pPr>
        <w:spacing w:after="140" w:before="0"/>
        <w:jc w:val="both"/>
      </w:pPr>
      <w:r>
        <w:rPr>
          <w:rFonts w:ascii="Arial" w:cs="Arial" w:eastAsia="Arial" w:hAnsi="Arial"/>
          <w:i w:val="false"/>
          <w:iCs w:val="false"/>
          <w:color w:val="1A1A2E"/>
          <w:sz w:val="22"/>
          <w:szCs w:val="22"/>
        </w:rPr>
        <w:t xml:space="preserve">Because Qubic contracts are compiled into the Qubic Core executable and executed by Computors, Qassandra must be designed so that all failure states remain bounded within Qassandra’s own contract state and market-resolution logic.</w:t>
      </w:r>
    </w:p>
    <w:p>
      <w:pPr>
        <w:spacing w:after="140" w:before="0"/>
        <w:jc w:val="both"/>
      </w:pPr>
      <w:r>
        <w:rPr>
          <w:rFonts w:ascii="Arial" w:cs="Arial" w:eastAsia="Arial" w:hAnsi="Arial"/>
          <w:i w:val="false"/>
          <w:iCs w:val="false"/>
          <w:color w:val="1A1A2E"/>
          <w:sz w:val="22"/>
          <w:szCs w:val="22"/>
        </w:rPr>
        <w:t xml:space="preserve">A failed market, oracle query, dispute, keeper action, agent action, or settlement routine must not propagate into Qubic network liveness, Computor consensus execution, unrelated contracts, or global protocol operation.</w:t>
      </w:r>
    </w:p>
    <w:p>
      <w:pPr>
        <w:spacing w:after="80" w:before="0"/>
      </w:pPr>
      <w:r>
        <w:t xml:space="preserve"/>
      </w:r>
    </w:p>
    <w:p>
      <w:pPr>
        <w:pStyle w:val="Heading3"/>
        <w:spacing w:after="80" w:before="240"/>
      </w:pPr>
      <w:r>
        <w:rPr>
          <w:rFonts w:ascii="Arial" w:cs="Arial" w:eastAsia="Arial" w:hAnsi="Arial"/>
          <w:b/>
          <w:bCs/>
          <w:color w:val="1C6EA4"/>
          <w:sz w:val="24"/>
          <w:szCs w:val="24"/>
        </w:rPr>
        <w:t xml:space="preserve">How Qassandra Enforces Non-Interference</w:t>
      </w:r>
    </w:p>
    <w:p>
      <w:pPr>
        <w:pStyle w:val="ListParagraph"/>
        <w:numPr>
          <w:ilvl w:val="0"/>
          <w:numId w:val="2"/>
        </w:numPr>
        <w:spacing w:after="80" w:before="40"/>
      </w:pPr>
      <w:r>
        <w:rPr>
          <w:rFonts w:ascii="Arial" w:cs="Arial" w:eastAsia="Arial" w:hAnsi="Arial"/>
          <w:color w:val="1A1A2E"/>
          <w:sz w:val="22"/>
          <w:szCs w:val="22"/>
        </w:rPr>
        <w:t xml:space="preserve">Compact local contract state — Each market’s state is isolated. A failed market does not corrupt the state of other markets or the protocol.</w:t>
      </w:r>
    </w:p>
    <w:p>
      <w:pPr>
        <w:pStyle w:val="ListParagraph"/>
        <w:numPr>
          <w:ilvl w:val="0"/>
          <w:numId w:val="2"/>
        </w:numPr>
        <w:spacing w:after="80" w:before="40"/>
      </w:pPr>
      <w:r>
        <w:rPr>
          <w:rFonts w:ascii="Arial" w:cs="Arial" w:eastAsia="Arial" w:hAnsi="Arial"/>
          <w:color w:val="1A1A2E"/>
          <w:sz w:val="22"/>
          <w:szCs w:val="22"/>
        </w:rPr>
        <w:t xml:space="preserve">Claim-based settlement — Payouts are pulled by eligible participants from their market’s balance. No global push-payment mechanism that could cascade across markets.</w:t>
      </w:r>
    </w:p>
    <w:p>
      <w:pPr>
        <w:pStyle w:val="ListParagraph"/>
        <w:numPr>
          <w:ilvl w:val="0"/>
          <w:numId w:val="2"/>
        </w:numPr>
        <w:spacing w:after="80" w:before="40"/>
      </w:pPr>
      <w:r>
        <w:rPr>
          <w:rFonts w:ascii="Arial" w:cs="Arial" w:eastAsia="Arial" w:hAnsi="Arial"/>
          <w:color w:val="1A1A2E"/>
          <w:sz w:val="22"/>
          <w:szCs w:val="22"/>
        </w:rPr>
        <w:t xml:space="preserve">Off-chain context indexing — Verbose data lives off-chain, keeping on-chain execution bounded and predictable.</w:t>
      </w:r>
    </w:p>
    <w:p>
      <w:pPr>
        <w:pStyle w:val="ListParagraph"/>
        <w:numPr>
          <w:ilvl w:val="0"/>
          <w:numId w:val="2"/>
        </w:numPr>
        <w:spacing w:after="80" w:before="40"/>
      </w:pPr>
      <w:r>
        <w:rPr>
          <w:rFonts w:ascii="Arial" w:cs="Arial" w:eastAsia="Arial" w:hAnsi="Arial"/>
          <w:color w:val="1A1A2E"/>
          <w:sz w:val="22"/>
          <w:szCs w:val="22"/>
        </w:rPr>
        <w:t xml:space="preserve">Market exposure ceilings — Each market and category has a hard $QUBIC ceiling, limiting the blast radius of any single failure.</w:t>
      </w:r>
    </w:p>
    <w:p>
      <w:pPr>
        <w:pStyle w:val="ListParagraph"/>
        <w:numPr>
          <w:ilvl w:val="0"/>
          <w:numId w:val="2"/>
        </w:numPr>
        <w:spacing w:after="80" w:before="40"/>
      </w:pPr>
      <w:r>
        <w:rPr>
          <w:rFonts w:ascii="Arial" w:cs="Arial" w:eastAsia="Arial" w:hAnsi="Arial"/>
          <w:color w:val="1A1A2E"/>
          <w:sz w:val="22"/>
          <w:szCs w:val="22"/>
        </w:rPr>
        <w:t xml:space="preserve">Invalid-market flags and fallback refund logic — Unresolvable or manipulated markets resolve cleanly to refund state, not to undefined contract behavior.</w:t>
      </w:r>
    </w:p>
    <w:p>
      <w:pPr>
        <w:pStyle w:val="ListParagraph"/>
        <w:numPr>
          <w:ilvl w:val="0"/>
          <w:numId w:val="2"/>
        </w:numPr>
        <w:spacing w:after="80" w:before="40"/>
      </w:pPr>
      <w:r>
        <w:rPr>
          <w:rFonts w:ascii="Arial" w:cs="Arial" w:eastAsia="Arial" w:hAnsi="Arial"/>
          <w:color w:val="1A1A2E"/>
          <w:sz w:val="22"/>
          <w:szCs w:val="22"/>
        </w:rPr>
        <w:t xml:space="preserve">Epoch-scoped governance — Governance changes are scoped to epochs and cannot retroactively alter settled market states.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6EA4" w:sz="4"/>
              <w:left w:val="single" w:color="1C6EA4" w:sz="8"/>
              <w:bottom w:val="single" w:color="CCCCCC" w:sz="1"/>
              <w:right w:val="none" w:color="FFFFFF" w:sz="0"/>
            </w:tcBorders>
            <w:shd w:fill="EAF2FB" w:val="clear"/>
            <w:tcMar>
              <w:top w:type="dxa" w:w="120"/>
              <w:left w:type="dxa" w:w="200"/>
              <w:bottom w:type="dxa" w:w="120"/>
              <w:right w:type="dxa" w:w="200"/>
            </w:tcMar>
          </w:tcPr>
          <w:p>
            <w:pPr>
              <w:spacing w:after="80" w:before="60"/>
            </w:pPr>
            <w:r>
              <w:rPr>
                <w:rFonts w:ascii="Arial" w:cs="Arial" w:eastAsia="Arial" w:hAnsi="Arial"/>
                <w:b/>
                <w:bCs/>
                <w:color w:val="1A3A5C"/>
                <w:sz w:val="22"/>
                <w:szCs w:val="22"/>
              </w:rPr>
              <w:t xml:space="preserve">Qassandra’s Performance Principle</w:t>
            </w:r>
          </w:p>
          <w:p>
            <w:pPr>
              <w:pStyle w:val="ListParagraph"/>
              <w:numPr>
                <w:ilvl w:val="0"/>
                <w:numId w:val="2"/>
              </w:numPr>
              <w:spacing w:after="40" w:before="20"/>
            </w:pPr>
            <w:r>
              <w:rPr>
                <w:rFonts w:ascii="Arial" w:cs="Arial" w:eastAsia="Arial" w:hAnsi="Arial"/>
                <w:color w:val="1A1A2E"/>
                <w:sz w:val="20"/>
                <w:szCs w:val="20"/>
              </w:rPr>
              <w:t xml:space="preserve">Scale through many small, bounded, deterministic actions.</w:t>
            </w:r>
          </w:p>
          <w:p>
            <w:pPr>
              <w:pStyle w:val="ListParagraph"/>
              <w:numPr>
                <w:ilvl w:val="0"/>
                <w:numId w:val="2"/>
              </w:numPr>
              <w:spacing w:after="40" w:before="20"/>
            </w:pPr>
            <w:r>
              <w:rPr>
                <w:rFonts w:ascii="Arial" w:cs="Arial" w:eastAsia="Arial" w:hAnsi="Arial"/>
                <w:color w:val="1A1A2E"/>
                <w:sz w:val="20"/>
                <w:szCs w:val="20"/>
              </w:rPr>
              <w:t xml:space="preserve">Compact local contract state. Claim-based settlement. Off-chain context indexing.</w:t>
            </w:r>
          </w:p>
          <w:p>
            <w:pPr>
              <w:pStyle w:val="ListParagraph"/>
              <w:numPr>
                <w:ilvl w:val="0"/>
                <w:numId w:val="2"/>
              </w:numPr>
              <w:spacing w:after="40" w:before="20"/>
            </w:pPr>
            <w:r>
              <w:rPr>
                <w:rFonts w:ascii="Arial" w:cs="Arial" w:eastAsia="Arial" w:hAnsi="Arial"/>
                <w:color w:val="1A1A2E"/>
                <w:sz w:val="20"/>
                <w:szCs w:val="20"/>
              </w:rPr>
              <w:t xml:space="preserve">Every action is market-local. Every failure is bounded. Nothing propagates to the Qubic network level.</w:t>
            </w:r>
          </w:p>
          <w:p>
            <w:pPr>
              <w:spacing w:after="80" w:before="0"/>
            </w:pPr>
            <w:r>
              <w:t xml:space="preserve"/>
            </w:r>
          </w:p>
        </w:tc>
      </w:tr>
    </w:tbl>
    <w:p>
      <w:pPr>
        <w:spacing w:after="200" w:before="0"/>
      </w:pPr>
      <w:r>
        <w:t xml:space="preserve"/>
      </w:r>
    </w:p>
    <w:p>
      <w:r>
        <w:br w:type="page"/>
      </w:r>
    </w:p>
    <w:p>
      <w:pPr>
        <w:pStyle w:val="Heading1"/>
        <w:shd w:fill="1A3A5C" w:val="clear"/>
        <w:spacing w:after="200" w:before="440"/>
        <w:ind w:left="200" w:right="200"/>
      </w:pPr>
      <w:r>
        <w:rPr>
          <w:rFonts w:ascii="Arial" w:cs="Arial" w:eastAsia="Arial" w:hAnsi="Arial"/>
          <w:b/>
          <w:bCs/>
          <w:color w:val="FFFFFF"/>
          <w:sz w:val="36"/>
          <w:szCs w:val="36"/>
        </w:rPr>
        <w:t xml:space="preserve">15. Emergency Controls — Target Architecture</w:t>
      </w:r>
    </w:p>
    <w:p>
      <w:pPr>
        <w:spacing w:after="80" w:before="0"/>
      </w:pPr>
      <w:r>
        <w:t xml:space="preserve"/>
      </w:r>
    </w:p>
    <w:p>
      <w:pPr>
        <w:spacing w:after="140" w:before="0"/>
        <w:jc w:val="both"/>
      </w:pPr>
      <w:r>
        <w:rPr>
          <w:rFonts w:ascii="Arial" w:cs="Arial" w:eastAsia="Arial" w:hAnsi="Arial"/>
          <w:i w:val="false"/>
          <w:iCs w:val="false"/>
          <w:color w:val="1A1A2E"/>
          <w:sz w:val="22"/>
          <w:szCs w:val="22"/>
        </w:rPr>
        <w:t xml:space="preserve">Qassandra includes layered emergency controls as part of its target architecture. All controls are designed to be deterministic, publicly visible, and market-local. They are intended to protect settlement integrity—not to permit arbitrary seizure or discretionary reversal of market outcomes. Emergency actions never propagate beyond the target market or category.</w:t>
      </w:r>
    </w:p>
    <w:p>
      <w:pPr>
        <w:spacing w:after="80" w:before="0"/>
      </w:pPr>
      <w:r>
        <w:t xml:space="preserve"/>
      </w:r>
    </w:p>
    <w:p>
      <w:pPr>
        <w:pStyle w:val="Heading3"/>
        <w:spacing w:after="80" w:before="240"/>
      </w:pPr>
      <w:r>
        <w:rPr>
          <w:rFonts w:ascii="Arial" w:cs="Arial" w:eastAsia="Arial" w:hAnsi="Arial"/>
          <w:b/>
          <w:bCs/>
          <w:color w:val="1C6EA4"/>
          <w:sz w:val="24"/>
          <w:szCs w:val="24"/>
        </w:rPr>
        <w:t xml:space="preserve">Available Emergency Actions</w:t>
      </w:r>
    </w:p>
    <w:p>
      <w:pPr>
        <w:pStyle w:val="ListParagraph"/>
        <w:numPr>
          <w:ilvl w:val="0"/>
          <w:numId w:val="2"/>
        </w:numPr>
        <w:spacing w:after="80" w:before="40"/>
      </w:pPr>
      <w:r>
        <w:rPr>
          <w:rFonts w:ascii="Arial" w:cs="Arial" w:eastAsia="Arial" w:hAnsi="Arial"/>
          <w:color w:val="1A1A2E"/>
          <w:sz w:val="22"/>
          <w:szCs w:val="22"/>
        </w:rPr>
        <w:t xml:space="preserve">Market freeze — halts a specific market pending investigation; does not affect other markets</w:t>
      </w:r>
    </w:p>
    <w:p>
      <w:pPr>
        <w:pStyle w:val="ListParagraph"/>
        <w:numPr>
          <w:ilvl w:val="0"/>
          <w:numId w:val="2"/>
        </w:numPr>
        <w:spacing w:after="80" w:before="40"/>
      </w:pPr>
      <w:r>
        <w:rPr>
          <w:rFonts w:ascii="Arial" w:cs="Arial" w:eastAsia="Arial" w:hAnsi="Arial"/>
          <w:color w:val="1A1A2E"/>
          <w:sz w:val="22"/>
          <w:szCs w:val="22"/>
        </w:rPr>
        <w:t xml:space="preserve">Category freeze — pauses all markets in a category; does not affect other categories</w:t>
      </w:r>
    </w:p>
    <w:p>
      <w:pPr>
        <w:pStyle w:val="ListParagraph"/>
        <w:numPr>
          <w:ilvl w:val="0"/>
          <w:numId w:val="2"/>
        </w:numPr>
        <w:spacing w:after="80" w:before="40"/>
      </w:pPr>
      <w:r>
        <w:rPr>
          <w:rFonts w:ascii="Arial" w:cs="Arial" w:eastAsia="Arial" w:hAnsi="Arial"/>
          <w:color w:val="1A1A2E"/>
          <w:sz w:val="22"/>
          <w:szCs w:val="22"/>
        </w:rPr>
        <w:t xml:space="preserve">Settlement delay — extends the resolution buffer for a market</w:t>
      </w:r>
    </w:p>
    <w:p>
      <w:pPr>
        <w:pStyle w:val="ListParagraph"/>
        <w:numPr>
          <w:ilvl w:val="0"/>
          <w:numId w:val="2"/>
        </w:numPr>
        <w:spacing w:after="80" w:before="40"/>
      </w:pPr>
      <w:r>
        <w:rPr>
          <w:rFonts w:ascii="Arial" w:cs="Arial" w:eastAsia="Arial" w:hAnsi="Arial"/>
          <w:color w:val="1A1A2E"/>
          <w:sz w:val="22"/>
          <w:szCs w:val="22"/>
        </w:rPr>
        <w:t xml:space="preserve">Oracle re-query — requests a new oracle reply if the first is invalid or unresolvable</w:t>
      </w:r>
    </w:p>
    <w:p>
      <w:pPr>
        <w:pStyle w:val="ListParagraph"/>
        <w:numPr>
          <w:ilvl w:val="0"/>
          <w:numId w:val="2"/>
        </w:numPr>
        <w:spacing w:after="80" w:before="40"/>
      </w:pPr>
      <w:r>
        <w:rPr>
          <w:rFonts w:ascii="Arial" w:cs="Arial" w:eastAsia="Arial" w:hAnsi="Arial"/>
          <w:color w:val="1A1A2E"/>
          <w:sz w:val="22"/>
          <w:szCs w:val="22"/>
        </w:rPr>
        <w:t xml:space="preserve">Invalid-market flag — marks a market as unresolvable; triggers local refund logic</w:t>
      </w:r>
    </w:p>
    <w:p>
      <w:pPr>
        <w:pStyle w:val="ListParagraph"/>
        <w:numPr>
          <w:ilvl w:val="0"/>
          <w:numId w:val="2"/>
        </w:numPr>
        <w:spacing w:after="80" w:before="40"/>
      </w:pPr>
      <w:r>
        <w:rPr>
          <w:rFonts w:ascii="Arial" w:cs="Arial" w:eastAsia="Arial" w:hAnsi="Arial"/>
          <w:color w:val="1A1A2E"/>
          <w:sz w:val="22"/>
          <w:szCs w:val="22"/>
        </w:rPr>
        <w:t xml:space="preserve">Dispute escalation — elevates a dispute for governance-level review</w:t>
      </w:r>
    </w:p>
    <w:p>
      <w:pPr>
        <w:pStyle w:val="ListParagraph"/>
        <w:numPr>
          <w:ilvl w:val="0"/>
          <w:numId w:val="2"/>
        </w:numPr>
        <w:spacing w:after="80" w:before="40"/>
      </w:pPr>
      <w:r>
        <w:rPr>
          <w:rFonts w:ascii="Arial" w:cs="Arial" w:eastAsia="Arial" w:hAnsi="Arial"/>
          <w:color w:val="1A1A2E"/>
          <w:sz w:val="22"/>
          <w:szCs w:val="22"/>
        </w:rPr>
        <w:t xml:space="preserve">Protocol-level pause — suspends new market creation and position-taking; existing settled states are not reversed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6EA4" w:sz="4"/>
              <w:left w:val="single" w:color="1C6EA4" w:sz="8"/>
              <w:bottom w:val="single" w:color="CCCCCC" w:sz="1"/>
              <w:right w:val="none" w:color="FFFFFF" w:sz="0"/>
            </w:tcBorders>
            <w:shd w:fill="EAF2FB" w:val="clear"/>
            <w:tcMar>
              <w:top w:type="dxa" w:w="120"/>
              <w:left w:type="dxa" w:w="200"/>
              <w:bottom w:type="dxa" w:w="120"/>
              <w:right w:type="dxa" w:w="200"/>
            </w:tcMar>
          </w:tcPr>
          <w:p>
            <w:pPr>
              <w:spacing w:after="80" w:before="60"/>
            </w:pPr>
            <w:r>
              <w:rPr>
                <w:rFonts w:ascii="Arial" w:cs="Arial" w:eastAsia="Arial" w:hAnsi="Arial"/>
                <w:b/>
                <w:bCs/>
                <w:color w:val="1A3A5C"/>
                <w:sz w:val="22"/>
                <w:szCs w:val="22"/>
              </w:rPr>
              <w:t xml:space="preserve">Governance Alignment for Emergency Actions</w:t>
            </w:r>
          </w:p>
          <w:p>
            <w:pPr>
              <w:pStyle w:val="ListParagraph"/>
              <w:numPr>
                <w:ilvl w:val="0"/>
                <w:numId w:val="2"/>
              </w:numPr>
              <w:spacing w:after="40" w:before="20"/>
            </w:pPr>
            <w:r>
              <w:rPr>
                <w:rFonts w:ascii="Arial" w:cs="Arial" w:eastAsia="Arial" w:hAnsi="Arial"/>
                <w:color w:val="1A1A2E"/>
                <w:sz w:val="20"/>
                <w:szCs w:val="20"/>
              </w:rPr>
              <w:t xml:space="preserve">Emergency routines must map to Qubic-native governance or Computor-approved authorization procedures.</w:t>
            </w:r>
          </w:p>
          <w:p>
            <w:pPr>
              <w:pStyle w:val="ListParagraph"/>
              <w:numPr>
                <w:ilvl w:val="0"/>
                <w:numId w:val="2"/>
              </w:numPr>
              <w:spacing w:after="40" w:before="20"/>
            </w:pPr>
            <w:r>
              <w:rPr>
                <w:rFonts w:ascii="Arial" w:cs="Arial" w:eastAsia="Arial" w:hAnsi="Arial"/>
                <w:color w:val="1A1A2E"/>
                <w:sz w:val="20"/>
                <w:szCs w:val="20"/>
              </w:rPr>
              <w:t xml:space="preserve">Qubic proposals are epoch-scoped and Computor-voted; Ethereum-style multisig authorization patterns do not apply.</w:t>
            </w:r>
          </w:p>
          <w:p>
            <w:pPr>
              <w:pStyle w:val="ListParagraph"/>
              <w:numPr>
                <w:ilvl w:val="0"/>
                <w:numId w:val="2"/>
              </w:numPr>
              <w:spacing w:after="40" w:before="20"/>
            </w:pPr>
            <w:r>
              <w:rPr>
                <w:rFonts w:ascii="Arial" w:cs="Arial" w:eastAsia="Arial" w:hAnsi="Arial"/>
                <w:color w:val="1A1A2E"/>
                <w:sz w:val="20"/>
                <w:szCs w:val="20"/>
              </w:rPr>
              <w:t xml:space="preserve">Emergency controls must be defined in the protocol’s initial governance parameters and publicly documented.</w:t>
            </w:r>
          </w:p>
          <w:p>
            <w:pPr>
              <w:pStyle w:val="ListParagraph"/>
              <w:numPr>
                <w:ilvl w:val="0"/>
                <w:numId w:val="2"/>
              </w:numPr>
              <w:spacing w:after="40" w:before="20"/>
            </w:pPr>
            <w:r>
              <w:rPr>
                <w:rFonts w:ascii="Arial" w:cs="Arial" w:eastAsia="Arial" w:hAnsi="Arial"/>
                <w:color w:val="1A1A2E"/>
                <w:sz w:val="20"/>
                <w:szCs w:val="20"/>
              </w:rPr>
              <w:t xml:space="preserve">Emergency actions are always bounded: they affect only the target market or category and do not interfere with Qubic network liveness or Computor consensus execution.</w:t>
            </w:r>
          </w:p>
          <w:p>
            <w:pPr>
              <w:spacing w:after="80" w:before="0"/>
            </w:pPr>
            <w:r>
              <w:t xml:space="preserve"/>
            </w:r>
          </w:p>
        </w:tc>
      </w:tr>
    </w:tbl>
    <w:p>
      <w:pPr>
        <w:spacing w:after="200" w:before="0"/>
      </w:pPr>
      <w:r>
        <w:t xml:space="preserve"/>
      </w:r>
    </w:p>
    <w:p>
      <w:pPr>
        <w:pStyle w:val="Heading1"/>
        <w:shd w:fill="1A3A5C" w:val="clear"/>
        <w:spacing w:after="200" w:before="440"/>
        <w:ind w:left="200" w:right="200"/>
      </w:pPr>
      <w:r>
        <w:rPr>
          <w:rFonts w:ascii="Arial" w:cs="Arial" w:eastAsia="Arial" w:hAnsi="Arial"/>
          <w:b/>
          <w:bCs/>
          <w:color w:val="FFFFFF"/>
          <w:sz w:val="36"/>
          <w:szCs w:val="36"/>
        </w:rPr>
        <w:t xml:space="preserve">16. External Network Signals</w:t>
      </w:r>
    </w:p>
    <w:p>
      <w:pPr>
        <w:spacing w:after="80" w:before="0"/>
      </w:pPr>
      <w:r>
        <w:t xml:space="preserve"/>
      </w:r>
    </w:p>
    <w:p>
      <w:pPr>
        <w:spacing w:after="140" w:before="0"/>
        <w:jc w:val="both"/>
      </w:pPr>
      <w:r>
        <w:rPr>
          <w:rFonts w:ascii="Arial" w:cs="Arial" w:eastAsia="Arial" w:hAnsi="Arial"/>
          <w:i w:val="false"/>
          <w:iCs w:val="false"/>
          <w:color w:val="1A1A2E"/>
          <w:sz w:val="22"/>
          <w:szCs w:val="22"/>
        </w:rPr>
        <w:t xml:space="preserve">Qassandra can structure external network signals into QUBIC-native oracle context.</w:t>
      </w:r>
    </w:p>
    <w:p>
      <w:pPr>
        <w:spacing w:after="140" w:before="0"/>
        <w:jc w:val="both"/>
      </w:pPr>
      <w:r>
        <w:rPr>
          <w:rFonts w:ascii="Arial" w:cs="Arial" w:eastAsia="Arial" w:hAnsi="Arial"/>
          <w:i w:val="false"/>
          <w:iCs w:val="false"/>
          <w:color w:val="1A1A2E"/>
          <w:sz w:val="22"/>
          <w:szCs w:val="22"/>
        </w:rPr>
        <w:t xml:space="preserve">External networks may produce useful signals such as device activity, network usage, token burns, uptime, coverage, transaction activity, service demand, or protocol milestones. These signals may be useful inputs for Qassandra market questions—for example, a market on whether a given network’s monthly active devices exceeds a threshold by a specified date.</w:t>
      </w:r>
    </w:p>
    <w:p>
      <w:pPr>
        <w:spacing w:after="80" w:before="0"/>
      </w:pPr>
      <w:r>
        <w:t xml:space="preserve"/>
      </w:r>
    </w:p>
    <w:p>
      <w:pPr>
        <w:pStyle w:val="Heading3"/>
        <w:spacing w:after="80" w:before="240"/>
      </w:pPr>
      <w:r>
        <w:rPr>
          <w:rFonts w:ascii="Arial" w:cs="Arial" w:eastAsia="Arial" w:hAnsi="Arial"/>
          <w:b/>
          <w:bCs/>
          <w:color w:val="1C6EA4"/>
          <w:sz w:val="24"/>
          <w:szCs w:val="24"/>
        </w:rPr>
        <w:t xml:space="preserve">What Qassandra Does and Does Not Do With External Signals</w:t>
      </w:r>
    </w:p>
    <w:p>
      <w:pPr>
        <w:pStyle w:val="ListParagraph"/>
        <w:numPr>
          <w:ilvl w:val="0"/>
          <w:numId w:val="2"/>
        </w:numPr>
        <w:spacing w:after="80" w:before="40"/>
      </w:pPr>
      <w:r>
        <w:rPr>
          <w:rFonts w:ascii="Arial" w:cs="Arial" w:eastAsia="Arial" w:hAnsi="Arial"/>
          <w:color w:val="1A1A2E"/>
          <w:sz w:val="22"/>
          <w:szCs w:val="22"/>
        </w:rPr>
        <w:t xml:space="preserve">Qassandra organizes selected external signals into market context that Qubic smart contracts, indexers, and agents can consume.</w:t>
      </w:r>
    </w:p>
    <w:p>
      <w:pPr>
        <w:pStyle w:val="ListParagraph"/>
        <w:numPr>
          <w:ilvl w:val="0"/>
          <w:numId w:val="2"/>
        </w:numPr>
        <w:spacing w:after="80" w:before="40"/>
      </w:pPr>
      <w:r>
        <w:rPr>
          <w:rFonts w:ascii="Arial" w:cs="Arial" w:eastAsia="Arial" w:hAnsi="Arial"/>
          <w:color w:val="1A1A2E"/>
          <w:sz w:val="22"/>
          <w:szCs w:val="22"/>
        </w:rPr>
        <w:t xml:space="preserve">Qassandra does not replace external networks’ payment systems, tokens, or settlement rails.</w:t>
      </w:r>
    </w:p>
    <w:p>
      <w:pPr>
        <w:pStyle w:val="ListParagraph"/>
        <w:numPr>
          <w:ilvl w:val="0"/>
          <w:numId w:val="2"/>
        </w:numPr>
        <w:spacing w:after="80" w:before="40"/>
      </w:pPr>
      <w:r>
        <w:rPr>
          <w:rFonts w:ascii="Arial" w:cs="Arial" w:eastAsia="Arial" w:hAnsi="Arial"/>
          <w:color w:val="1A1A2E"/>
          <w:sz w:val="22"/>
          <w:szCs w:val="22"/>
        </w:rPr>
        <w:t xml:space="preserve">External signals are reference data only. They do not become settlement assets.</w:t>
      </w:r>
    </w:p>
    <w:p>
      <w:pPr>
        <w:pStyle w:val="ListParagraph"/>
        <w:numPr>
          <w:ilvl w:val="0"/>
          <w:numId w:val="2"/>
        </w:numPr>
        <w:spacing w:after="80" w:before="40"/>
      </w:pPr>
      <w:r>
        <w:rPr>
          <w:rFonts w:ascii="Arial" w:cs="Arial" w:eastAsia="Arial" w:hAnsi="Arial"/>
          <w:color w:val="1A1A2E"/>
          <w:sz w:val="22"/>
          <w:szCs w:val="22"/>
        </w:rPr>
        <w:t xml:space="preserve">External network tokens, coins, or assets are never used for settlement, rewards, protocol fees, or any economic function within Qassandra.</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6EA4" w:sz="4"/>
              <w:left w:val="single" w:color="1C6EA4" w:sz="8"/>
              <w:bottom w:val="single" w:color="CCCCCC" w:sz="1"/>
              <w:right w:val="none" w:color="FFFFFF" w:sz="0"/>
            </w:tcBorders>
            <w:shd w:fill="EAF2FB" w:val="clear"/>
            <w:tcMar>
              <w:top w:type="dxa" w:w="120"/>
              <w:left w:type="dxa" w:w="200"/>
              <w:bottom w:type="dxa" w:w="120"/>
              <w:right w:type="dxa" w:w="200"/>
            </w:tcMar>
          </w:tcPr>
          <w:p>
            <w:pPr>
              <w:spacing w:after="80" w:before="60"/>
            </w:pPr>
            <w:r>
              <w:rPr>
                <w:rFonts w:ascii="Arial" w:cs="Arial" w:eastAsia="Arial" w:hAnsi="Arial"/>
                <w:b/>
                <w:bCs/>
                <w:color w:val="1A3A5C"/>
                <w:sz w:val="22"/>
                <w:szCs w:val="22"/>
              </w:rPr>
              <w:t xml:space="preserve">External Signal Constraint</w:t>
            </w:r>
          </w:p>
          <w:p>
            <w:pPr>
              <w:pStyle w:val="ListParagraph"/>
              <w:numPr>
                <w:ilvl w:val="0"/>
                <w:numId w:val="2"/>
              </w:numPr>
              <w:spacing w:after="40" w:before="20"/>
            </w:pPr>
            <w:r>
              <w:rPr>
                <w:rFonts w:ascii="Arial" w:cs="Arial" w:eastAsia="Arial" w:hAnsi="Arial"/>
                <w:color w:val="1A1A2E"/>
                <w:sz w:val="20"/>
                <w:szCs w:val="20"/>
              </w:rPr>
              <w:t xml:space="preserve">Final settlement, protocol fees, oracle-resolution allocation, keeper rewards, agent-access charges, burn allocations, and QDRA-aligned protocol rewards remain denominated exclusively in $QUBIC.</w:t>
            </w:r>
          </w:p>
          <w:p>
            <w:pPr>
              <w:pStyle w:val="ListParagraph"/>
              <w:numPr>
                <w:ilvl w:val="0"/>
                <w:numId w:val="2"/>
              </w:numPr>
              <w:spacing w:after="40" w:before="20"/>
            </w:pPr>
            <w:r>
              <w:rPr>
                <w:rFonts w:ascii="Arial" w:cs="Arial" w:eastAsia="Arial" w:hAnsi="Arial"/>
                <w:color w:val="1A1A2E"/>
                <w:sz w:val="20"/>
                <w:szCs w:val="20"/>
              </w:rPr>
              <w:t xml:space="preserve">External signals inform market questions. They do not enter Qassandra’s economic layer.</w:t>
            </w:r>
          </w:p>
          <w:p>
            <w:pPr>
              <w:pStyle w:val="ListParagraph"/>
              <w:numPr>
                <w:ilvl w:val="0"/>
                <w:numId w:val="2"/>
              </w:numPr>
              <w:spacing w:after="40" w:before="20"/>
            </w:pPr>
            <w:r>
              <w:rPr>
                <w:rFonts w:ascii="Arial" w:cs="Arial" w:eastAsia="Arial" w:hAnsi="Arial"/>
                <w:color w:val="1A1A2E"/>
                <w:sz w:val="20"/>
                <w:szCs w:val="20"/>
              </w:rPr>
              <w:t xml:space="preserve">In V1, external network signals may be delivered via CCIP-compatible message adapters and validated through the cross-chain proof hook framework before being admitted as oracle context.</w:t>
            </w:r>
          </w:p>
          <w:p>
            <w:pPr>
              <w:spacing w:after="80" w:before="0"/>
            </w:pPr>
            <w:r>
              <w:t xml:space="preserve"/>
            </w:r>
          </w:p>
        </w:tc>
      </w:tr>
    </w:tbl>
    <w:p>
      <w:pPr>
        <w:spacing w:after="200" w:before="0"/>
      </w:pPr>
      <w:r>
        <w:t xml:space="preserve"/>
      </w:r>
    </w:p>
    <w:p>
      <w:r>
        <w:br w:type="page"/>
      </w:r>
    </w:p>
    <w:p>
      <w:pPr>
        <w:pStyle w:val="Heading1"/>
        <w:shd w:fill="1A3A5C" w:val="clear"/>
        <w:spacing w:after="200" w:before="440"/>
        <w:ind w:left="200" w:right="200"/>
      </w:pPr>
      <w:r>
        <w:rPr>
          <w:rFonts w:ascii="Arial" w:cs="Arial" w:eastAsia="Arial" w:hAnsi="Arial"/>
          <w:b/>
          <w:bCs/>
          <w:color w:val="FFFFFF"/>
          <w:sz w:val="36"/>
          <w:szCs w:val="36"/>
        </w:rPr>
        <w:t xml:space="preserve">17. Protocol Comparison: Chainlink</w:t>
      </w:r>
    </w:p>
    <w:p>
      <w:pPr>
        <w:spacing w:after="80" w:before="0"/>
      </w:pPr>
      <w:r>
        <w:t xml:space="preserve"/>
      </w:r>
    </w:p>
    <w:p>
      <w:pPr>
        <w:spacing w:after="140" w:before="0"/>
        <w:jc w:val="both"/>
      </w:pPr>
      <w:r>
        <w:rPr>
          <w:rFonts w:ascii="Arial" w:cs="Arial" w:eastAsia="Arial" w:hAnsi="Arial"/>
          <w:i w:val="false"/>
          <w:iCs w:val="false"/>
          <w:color w:val="1A1A2E"/>
          <w:sz w:val="22"/>
          <w:szCs w:val="22"/>
        </w:rPr>
        <w:t xml:space="preserve">Chainlink demonstrated that oracle infrastructure can become critical financial rails—a relevant precedent for Qassandra’s infrastructure positioning. However, Chainlink’s value-capture architecture is organized around LINK: LINK staking, node operator incentives denominated in LINK, and Chainlink-specific reserve mechanics. Ethereum served as the deployment substrate, but ETH holders receive limited direct economic capture from Chainlink-specific activity beyond generalized Ethereum network usage.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1A3A5C" w:sz="4"/>
              <w:right w:val="single" w:color="CCCCCC" w:sz="1"/>
            </w:tcBorders>
            <w:shd w:fill="1A3A5C" w:val="clear"/>
            <w:tcMar>
              <w:top w:type="dxa" w:w="100"/>
              <w:left w:type="dxa" w:w="140"/>
              <w:bottom w:type="dxa" w:w="100"/>
              <w:right w:type="dxa" w:w="80"/>
            </w:tcMar>
          </w:tcPr>
          <w:p>
            <w:r>
              <w:rPr>
                <w:rFonts w:ascii="Arial" w:cs="Arial" w:eastAsia="Arial" w:hAnsi="Arial"/>
                <w:b/>
                <w:bCs/>
                <w:color w:val="FFFFFF"/>
                <w:sz w:val="22"/>
                <w:szCs w:val="22"/>
              </w:rPr>
              <w:t xml:space="preserve">Chainlink Model</w:t>
            </w:r>
          </w:p>
        </w:tc>
        <w:tc>
          <w:tcPr>
            <w:tcW w:type="dxa" w:w="4680"/>
            <w:tcBorders>
              <w:top w:val="single" w:color="CCCCCC" w:sz="1"/>
              <w:left w:val="single" w:color="CCCCCC" w:sz="1"/>
              <w:bottom w:val="single" w:color="1A3A5C" w:sz="4"/>
              <w:right w:val="single" w:color="CCCCCC" w:sz="1"/>
            </w:tcBorders>
            <w:shd w:fill="1A3A5C" w:val="clear"/>
            <w:tcMar>
              <w:top w:type="dxa" w:w="100"/>
              <w:left w:type="dxa" w:w="140"/>
              <w:bottom w:type="dxa" w:w="100"/>
              <w:right w:type="dxa" w:w="80"/>
            </w:tcMar>
          </w:tcPr>
          <w:p>
            <w:r>
              <w:rPr>
                <w:rFonts w:ascii="Arial" w:cs="Arial" w:eastAsia="Arial" w:hAnsi="Arial"/>
                <w:b/>
                <w:bCs/>
                <w:color w:val="FFFFFF"/>
                <w:sz w:val="22"/>
                <w:szCs w:val="22"/>
              </w:rPr>
              <w:t xml:space="preserve">Qassandra Model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Deployed on Ethereum as infrastructure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Built natively on Qubic as infrastructure</w:t>
            </w:r>
          </w:p>
        </w:tc>
      </w:tr>
      <w:tr>
        <w:tc>
          <w:tcPr>
            <w:tcW w:type="dxa" w:w="46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80"/>
            </w:tcMar>
          </w:tcPr>
          <w:p>
            <w:r>
              <w:rPr>
                <w:rFonts w:ascii="Arial" w:cs="Arial" w:eastAsia="Arial" w:hAnsi="Arial"/>
                <w:b w:val="false"/>
                <w:bCs w:val="false"/>
                <w:color w:val="1A1A2E"/>
                <w:sz w:val="20"/>
                <w:szCs w:val="20"/>
              </w:rPr>
              <w:t xml:space="preserve">Oracle value routes primarily to LINK mechanics</w:t>
            </w:r>
          </w:p>
        </w:tc>
        <w:tc>
          <w:tcPr>
            <w:tcW w:type="dxa" w:w="46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80"/>
            </w:tcMar>
          </w:tcPr>
          <w:p>
            <w:r>
              <w:rPr>
                <w:rFonts w:ascii="Arial" w:cs="Arial" w:eastAsia="Arial" w:hAnsi="Arial"/>
                <w:b w:val="false"/>
                <w:bCs w:val="false"/>
                <w:color w:val="1A1A2E"/>
                <w:sz w:val="20"/>
                <w:szCs w:val="20"/>
              </w:rPr>
              <w:t xml:space="preserve">Oracle-resolution allocation routes through $QUBIC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Settlement in ETH or ERC-20 tokens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Settlement exclusively in $QUBIC</w:t>
            </w:r>
          </w:p>
        </w:tc>
      </w:tr>
      <w:tr>
        <w:tc>
          <w:tcPr>
            <w:tcW w:type="dxa" w:w="46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80"/>
            </w:tcMar>
          </w:tcPr>
          <w:p>
            <w:r>
              <w:rPr>
                <w:rFonts w:ascii="Arial" w:cs="Arial" w:eastAsia="Arial" w:hAnsi="Arial"/>
                <w:b w:val="false"/>
                <w:bCs w:val="false"/>
                <w:color w:val="1A1A2E"/>
                <w:sz w:val="20"/>
                <w:szCs w:val="20"/>
              </w:rPr>
              <w:t xml:space="preserve">LINK staking for node operator security</w:t>
            </w:r>
          </w:p>
        </w:tc>
        <w:tc>
          <w:tcPr>
            <w:tcW w:type="dxa" w:w="46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80"/>
            </w:tcMar>
          </w:tcPr>
          <w:p>
            <w:r>
              <w:rPr>
                <w:rFonts w:ascii="Arial" w:cs="Arial" w:eastAsia="Arial" w:hAnsi="Arial"/>
                <w:b w:val="false"/>
                <w:bCs w:val="false"/>
                <w:color w:val="1A1A2E"/>
                <w:sz w:val="20"/>
                <w:szCs w:val="20"/>
              </w:rPr>
              <w:t xml:space="preserve">$QUBIC keeper and resolver bonds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ETH holders: limited direct capture from Chainlink-specific activity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$QUBIC: burn alignment, oracle-resolution allocation, and protocol utility</w:t>
            </w:r>
          </w:p>
        </w:tc>
      </w:tr>
      <w:tr>
        <w:tc>
          <w:tcPr>
            <w:tcW w:type="dxa" w:w="46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80"/>
            </w:tcMar>
          </w:tcPr>
          <w:p>
            <w:r>
              <w:rPr>
                <w:rFonts w:ascii="Arial" w:cs="Arial" w:eastAsia="Arial" w:hAnsi="Arial"/>
                <w:b w:val="false"/>
                <w:bCs w:val="false"/>
                <w:color w:val="1A1A2E"/>
                <w:sz w:val="20"/>
                <w:szCs w:val="20"/>
              </w:rPr>
              <w:t xml:space="preserve">External oracle network</w:t>
            </w:r>
          </w:p>
        </w:tc>
        <w:tc>
          <w:tcPr>
            <w:tcW w:type="dxa" w:w="46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80"/>
            </w:tcMar>
          </w:tcPr>
          <w:p>
            <w:r>
              <w:rPr>
                <w:rFonts w:ascii="Arial" w:cs="Arial" w:eastAsia="Arial" w:hAnsi="Arial"/>
                <w:b w:val="false"/>
                <w:bCs w:val="false"/>
                <w:color w:val="1A1A2E"/>
                <w:sz w:val="20"/>
                <w:szCs w:val="20"/>
              </w:rPr>
              <w:t xml:space="preserve">Designed to integrate with Qubic-native Oracle Machine</w:t>
            </w:r>
          </w:p>
        </w:tc>
      </w:tr>
    </w:tbl>
    <w:p>
      <w:pPr>
        <w:spacing w:after="80" w:before="0"/>
      </w:pPr>
      <w:r>
        <w:t xml:space="preserve"/>
      </w:r>
    </w:p>
    <w:p>
      <w:pPr>
        <w:spacing w:after="140" w:before="0"/>
        <w:jc w:val="both"/>
      </w:pPr>
      <w:r>
        <w:rPr>
          <w:rFonts w:ascii="Arial" w:cs="Arial" w:eastAsia="Arial" w:hAnsi="Arial"/>
          <w:i w:val="false"/>
          <w:iCs w:val="false"/>
          <w:color w:val="1A1A2E"/>
          <w:sz w:val="22"/>
          <w:szCs w:val="22"/>
        </w:rPr>
        <w:t xml:space="preserve">Qassandra’s structural contrast: it does not borrow Qubic’s technical base while routing protocol economics into a separate asset. Settlement, rewards, oracle-resolution allocation, burns, and protocol value all route through $QUBIC.</w:t>
      </w:r>
    </w:p>
    <w:p>
      <w:pPr>
        <w:spacing w:after="200" w:before="0"/>
      </w:pPr>
      <w:r>
        <w:t xml:space="preserve"/>
      </w:r>
    </w:p>
    <w:p>
      <w:pPr>
        <w:pStyle w:val="Heading1"/>
        <w:shd w:fill="1A3A5C" w:val="clear"/>
        <w:spacing w:after="200" w:before="440"/>
        <w:ind w:left="200" w:right="200"/>
      </w:pPr>
      <w:r>
        <w:rPr>
          <w:rFonts w:ascii="Arial" w:cs="Arial" w:eastAsia="Arial" w:hAnsi="Arial"/>
          <w:b/>
          <w:bCs/>
          <w:color w:val="FFFFFF"/>
          <w:sz w:val="36"/>
          <w:szCs w:val="36"/>
        </w:rPr>
        <w:t xml:space="preserve">18. Protocol Comparison: Sky / MakerDAO</w:t>
      </w:r>
    </w:p>
    <w:p>
      <w:pPr>
        <w:spacing w:after="80" w:before="0"/>
      </w:pPr>
      <w:r>
        <w:t xml:space="preserve"/>
      </w:r>
    </w:p>
    <w:p>
      <w:pPr>
        <w:spacing w:after="140" w:before="0"/>
        <w:jc w:val="both"/>
      </w:pPr>
      <w:r>
        <w:rPr>
          <w:rFonts w:ascii="Arial" w:cs="Arial" w:eastAsia="Arial" w:hAnsi="Arial"/>
          <w:i w:val="false"/>
          <w:iCs w:val="false"/>
          <w:color w:val="1A1A2E"/>
          <w:sz w:val="22"/>
          <w:szCs w:val="22"/>
        </w:rPr>
        <w:t xml:space="preserve">Qassandra is not a stablecoin system and should not use Sky/Maker as a settlement model. QUSD and stablecoins have no role in Qassandra’s settlement or rewards.</w:t>
      </w:r>
    </w:p>
    <w:p>
      <w:pPr>
        <w:spacing w:after="140" w:before="0"/>
        <w:jc w:val="both"/>
      </w:pPr>
      <w:r>
        <w:rPr>
          <w:rFonts w:ascii="Arial" w:cs="Arial" w:eastAsia="Arial" w:hAnsi="Arial"/>
          <w:i w:val="false"/>
          <w:iCs w:val="false"/>
          <w:color w:val="1A1A2E"/>
          <w:sz w:val="22"/>
          <w:szCs w:val="22"/>
        </w:rPr>
        <w:t xml:space="preserve">The relevant lesson from Sky/Maker is its risk architecture discipline, not its stablecoin mechanics. Qassandra adapts the following practices from that tradition:</w:t>
      </w:r>
    </w:p>
    <w:p>
      <w:pPr>
        <w:pStyle w:val="ListParagraph"/>
        <w:numPr>
          <w:ilvl w:val="0"/>
          <w:numId w:val="2"/>
        </w:numPr>
        <w:spacing w:after="80" w:before="40"/>
      </w:pPr>
      <w:r>
        <w:rPr>
          <w:rFonts w:ascii="Arial" w:cs="Arial" w:eastAsia="Arial" w:hAnsi="Arial"/>
          <w:color w:val="1A1A2E"/>
          <w:sz w:val="22"/>
          <w:szCs w:val="22"/>
        </w:rPr>
        <w:t xml:space="preserve">Parameterized risk controls with governance-defined ceilings</w:t>
      </w:r>
    </w:p>
    <w:p>
      <w:pPr>
        <w:pStyle w:val="ListParagraph"/>
        <w:numPr>
          <w:ilvl w:val="0"/>
          <w:numId w:val="2"/>
        </w:numPr>
        <w:spacing w:after="80" w:before="40"/>
      </w:pPr>
      <w:r>
        <w:rPr>
          <w:rFonts w:ascii="Arial" w:cs="Arial" w:eastAsia="Arial" w:hAnsi="Arial"/>
          <w:color w:val="1A1A2E"/>
          <w:sz w:val="22"/>
          <w:szCs w:val="22"/>
        </w:rPr>
        <w:t xml:space="preserve">Oracle delay mechanisms to prevent flash-manipulation</w:t>
      </w:r>
    </w:p>
    <w:p>
      <w:pPr>
        <w:pStyle w:val="ListParagraph"/>
        <w:numPr>
          <w:ilvl w:val="0"/>
          <w:numId w:val="2"/>
        </w:numPr>
        <w:spacing w:after="80" w:before="40"/>
      </w:pPr>
      <w:r>
        <w:rPr>
          <w:rFonts w:ascii="Arial" w:cs="Arial" w:eastAsia="Arial" w:hAnsi="Arial"/>
          <w:color w:val="1A1A2E"/>
          <w:sz w:val="22"/>
          <w:szCs w:val="22"/>
        </w:rPr>
        <w:t xml:space="preserve">Emergency shutdown logic for invalid or manipulated market states</w:t>
      </w:r>
    </w:p>
    <w:p>
      <w:pPr>
        <w:pStyle w:val="ListParagraph"/>
        <w:numPr>
          <w:ilvl w:val="0"/>
          <w:numId w:val="2"/>
        </w:numPr>
        <w:spacing w:after="80" w:before="40"/>
      </w:pPr>
      <w:r>
        <w:rPr>
          <w:rFonts w:ascii="Arial" w:cs="Arial" w:eastAsia="Arial" w:hAnsi="Arial"/>
          <w:color w:val="1A1A2E"/>
          <w:sz w:val="22"/>
          <w:szCs w:val="22"/>
        </w:rPr>
        <w:t xml:space="preserve">Exposure ceilings per market category, bounding failure to the local market</w:t>
      </w:r>
    </w:p>
    <w:p>
      <w:pPr>
        <w:pStyle w:val="ListParagraph"/>
        <w:numPr>
          <w:ilvl w:val="0"/>
          <w:numId w:val="2"/>
        </w:numPr>
        <w:spacing w:after="80" w:before="40"/>
      </w:pPr>
      <w:r>
        <w:rPr>
          <w:rFonts w:ascii="Arial" w:cs="Arial" w:eastAsia="Arial" w:hAnsi="Arial"/>
          <w:color w:val="1A1A2E"/>
          <w:sz w:val="22"/>
          <w:szCs w:val="22"/>
        </w:rPr>
        <w:t xml:space="preserve">Governance-controlled parameter updates with transparent change procedures</w:t>
      </w:r>
    </w:p>
    <w:p>
      <w:pPr>
        <w:pStyle w:val="ListParagraph"/>
        <w:numPr>
          <w:ilvl w:val="0"/>
          <w:numId w:val="2"/>
        </w:numPr>
        <w:spacing w:after="80" w:before="40"/>
      </w:pPr>
      <w:r>
        <w:rPr>
          <w:rFonts w:ascii="Arial" w:cs="Arial" w:eastAsia="Arial" w:hAnsi="Arial"/>
          <w:color w:val="1A1A2E"/>
          <w:sz w:val="22"/>
          <w:szCs w:val="22"/>
        </w:rPr>
        <w:t xml:space="preserve">Last-resort protection mechanisms for extreme events</w:t>
      </w:r>
    </w:p>
    <w:p>
      <w:pPr>
        <w:spacing w:after="80" w:before="0"/>
      </w:pPr>
      <w:r>
        <w:t xml:space="preserve"/>
      </w:r>
    </w:p>
    <w:p>
      <w:pPr>
        <w:spacing w:after="140" w:before="0"/>
        <w:jc w:val="both"/>
      </w:pPr>
      <w:r>
        <w:rPr>
          <w:rFonts w:ascii="Arial" w:cs="Arial" w:eastAsia="Arial" w:hAnsi="Arial"/>
          <w:i w:val="false"/>
          <w:iCs w:val="false"/>
          <w:color w:val="1A1A2E"/>
          <w:sz w:val="22"/>
          <w:szCs w:val="22"/>
        </w:rPr>
        <w:t xml:space="preserve">These risk-architecture disciplines are adapted into Qassandra’s market-specific risk control layer (Section 13), applied to forecast market settlement rather than collateralized debt position management.</w:t>
      </w:r>
    </w:p>
    <w:p>
      <w:pPr>
        <w:spacing w:after="200" w:before="0"/>
      </w:pPr>
      <w:r>
        <w:t xml:space="preserve"/>
      </w:r>
    </w:p>
    <w:p>
      <w:pPr>
        <w:pStyle w:val="Heading1"/>
        <w:shd w:fill="1A3A5C" w:val="clear"/>
        <w:spacing w:after="200" w:before="440"/>
        <w:ind w:left="200" w:right="200"/>
      </w:pPr>
      <w:r>
        <w:rPr>
          <w:rFonts w:ascii="Arial" w:cs="Arial" w:eastAsia="Arial" w:hAnsi="Arial"/>
          <w:b/>
          <w:bCs/>
          <w:color w:val="FFFFFF"/>
          <w:sz w:val="36"/>
          <w:szCs w:val="36"/>
        </w:rPr>
        <w:t xml:space="preserve">19. Agent-Readable Market Context — Target Architecture</w:t>
      </w:r>
    </w:p>
    <w:p>
      <w:pPr>
        <w:spacing w:after="80" w:before="0"/>
      </w:pPr>
      <w:r>
        <w:t xml:space="preserve"/>
      </w:r>
    </w:p>
    <w:p>
      <w:pPr>
        <w:spacing w:after="140" w:before="0"/>
        <w:jc w:val="both"/>
      </w:pPr>
      <w:r>
        <w:rPr>
          <w:rFonts w:ascii="Arial" w:cs="Arial" w:eastAsia="Arial" w:hAnsi="Arial"/>
          <w:i w:val="false"/>
          <w:iCs w:val="false"/>
          <w:color w:val="1A1A2E"/>
          <w:sz w:val="22"/>
          <w:szCs w:val="22"/>
        </w:rPr>
        <w:t xml:space="preserve">Qassandra’s long-term structural advantage is its context architecture. The protocol organizes forecast markets into structures that autonomous agents can consume, verify, and act on safely—without requiring verbose on-chain state.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1A3A5C" w:sz="4"/>
              <w:right w:val="single" w:color="CCCCCC" w:sz="1"/>
            </w:tcBorders>
            <w:shd w:fill="1A3A5C" w:val="clear"/>
            <w:tcMar>
              <w:top w:type="dxa" w:w="100"/>
              <w:left w:type="dxa" w:w="140"/>
              <w:bottom w:type="dxa" w:w="100"/>
              <w:right w:type="dxa" w:w="80"/>
            </w:tcMar>
          </w:tcPr>
          <w:p>
            <w:r>
              <w:rPr>
                <w:rFonts w:ascii="Arial" w:cs="Arial" w:eastAsia="Arial" w:hAnsi="Arial"/>
                <w:b/>
                <w:bCs/>
                <w:color w:val="FFFFFF"/>
                <w:sz w:val="22"/>
                <w:szCs w:val="22"/>
              </w:rPr>
              <w:t xml:space="preserve">On-Chain (Compact &amp; Deterministic)</w:t>
            </w:r>
          </w:p>
        </w:tc>
        <w:tc>
          <w:tcPr>
            <w:tcW w:type="dxa" w:w="4680"/>
            <w:tcBorders>
              <w:top w:val="single" w:color="CCCCCC" w:sz="1"/>
              <w:left w:val="single" w:color="CCCCCC" w:sz="1"/>
              <w:bottom w:val="single" w:color="1A3A5C" w:sz="4"/>
              <w:right w:val="single" w:color="CCCCCC" w:sz="1"/>
            </w:tcBorders>
            <w:shd w:fill="1A3A5C" w:val="clear"/>
            <w:tcMar>
              <w:top w:type="dxa" w:w="100"/>
              <w:left w:type="dxa" w:w="140"/>
              <w:bottom w:type="dxa" w:w="100"/>
              <w:right w:type="dxa" w:w="80"/>
            </w:tcMar>
          </w:tcPr>
          <w:p>
            <w:r>
              <w:rPr>
                <w:rFonts w:ascii="Arial" w:cs="Arial" w:eastAsia="Arial" w:hAnsi="Arial"/>
                <w:b/>
                <w:bCs/>
                <w:color w:val="FFFFFF"/>
                <w:sz w:val="22"/>
                <w:szCs w:val="22"/>
              </w:rPr>
              <w:t xml:space="preserve">Off-Chain Indexer (Rich &amp; Agent-Readable)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Compact deterministic state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Full question text and market explanations</w:t>
            </w:r>
          </w:p>
        </w:tc>
      </w:tr>
      <w:tr>
        <w:tc>
          <w:tcPr>
            <w:tcW w:type="dxa" w:w="46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80"/>
            </w:tcMar>
          </w:tcPr>
          <w:p>
            <w:r>
              <w:rPr>
                <w:rFonts w:ascii="Arial" w:cs="Arial" w:eastAsia="Arial" w:hAnsi="Arial"/>
                <w:b w:val="false"/>
                <w:bCs w:val="false"/>
                <w:color w:val="1A1A2E"/>
                <w:sz w:val="20"/>
                <w:szCs w:val="20"/>
              </w:rPr>
              <w:t xml:space="preserve">Market IDs and metadata hashes</w:t>
            </w:r>
          </w:p>
        </w:tc>
        <w:tc>
          <w:tcPr>
            <w:tcW w:type="dxa" w:w="46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80"/>
            </w:tcMar>
          </w:tcPr>
          <w:p>
            <w:r>
              <w:rPr>
                <w:rFonts w:ascii="Arial" w:cs="Arial" w:eastAsia="Arial" w:hAnsi="Arial"/>
                <w:b w:val="false"/>
                <w:bCs w:val="false"/>
                <w:color w:val="1A1A2E"/>
                <w:sz w:val="20"/>
                <w:szCs w:val="20"/>
              </w:rPr>
              <w:t xml:space="preserve">Charts and historical probability data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Maturity timestamps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Source documentation</w:t>
            </w:r>
          </w:p>
        </w:tc>
      </w:tr>
      <w:tr>
        <w:tc>
          <w:tcPr>
            <w:tcW w:type="dxa" w:w="46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80"/>
            </w:tcMar>
          </w:tcPr>
          <w:p>
            <w:r>
              <w:rPr>
                <w:rFonts w:ascii="Arial" w:cs="Arial" w:eastAsia="Arial" w:hAnsi="Arial"/>
                <w:b w:val="false"/>
                <w:bCs w:val="false"/>
                <w:color w:val="1A1A2E"/>
                <w:sz w:val="20"/>
                <w:szCs w:val="20"/>
              </w:rPr>
              <w:t xml:space="preserve">Oracle interface and query IDs</w:t>
            </w:r>
          </w:p>
        </w:tc>
        <w:tc>
          <w:tcPr>
            <w:tcW w:type="dxa" w:w="46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80"/>
            </w:tcMar>
          </w:tcPr>
          <w:p>
            <w:r>
              <w:rPr>
                <w:rFonts w:ascii="Arial" w:cs="Arial" w:eastAsia="Arial" w:hAnsi="Arial"/>
                <w:b w:val="false"/>
                <w:bCs w:val="false"/>
                <w:color w:val="1A1A2E"/>
                <w:sz w:val="20"/>
                <w:szCs w:val="20"/>
              </w:rPr>
              <w:t xml:space="preserve">JSON schemas and agent context packets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Numeric conditions and outcome bits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Agent-readable structured feeds</w:t>
            </w:r>
          </w:p>
        </w:tc>
      </w:tr>
      <w:tr>
        <w:tc>
          <w:tcPr>
            <w:tcW w:type="dxa" w:w="46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80"/>
            </w:tcMar>
          </w:tcPr>
          <w:p>
            <w:r>
              <w:rPr>
                <w:rFonts w:ascii="Arial" w:cs="Arial" w:eastAsia="Arial" w:hAnsi="Arial"/>
                <w:b w:val="false"/>
                <w:bCs w:val="false"/>
                <w:color w:val="1A1A2E"/>
                <w:sz w:val="20"/>
                <w:szCs w:val="20"/>
              </w:rPr>
              <w:t xml:space="preserve">Settlement status</w:t>
            </w:r>
          </w:p>
        </w:tc>
        <w:tc>
          <w:tcPr>
            <w:tcW w:type="dxa" w:w="46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80"/>
            </w:tcMar>
          </w:tcPr>
          <w:p>
            <w:r>
              <w:rPr>
                <w:rFonts w:ascii="Arial" w:cs="Arial" w:eastAsia="Arial" w:hAnsi="Arial"/>
                <w:b w:val="false"/>
                <w:bCs w:val="false"/>
                <w:color w:val="1A1A2E"/>
                <w:sz w:val="20"/>
                <w:szCs w:val="20"/>
              </w:rPr>
              <w:t xml:space="preserve">Metadata-hash verification endpoint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6EA4" w:sz="4"/>
              <w:left w:val="single" w:color="1C6EA4" w:sz="8"/>
              <w:bottom w:val="single" w:color="CCCCCC" w:sz="1"/>
              <w:right w:val="none" w:color="FFFFFF" w:sz="0"/>
            </w:tcBorders>
            <w:shd w:fill="EAF2FB" w:val="clear"/>
            <w:tcMar>
              <w:top w:type="dxa" w:w="120"/>
              <w:left w:type="dxa" w:w="200"/>
              <w:bottom w:type="dxa" w:w="120"/>
              <w:right w:type="dxa" w:w="200"/>
            </w:tcMar>
          </w:tcPr>
          <w:p>
            <w:pPr>
              <w:spacing w:after="80" w:before="60"/>
            </w:pPr>
            <w:r>
              <w:rPr>
                <w:rFonts w:ascii="Arial" w:cs="Arial" w:eastAsia="Arial" w:hAnsi="Arial"/>
                <w:b/>
                <w:bCs/>
                <w:color w:val="1A3A5C"/>
                <w:sz w:val="22"/>
                <w:szCs w:val="22"/>
              </w:rPr>
              <w:t xml:space="preserve">Why This Architecture Is the Moat</w:t>
            </w:r>
          </w:p>
          <w:p>
            <w:pPr>
              <w:pStyle w:val="ListParagraph"/>
              <w:numPr>
                <w:ilvl w:val="0"/>
                <w:numId w:val="2"/>
              </w:numPr>
              <w:spacing w:after="40" w:before="20"/>
            </w:pPr>
            <w:r>
              <w:rPr>
                <w:rFonts w:ascii="Arial" w:cs="Arial" w:eastAsia="Arial" w:hAnsi="Arial"/>
                <w:color w:val="1A1A2E"/>
                <w:sz w:val="20"/>
                <w:szCs w:val="20"/>
              </w:rPr>
              <w:t xml:space="preserve">Agents change. Models change. Frameworks evolve and break.</w:t>
            </w:r>
          </w:p>
          <w:p>
            <w:pPr>
              <w:pStyle w:val="ListParagraph"/>
              <w:numPr>
                <w:ilvl w:val="0"/>
                <w:numId w:val="2"/>
              </w:numPr>
              <w:spacing w:after="40" w:before="20"/>
            </w:pPr>
            <w:r>
              <w:rPr>
                <w:rFonts w:ascii="Arial" w:cs="Arial" w:eastAsia="Arial" w:hAnsi="Arial"/>
                <w:color w:val="1A1A2E"/>
                <w:sz w:val="20"/>
                <w:szCs w:val="20"/>
              </w:rPr>
              <w:t xml:space="preserve">Context architecture—anchored on-chain via metadata hash and served off-chain by a structured indexer—is the durable layer.</w:t>
            </w:r>
          </w:p>
          <w:p>
            <w:pPr>
              <w:pStyle w:val="ListParagraph"/>
              <w:numPr>
                <w:ilvl w:val="0"/>
                <w:numId w:val="2"/>
              </w:numPr>
              <w:spacing w:after="40" w:before="20"/>
            </w:pPr>
            <w:r>
              <w:rPr>
                <w:rFonts w:ascii="Arial" w:cs="Arial" w:eastAsia="Arial" w:hAnsi="Arial"/>
                <w:color w:val="1A1A2E"/>
                <w:sz w:val="20"/>
                <w:szCs w:val="20"/>
              </w:rPr>
              <w:t xml:space="preserve">Any agent, model, or application that consumes Qassandra context can verify its integrity against the on-chain hash.</w:t>
            </w:r>
          </w:p>
          <w:p>
            <w:pPr>
              <w:pStyle w:val="ListParagraph"/>
              <w:numPr>
                <w:ilvl w:val="0"/>
                <w:numId w:val="2"/>
              </w:numPr>
              <w:spacing w:after="40" w:before="20"/>
            </w:pPr>
            <w:r>
              <w:rPr>
                <w:rFonts w:ascii="Arial" w:cs="Arial" w:eastAsia="Arial" w:hAnsi="Arial"/>
                <w:color w:val="1A1A2E"/>
                <w:sz w:val="20"/>
                <w:szCs w:val="20"/>
              </w:rPr>
              <w:t xml:space="preserve">This cryptographic binding between rich off-chain context and compact on-chain state is Qassandra’s structural differentiator.</w:t>
            </w:r>
          </w:p>
          <w:p>
            <w:pPr>
              <w:spacing w:after="80" w:before="0"/>
            </w:pPr>
            <w:r>
              <w:t xml:space="preserve"/>
            </w:r>
          </w:p>
        </w:tc>
      </w:tr>
    </w:tbl>
    <w:p>
      <w:pPr>
        <w:spacing w:after="200" w:before="0"/>
      </w:pPr>
      <w:r>
        <w:t xml:space="preserve"/>
      </w:r>
    </w:p>
    <w:p>
      <w:r>
        <w:br w:type="page"/>
      </w:r>
    </w:p>
    <w:p>
      <w:pPr>
        <w:pStyle w:val="Heading1"/>
        <w:shd w:fill="1A3A5C" w:val="clear"/>
        <w:spacing w:after="200" w:before="440"/>
        <w:ind w:left="200" w:right="200"/>
      </w:pPr>
      <w:r>
        <w:rPr>
          <w:rFonts w:ascii="Arial" w:cs="Arial" w:eastAsia="Arial" w:hAnsi="Arial"/>
          <w:b/>
          <w:bCs/>
          <w:color w:val="FFFFFF"/>
          <w:sz w:val="36"/>
          <w:szCs w:val="36"/>
        </w:rPr>
        <w:t xml:space="preserve">20. Economic Flywheel</w:t>
      </w:r>
    </w:p>
    <w:p>
      <w:pPr>
        <w:spacing w:after="80" w:before="0"/>
      </w:pPr>
      <w:r>
        <w:t xml:space="preserve"/>
      </w:r>
    </w:p>
    <w:p>
      <w:pPr>
        <w:spacing w:after="140" w:before="0"/>
        <w:jc w:val="both"/>
      </w:pPr>
      <w:r>
        <w:rPr>
          <w:rFonts w:ascii="Arial" w:cs="Arial" w:eastAsia="Arial" w:hAnsi="Arial"/>
          <w:i w:val="false"/>
          <w:iCs w:val="false"/>
          <w:color w:val="1A1A2E"/>
          <w:sz w:val="22"/>
          <w:szCs w:val="22"/>
        </w:rPr>
        <w:t xml:space="preserve">Qassandra’s flywheel is fully denominated in $QUBIC at every stage. Each stage is a small, bounded, deterministic action that contributes to the whole without creating systemic dependencies.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6EA4" w:sz="4"/>
              <w:left w:val="single" w:color="1C6EA4" w:sz="8"/>
              <w:bottom w:val="single" w:color="CCCCCC" w:sz="1"/>
              <w:right w:val="none" w:color="FFFFFF" w:sz="0"/>
            </w:tcBorders>
            <w:shd w:fill="EAF2FB" w:val="clear"/>
            <w:tcMar>
              <w:top w:type="dxa" w:w="120"/>
              <w:left w:type="dxa" w:w="200"/>
              <w:bottom w:type="dxa" w:w="120"/>
              <w:right w:type="dxa" w:w="200"/>
            </w:tcMar>
          </w:tcPr>
          <w:p>
            <w:pPr>
              <w:spacing w:after="80" w:before="60"/>
            </w:pPr>
            <w:r>
              <w:rPr>
                <w:rFonts w:ascii="Arial" w:cs="Arial" w:eastAsia="Arial" w:hAnsi="Arial"/>
                <w:b/>
                <w:bCs/>
                <w:color w:val="1A3A5C"/>
                <w:sz w:val="22"/>
                <w:szCs w:val="22"/>
              </w:rPr>
              <w:t xml:space="preserve">Full Flywheel</w:t>
            </w:r>
          </w:p>
          <w:p>
            <w:pPr>
              <w:pStyle w:val="ListParagraph"/>
              <w:numPr>
                <w:ilvl w:val="0"/>
                <w:numId w:val="2"/>
              </w:numPr>
              <w:spacing w:after="40" w:before="20"/>
            </w:pPr>
            <w:r>
              <w:rPr>
                <w:rFonts w:ascii="Arial" w:cs="Arial" w:eastAsia="Arial" w:hAnsi="Arial"/>
                <w:color w:val="1A1A2E"/>
                <w:sz w:val="20"/>
                <w:szCs w:val="20"/>
              </w:rPr>
              <w:t xml:space="preserve">Market created — $QUBIC creation premium transferred into contract balance</w:t>
            </w:r>
          </w:p>
          <w:p>
            <w:pPr>
              <w:pStyle w:val="ListParagraph"/>
              <w:numPr>
                <w:ilvl w:val="0"/>
                <w:numId w:val="2"/>
              </w:numPr>
              <w:spacing w:after="40" w:before="20"/>
            </w:pPr>
            <w:r>
              <w:rPr>
                <w:rFonts w:ascii="Arial" w:cs="Arial" w:eastAsia="Arial" w:hAnsi="Arial"/>
                <w:color w:val="1A1A2E"/>
                <w:sz w:val="20"/>
                <w:szCs w:val="20"/>
              </w:rPr>
              <w:t xml:space="preserve">↓ Internal market activity tracked in $QUBIC internal ledger</w:t>
            </w:r>
          </w:p>
          <w:p>
            <w:pPr>
              <w:pStyle w:val="ListParagraph"/>
              <w:numPr>
                <w:ilvl w:val="0"/>
                <w:numId w:val="2"/>
              </w:numPr>
              <w:spacing w:after="40" w:before="20"/>
            </w:pPr>
            <w:r>
              <w:rPr>
                <w:rFonts w:ascii="Arial" w:cs="Arial" w:eastAsia="Arial" w:hAnsi="Arial"/>
                <w:color w:val="1A1A2E"/>
                <w:sz w:val="20"/>
                <w:szCs w:val="20"/>
              </w:rPr>
              <w:t xml:space="preserve">↓ Oracle-resolution allocation designated in $QUBIC</w:t>
            </w:r>
          </w:p>
          <w:p>
            <w:pPr>
              <w:pStyle w:val="ListParagraph"/>
              <w:numPr>
                <w:ilvl w:val="0"/>
                <w:numId w:val="2"/>
              </w:numPr>
              <w:spacing w:after="40" w:before="20"/>
            </w:pPr>
            <w:r>
              <w:rPr>
                <w:rFonts w:ascii="Arial" w:cs="Arial" w:eastAsia="Arial" w:hAnsi="Arial"/>
                <w:color w:val="1A1A2E"/>
                <w:sz w:val="20"/>
                <w:szCs w:val="20"/>
              </w:rPr>
              <w:t xml:space="preserve">↓ Dispute bonds posted in $QUBIC</w:t>
            </w:r>
          </w:p>
          <w:p>
            <w:pPr>
              <w:pStyle w:val="ListParagraph"/>
              <w:numPr>
                <w:ilvl w:val="0"/>
                <w:numId w:val="2"/>
              </w:numPr>
              <w:spacing w:after="40" w:before="20"/>
            </w:pPr>
            <w:r>
              <w:rPr>
                <w:rFonts w:ascii="Arial" w:cs="Arial" w:eastAsia="Arial" w:hAnsi="Arial"/>
                <w:color w:val="1A1A2E"/>
                <w:sz w:val="20"/>
                <w:szCs w:val="20"/>
              </w:rPr>
              <w:t xml:space="preserve">↓ Settlement claimed in $QUBIC by eligible participants</w:t>
            </w:r>
          </w:p>
          <w:p>
            <w:pPr>
              <w:pStyle w:val="ListParagraph"/>
              <w:numPr>
                <w:ilvl w:val="0"/>
                <w:numId w:val="2"/>
              </w:numPr>
              <w:spacing w:after="40" w:before="20"/>
            </w:pPr>
            <w:r>
              <w:rPr>
                <w:rFonts w:ascii="Arial" w:cs="Arial" w:eastAsia="Arial" w:hAnsi="Arial"/>
                <w:color w:val="1A1A2E"/>
                <w:sz w:val="20"/>
                <w:szCs w:val="20"/>
              </w:rPr>
              <w:t xml:space="preserve">↓ Keepers and resolvers rewarded in $QUBIC</w:t>
            </w:r>
          </w:p>
          <w:p>
            <w:pPr>
              <w:pStyle w:val="ListParagraph"/>
              <w:numPr>
                <w:ilvl w:val="0"/>
                <w:numId w:val="2"/>
              </w:numPr>
              <w:spacing w:after="40" w:before="20"/>
            </w:pPr>
            <w:r>
              <w:rPr>
                <w:rFonts w:ascii="Arial" w:cs="Arial" w:eastAsia="Arial" w:hAnsi="Arial"/>
                <w:color w:val="1A1A2E"/>
                <w:sz w:val="20"/>
                <w:szCs w:val="20"/>
              </w:rPr>
              <w:t xml:space="preserve">↓ Agents pay $QUBIC for context access (credits, subscriptions, or periodic settlement)</w:t>
            </w:r>
          </w:p>
          <w:p>
            <w:pPr>
              <w:pStyle w:val="ListParagraph"/>
              <w:numPr>
                <w:ilvl w:val="0"/>
                <w:numId w:val="2"/>
              </w:numPr>
              <w:spacing w:after="40" w:before="20"/>
            </w:pPr>
            <w:r>
              <w:rPr>
                <w:rFonts w:ascii="Arial" w:cs="Arial" w:eastAsia="Arial" w:hAnsi="Arial"/>
                <w:color w:val="1A1A2E"/>
                <w:sz w:val="20"/>
                <w:szCs w:val="20"/>
              </w:rPr>
              <w:t xml:space="preserve">↓ Programmatic burn allocation strengthens QUBIC alignment</w:t>
            </w:r>
          </w:p>
          <w:p>
            <w:pPr>
              <w:pStyle w:val="ListParagraph"/>
              <w:numPr>
                <w:ilvl w:val="0"/>
                <w:numId w:val="2"/>
              </w:numPr>
              <w:spacing w:after="40" w:before="20"/>
            </w:pPr>
            <w:r>
              <w:rPr>
                <w:rFonts w:ascii="Arial" w:cs="Arial" w:eastAsia="Arial" w:hAnsi="Arial"/>
                <w:color w:val="1A1A2E"/>
                <w:sz w:val="20"/>
                <w:szCs w:val="20"/>
              </w:rPr>
              <w:t xml:space="preserve">↓ Eligible QDRA-aligned participants may receive governed $QUBIC rewards (subject to governance and legal review)</w:t>
            </w:r>
          </w:p>
          <w:p>
            <w:pPr>
              <w:pStyle w:val="ListParagraph"/>
              <w:numPr>
                <w:ilvl w:val="0"/>
                <w:numId w:val="2"/>
              </w:numPr>
              <w:spacing w:after="40" w:before="20"/>
            </w:pPr>
            <w:r>
              <w:rPr>
                <w:rFonts w:ascii="Arial" w:cs="Arial" w:eastAsia="Arial" w:hAnsi="Arial"/>
                <w:color w:val="1A1A2E"/>
                <w:sz w:val="20"/>
                <w:szCs w:val="20"/>
              </w:rPr>
              <w:t xml:space="preserve">↓ More markets increase QUBIC utility and demand</w:t>
            </w:r>
          </w:p>
          <w:p>
            <w:pPr>
              <w:spacing w:after="80" w:before="0"/>
            </w:pPr>
            <w:r>
              <w:t xml:space="preserve"/>
            </w:r>
          </w:p>
        </w:tc>
      </w:tr>
    </w:tbl>
    <w:p>
      <w:pPr>
        <w:spacing w:after="80" w:before="0"/>
      </w:pPr>
      <w:r>
        <w:t xml:space="preserve"/>
      </w:r>
    </w:p>
    <w:p>
      <w:pPr>
        <w:spacing w:after="140" w:before="0"/>
        <w:jc w:val="both"/>
      </w:pPr>
      <w:r>
        <w:rPr>
          <w:rFonts w:ascii="Arial" w:cs="Arial" w:eastAsia="Arial" w:hAnsi="Arial"/>
          <w:i w:val="false"/>
          <w:iCs w:val="false"/>
          <w:color w:val="1A1A2E"/>
          <w:sz w:val="22"/>
          <w:szCs w:val="22"/>
        </w:rPr>
        <w:t xml:space="preserve">Core thesis: Prediction markets monetize trades. Qassandra monetizes forecast market infrastructure. Every layer of the stack routes economic value through $QUBIC.</w:t>
      </w:r>
    </w:p>
    <w:p>
      <w:pPr>
        <w:spacing w:after="200" w:before="0"/>
      </w:pPr>
      <w:r>
        <w:t xml:space="preserve"/>
      </w:r>
    </w:p>
    <w:p>
      <w:pPr>
        <w:pStyle w:val="Heading1"/>
        <w:shd w:fill="1A3A5C" w:val="clear"/>
        <w:spacing w:after="200" w:before="440"/>
        <w:ind w:left="200" w:right="200"/>
      </w:pPr>
      <w:r>
        <w:rPr>
          <w:rFonts w:ascii="Arial" w:cs="Arial" w:eastAsia="Arial" w:hAnsi="Arial"/>
          <w:b/>
          <w:bCs/>
          <w:color w:val="FFFFFF"/>
          <w:sz w:val="36"/>
          <w:szCs w:val="36"/>
        </w:rPr>
        <w:t xml:space="preserve">21. Governance</w:t>
      </w:r>
    </w:p>
    <w:p>
      <w:pPr>
        <w:spacing w:after="80" w:before="0"/>
      </w:pPr>
      <w:r>
        <w:t xml:space="preserve"/>
      </w:r>
    </w:p>
    <w:p>
      <w:pPr>
        <w:spacing w:after="140" w:before="0"/>
        <w:jc w:val="both"/>
      </w:pPr>
      <w:r>
        <w:rPr>
          <w:rFonts w:ascii="Arial" w:cs="Arial" w:eastAsia="Arial" w:hAnsi="Arial"/>
          <w:i w:val="false"/>
          <w:iCs w:val="false"/>
          <w:color w:val="1A1A2E"/>
          <w:sz w:val="22"/>
          <w:szCs w:val="22"/>
        </w:rPr>
        <w:t xml:space="preserve">Qassandra governance is phased to match protocol maturity. All governance is epoch-scoped and Computor-aligned; it does not use Ethereum-style multisig patterns.</w:t>
      </w:r>
    </w:p>
    <w:p>
      <w:pPr>
        <w:spacing w:after="40" w:before="0"/>
      </w:pPr>
      <w:r>
        <w:t xml:space="preserve"/>
      </w:r>
    </w:p>
    <w:p>
      <w:pPr>
        <w:spacing w:after="140" w:before="0"/>
        <w:jc w:val="both"/>
      </w:pPr>
      <w:r>
        <w:rPr>
          <w:rFonts w:ascii="Arial" w:cs="Arial" w:eastAsia="Arial" w:hAnsi="Arial"/>
          <w:i w:val="false"/>
          <w:iCs w:val="false"/>
          <w:color w:val="1A1A2E"/>
          <w:sz w:val="22"/>
          <w:szCs w:val="22"/>
        </w:rPr>
        <w:t xml:space="preserve">Governance controls the following parameters:</w:t>
      </w:r>
    </w:p>
    <w:p>
      <w:pPr>
        <w:pStyle w:val="ListParagraph"/>
        <w:numPr>
          <w:ilvl w:val="0"/>
          <w:numId w:val="2"/>
        </w:numPr>
        <w:spacing w:after="80" w:before="40"/>
      </w:pPr>
      <w:r>
        <w:rPr>
          <w:rFonts w:ascii="Arial" w:cs="Arial" w:eastAsia="Arial" w:hAnsi="Arial"/>
          <w:color w:val="1A1A2E"/>
          <w:sz w:val="22"/>
          <w:szCs w:val="22"/>
        </w:rPr>
        <w:t xml:space="preserve">Approved market categories and oracle interface standards</w:t>
      </w:r>
    </w:p>
    <w:p>
      <w:pPr>
        <w:pStyle w:val="ListParagraph"/>
        <w:numPr>
          <w:ilvl w:val="0"/>
          <w:numId w:val="2"/>
        </w:numPr>
        <w:spacing w:after="80" w:before="40"/>
      </w:pPr>
      <w:r>
        <w:rPr>
          <w:rFonts w:ascii="Arial" w:cs="Arial" w:eastAsia="Arial" w:hAnsi="Arial"/>
          <w:color w:val="1A1A2E"/>
          <w:sz w:val="22"/>
          <w:szCs w:val="22"/>
        </w:rPr>
        <w:t xml:space="preserve">Market creation premiums and protocol allocation rates</w:t>
      </w:r>
    </w:p>
    <w:p>
      <w:pPr>
        <w:pStyle w:val="ListParagraph"/>
        <w:numPr>
          <w:ilvl w:val="0"/>
          <w:numId w:val="2"/>
        </w:numPr>
        <w:spacing w:after="80" w:before="40"/>
      </w:pPr>
      <w:r>
        <w:rPr>
          <w:rFonts w:ascii="Arial" w:cs="Arial" w:eastAsia="Arial" w:hAnsi="Arial"/>
          <w:color w:val="1A1A2E"/>
          <w:sz w:val="22"/>
          <w:szCs w:val="22"/>
        </w:rPr>
        <w:t xml:space="preserve">Dispute windows and resolution delay parameters</w:t>
      </w:r>
    </w:p>
    <w:p>
      <w:pPr>
        <w:pStyle w:val="ListParagraph"/>
        <w:numPr>
          <w:ilvl w:val="0"/>
          <w:numId w:val="2"/>
        </w:numPr>
        <w:spacing w:after="80" w:before="40"/>
      </w:pPr>
      <w:r>
        <w:rPr>
          <w:rFonts w:ascii="Arial" w:cs="Arial" w:eastAsia="Arial" w:hAnsi="Arial"/>
          <w:color w:val="1A1A2E"/>
          <w:sz w:val="22"/>
          <w:szCs w:val="22"/>
        </w:rPr>
        <w:t xml:space="preserve">Market and category exposure ceilings</w:t>
      </w:r>
    </w:p>
    <w:p>
      <w:pPr>
        <w:pStyle w:val="ListParagraph"/>
        <w:numPr>
          <w:ilvl w:val="0"/>
          <w:numId w:val="2"/>
        </w:numPr>
        <w:spacing w:after="80" w:before="40"/>
      </w:pPr>
      <w:r>
        <w:rPr>
          <w:rFonts w:ascii="Arial" w:cs="Arial" w:eastAsia="Arial" w:hAnsi="Arial"/>
          <w:color w:val="1A1A2E"/>
          <w:sz w:val="22"/>
          <w:szCs w:val="22"/>
        </w:rPr>
        <w:t xml:space="preserve">Emergency freeze trigger conditions</w:t>
      </w:r>
    </w:p>
    <w:p>
      <w:pPr>
        <w:pStyle w:val="ListParagraph"/>
        <w:numPr>
          <w:ilvl w:val="0"/>
          <w:numId w:val="2"/>
        </w:numPr>
        <w:spacing w:after="80" w:before="40"/>
      </w:pPr>
      <w:r>
        <w:rPr>
          <w:rFonts w:ascii="Arial" w:cs="Arial" w:eastAsia="Arial" w:hAnsi="Arial"/>
          <w:color w:val="1A1A2E"/>
          <w:sz w:val="22"/>
          <w:szCs w:val="22"/>
        </w:rPr>
        <w:t xml:space="preserve">Keeper and resolver eligibility requirements</w:t>
      </w:r>
    </w:p>
    <w:p>
      <w:pPr>
        <w:pStyle w:val="ListParagraph"/>
        <w:numPr>
          <w:ilvl w:val="0"/>
          <w:numId w:val="2"/>
        </w:numPr>
        <w:spacing w:after="80" w:before="40"/>
      </w:pPr>
      <w:r>
        <w:rPr>
          <w:rFonts w:ascii="Arial" w:cs="Arial" w:eastAsia="Arial" w:hAnsi="Arial"/>
          <w:color w:val="1A1A2E"/>
          <w:sz w:val="22"/>
          <w:szCs w:val="22"/>
        </w:rPr>
        <w:t xml:space="preserve">QDRA reward pool eligibility and distribution rules (subject to legal review)</w:t>
      </w:r>
    </w:p>
    <w:p>
      <w:pPr>
        <w:pStyle w:val="ListParagraph"/>
        <w:numPr>
          <w:ilvl w:val="0"/>
          <w:numId w:val="2"/>
        </w:numPr>
        <w:spacing w:after="80" w:before="40"/>
      </w:pPr>
      <w:r>
        <w:rPr>
          <w:rFonts w:ascii="Arial" w:cs="Arial" w:eastAsia="Arial" w:hAnsi="Arial"/>
          <w:color w:val="1A1A2E"/>
          <w:sz w:val="22"/>
          <w:szCs w:val="22"/>
        </w:rPr>
        <w:t xml:space="preserve">Treasury and security reserve allocations</w:t>
      </w:r>
    </w:p>
    <w:p>
      <w:pPr>
        <w:pStyle w:val="ListParagraph"/>
        <w:numPr>
          <w:ilvl w:val="0"/>
          <w:numId w:val="2"/>
        </w:numPr>
        <w:spacing w:after="80" w:before="40"/>
      </w:pPr>
      <w:r>
        <w:rPr>
          <w:rFonts w:ascii="Arial" w:cs="Arial" w:eastAsia="Arial" w:hAnsi="Arial"/>
          <w:color w:val="1A1A2E"/>
          <w:sz w:val="22"/>
          <w:szCs w:val="22"/>
        </w:rPr>
        <w:t xml:space="preserve">Burn allocation percentages</w:t>
      </w:r>
    </w:p>
    <w:p>
      <w:pPr>
        <w:pStyle w:val="ListParagraph"/>
        <w:numPr>
          <w:ilvl w:val="0"/>
          <w:numId w:val="2"/>
        </w:numPr>
        <w:spacing w:after="80" w:before="40"/>
      </w:pPr>
      <w:r>
        <w:rPr>
          <w:rFonts w:ascii="Arial" w:cs="Arial" w:eastAsia="Arial" w:hAnsi="Arial"/>
          <w:color w:val="1A1A2E"/>
          <w:sz w:val="22"/>
          <w:szCs w:val="22"/>
        </w:rPr>
        <w:t xml:space="preserve">Market-category activation deposit requirements</w:t>
      </w:r>
    </w:p>
    <w:p>
      <w:pPr>
        <w:pStyle w:val="ListParagraph"/>
        <w:numPr>
          <w:ilvl w:val="0"/>
          <w:numId w:val="2"/>
        </w:numPr>
        <w:spacing w:after="80" w:before="40"/>
      </w:pPr>
      <w:r>
        <w:rPr>
          <w:rFonts w:ascii="Arial" w:cs="Arial" w:eastAsia="Arial" w:hAnsi="Arial"/>
          <w:color w:val="1A1A2E"/>
          <w:sz w:val="22"/>
          <w:szCs w:val="22"/>
        </w:rPr>
        <w:t xml:space="preserve">Protocol upgrade paths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1A3A5C" w:sz="4"/>
              <w:right w:val="single" w:color="CCCCCC" w:sz="1"/>
            </w:tcBorders>
            <w:shd w:fill="1A3A5C" w:val="clear"/>
            <w:tcMar>
              <w:top w:type="dxa" w:w="100"/>
              <w:left w:type="dxa" w:w="140"/>
              <w:bottom w:type="dxa" w:w="100"/>
              <w:right w:type="dxa" w:w="80"/>
            </w:tcMar>
          </w:tcPr>
          <w:p>
            <w:r>
              <w:rPr>
                <w:rFonts w:ascii="Arial" w:cs="Arial" w:eastAsia="Arial" w:hAnsi="Arial"/>
                <w:b/>
                <w:bCs/>
                <w:color w:val="FFFFFF"/>
                <w:sz w:val="22"/>
                <w:szCs w:val="22"/>
              </w:rPr>
              <w:t xml:space="preserve">Governance Phase</w:t>
            </w:r>
          </w:p>
        </w:tc>
        <w:tc>
          <w:tcPr>
            <w:tcW w:type="dxa" w:w="4680"/>
            <w:tcBorders>
              <w:top w:val="single" w:color="CCCCCC" w:sz="1"/>
              <w:left w:val="single" w:color="CCCCCC" w:sz="1"/>
              <w:bottom w:val="single" w:color="1A3A5C" w:sz="4"/>
              <w:right w:val="single" w:color="CCCCCC" w:sz="1"/>
            </w:tcBorders>
            <w:shd w:fill="1A3A5C" w:val="clear"/>
            <w:tcMar>
              <w:top w:type="dxa" w:w="100"/>
              <w:left w:type="dxa" w:w="140"/>
              <w:bottom w:type="dxa" w:w="100"/>
              <w:right w:type="dxa" w:w="80"/>
            </w:tcMar>
          </w:tcPr>
          <w:p>
            <w:r>
              <w:rPr>
                <w:rFonts w:ascii="Arial" w:cs="Arial" w:eastAsia="Arial" w:hAnsi="Arial"/>
                <w:b/>
                <w:bCs/>
                <w:color w:val="FFFFFF"/>
                <w:sz w:val="22"/>
                <w:szCs w:val="22"/>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Phase 1 — Foundational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Core contributors manage early parameters transparently with public documentation. No external governance.</w:t>
            </w:r>
          </w:p>
        </w:tc>
      </w:tr>
      <w:tr>
        <w:tc>
          <w:tcPr>
            <w:tcW w:type="dxa" w:w="46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80"/>
            </w:tcMar>
          </w:tcPr>
          <w:p>
            <w:r>
              <w:rPr>
                <w:rFonts w:ascii="Arial" w:cs="Arial" w:eastAsia="Arial" w:hAnsi="Arial"/>
                <w:b w:val="false"/>
                <w:bCs w:val="false"/>
                <w:color w:val="1A1A2E"/>
                <w:sz w:val="20"/>
                <w:szCs w:val="20"/>
              </w:rPr>
              <w:t xml:space="preserve">Phase 2 — Community Review</w:t>
            </w:r>
          </w:p>
        </w:tc>
        <w:tc>
          <w:tcPr>
            <w:tcW w:type="dxa" w:w="46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80"/>
            </w:tcMar>
          </w:tcPr>
          <w:p>
            <w:r>
              <w:rPr>
                <w:rFonts w:ascii="Arial" w:cs="Arial" w:eastAsia="Arial" w:hAnsi="Arial"/>
                <w:b w:val="false"/>
                <w:bCs w:val="false"/>
                <w:color w:val="1A1A2E"/>
                <w:sz w:val="20"/>
                <w:szCs w:val="20"/>
              </w:rPr>
              <w:t xml:space="preserve">Market standards, oracle rules, and parameter changes become publicly reviewable prior to implementation.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Phase 3 — QDRA-Aligned Governance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Eligible QDRA-aligned participants may participate in governance, subject to technical and legal design.</w:t>
            </w:r>
          </w:p>
        </w:tc>
      </w:tr>
      <w:tr>
        <w:tc>
          <w:tcPr>
            <w:tcW w:type="dxa" w:w="46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80"/>
            </w:tcMar>
          </w:tcPr>
          <w:p>
            <w:r>
              <w:rPr>
                <w:rFonts w:ascii="Arial" w:cs="Arial" w:eastAsia="Arial" w:hAnsi="Arial"/>
                <w:b w:val="false"/>
                <w:bCs w:val="false"/>
                <w:color w:val="1A1A2E"/>
                <w:sz w:val="20"/>
                <w:szCs w:val="20"/>
              </w:rPr>
              <w:t xml:space="preserve">Phase 4 — Agent-Assisted Governance</w:t>
            </w:r>
          </w:p>
        </w:tc>
        <w:tc>
          <w:tcPr>
            <w:tcW w:type="dxa" w:w="46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80"/>
            </w:tcMar>
          </w:tcPr>
          <w:p>
            <w:r>
              <w:rPr>
                <w:rFonts w:ascii="Arial" w:cs="Arial" w:eastAsia="Arial" w:hAnsi="Arial"/>
                <w:b w:val="false"/>
                <w:bCs w:val="false"/>
                <w:color w:val="1A1A2E"/>
                <w:sz w:val="20"/>
                <w:szCs w:val="20"/>
              </w:rPr>
              <w:t xml:space="preserve">Agents monitor market performance, oracle reliability, settlement behavior, and risk parameters to inform governance.</w:t>
            </w:r>
          </w:p>
        </w:tc>
      </w:tr>
    </w:tbl>
    <w:p>
      <w:pPr>
        <w:spacing w:after="200" w:before="0"/>
      </w:pPr>
      <w:r>
        <w:t xml:space="preserve"/>
      </w:r>
    </w:p>
    <w:p>
      <w:r>
        <w:br w:type="page"/>
      </w:r>
    </w:p>
    <w:p>
      <w:pPr>
        <w:pStyle w:val="Heading1"/>
        <w:shd w:fill="1A3A5C" w:val="clear"/>
        <w:spacing w:after="200" w:before="440"/>
        <w:ind w:left="200" w:right="200"/>
      </w:pPr>
      <w:r>
        <w:rPr>
          <w:rFonts w:ascii="Arial" w:cs="Arial" w:eastAsia="Arial" w:hAnsi="Arial"/>
          <w:b/>
          <w:bCs/>
          <w:color w:val="FFFFFF"/>
          <w:sz w:val="36"/>
          <w:szCs w:val="36"/>
        </w:rPr>
        <w:t xml:space="preserve">22. Development Roadmap</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80"/>
            </w:tcMar>
          </w:tcPr>
          <w:p>
            <w:r>
              <w:rPr>
                <w:rFonts w:ascii="Arial" w:cs="Arial" w:eastAsia="Arial" w:hAnsi="Arial"/>
                <w:b/>
                <w:bCs/>
                <w:color w:val="FFFFFF"/>
                <w:sz w:val="22"/>
                <w:szCs w:val="22"/>
              </w:rPr>
              <w:t xml:space="preserve">Phase 0</w:t>
            </w:r>
          </w:p>
          <w:p>
            <w:r>
              <w:rPr>
                <w:rFonts w:ascii="Arial" w:cs="Arial" w:eastAsia="Arial" w:hAnsi="Arial"/>
                <w:color w:val="EAF2FB"/>
                <w:sz w:val="18"/>
                <w:szCs w:val="18"/>
              </w:rPr>
              <w:t xml:space="preserve">Specification</w:t>
            </w:r>
          </w:p>
        </w:tc>
        <w:tc>
          <w:tcPr>
            <w:tcW w:type="dxa" w:w="7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pStyle w:val="ListParagraph"/>
              <w:numPr>
                <w:ilvl w:val="0"/>
                <w:numId w:val="2"/>
              </w:numPr>
              <w:spacing w:after="40" w:before="20"/>
            </w:pPr>
            <w:r>
              <w:rPr>
                <w:rFonts w:ascii="Arial" w:cs="Arial" w:eastAsia="Arial" w:hAnsi="Arial"/>
                <w:color w:val="1A1A2E"/>
                <w:sz w:val="20"/>
                <w:szCs w:val="20"/>
              </w:rPr>
              <w:t xml:space="preserve">White paper and compact market schema design</w:t>
            </w:r>
          </w:p>
          <w:p>
            <w:pPr>
              <w:pStyle w:val="ListParagraph"/>
              <w:numPr>
                <w:ilvl w:val="0"/>
                <w:numId w:val="2"/>
              </w:numPr>
              <w:spacing w:after="40" w:before="20"/>
            </w:pPr>
            <w:r>
              <w:rPr>
                <w:rFonts w:ascii="Arial" w:cs="Arial" w:eastAsia="Arial" w:hAnsi="Arial"/>
                <w:color w:val="1A1A2E"/>
                <w:sz w:val="20"/>
                <w:szCs w:val="20"/>
              </w:rPr>
              <w:t xml:space="preserve">Metadata-hash architecture definition</w:t>
            </w:r>
          </w:p>
          <w:p>
            <w:pPr>
              <w:pStyle w:val="ListParagraph"/>
              <w:numPr>
                <w:ilvl w:val="0"/>
                <w:numId w:val="2"/>
              </w:numPr>
              <w:spacing w:after="40" w:before="20"/>
            </w:pPr>
            <w:r>
              <w:rPr>
                <w:rFonts w:ascii="Arial" w:cs="Arial" w:eastAsia="Arial" w:hAnsi="Arial"/>
                <w:color w:val="1A1A2E"/>
                <w:sz w:val="20"/>
                <w:szCs w:val="20"/>
              </w:rPr>
              <w:t xml:space="preserve">Oracle request format and QOMN template specification</w:t>
            </w:r>
          </w:p>
          <w:p>
            <w:pPr>
              <w:pStyle w:val="ListParagraph"/>
              <w:numPr>
                <w:ilvl w:val="0"/>
                <w:numId w:val="2"/>
              </w:numPr>
              <w:spacing w:after="40" w:before="20"/>
            </w:pPr>
            <w:r>
              <w:rPr>
                <w:rFonts w:ascii="Arial" w:cs="Arial" w:eastAsia="Arial" w:hAnsi="Arial"/>
                <w:color w:val="1A1A2E"/>
                <w:sz w:val="20"/>
                <w:szCs w:val="20"/>
              </w:rPr>
              <w:t xml:space="preserve">$QUBIC-only economic model design</w:t>
            </w:r>
          </w:p>
          <w:p>
            <w:pPr>
              <w:pStyle w:val="ListParagraph"/>
              <w:numPr>
                <w:ilvl w:val="0"/>
                <w:numId w:val="2"/>
              </w:numPr>
              <w:spacing w:after="40" w:before="20"/>
            </w:pPr>
            <w:r>
              <w:rPr>
                <w:rFonts w:ascii="Arial" w:cs="Arial" w:eastAsia="Arial" w:hAnsi="Arial"/>
                <w:color w:val="1A1A2E"/>
                <w:sz w:val="20"/>
                <w:szCs w:val="20"/>
              </w:rPr>
              <w:t xml:space="preserve">QDRA reward-alignment research and legal scoping</w:t>
            </w:r>
          </w:p>
        </w:tc>
      </w:tr>
      <w:tr>
        <w:tc>
          <w:tcPr>
            <w:tcW w:type="dxa" w:w="144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80"/>
            </w:tcMar>
          </w:tcPr>
          <w:p>
            <w:r>
              <w:rPr>
                <w:rFonts w:ascii="Arial" w:cs="Arial" w:eastAsia="Arial" w:hAnsi="Arial"/>
                <w:b/>
                <w:bCs/>
                <w:color w:val="FFFFFF"/>
                <w:sz w:val="22"/>
                <w:szCs w:val="22"/>
              </w:rPr>
              <w:t xml:space="preserve">v0</w:t>
            </w:r>
          </w:p>
          <w:p>
            <w:r>
              <w:rPr>
                <w:rFonts w:ascii="Arial" w:cs="Arial" w:eastAsia="Arial" w:hAnsi="Arial"/>
                <w:color w:val="EAF2FB"/>
                <w:sz w:val="18"/>
                <w:szCs w:val="18"/>
              </w:rPr>
              <w:t xml:space="preserve">Contract Foundation</w:t>
            </w:r>
          </w:p>
        </w:tc>
        <w:tc>
          <w:tcPr>
            <w:tcW w:type="dxa" w:w="7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pStyle w:val="ListParagraph"/>
              <w:numPr>
                <w:ilvl w:val="0"/>
                <w:numId w:val="2"/>
              </w:numPr>
              <w:spacing w:after="40" w:before="20"/>
            </w:pPr>
            <w:r>
              <w:rPr>
                <w:rFonts w:ascii="Arial" w:cs="Arial" w:eastAsia="Arial" w:hAnsi="Arial"/>
                <w:color w:val="1A1A2E"/>
                <w:sz w:val="20"/>
                <w:szCs w:val="20"/>
              </w:rPr>
              <w:t xml:space="preserve">Qassandra smart contract identity, versioning, and three-lane oracle taxonomy (metadata only)</w:t>
            </w:r>
          </w:p>
          <w:p>
            <w:pPr>
              <w:pStyle w:val="ListParagraph"/>
              <w:numPr>
                <w:ilvl w:val="0"/>
                <w:numId w:val="2"/>
              </w:numPr>
              <w:spacing w:after="40" w:before="20"/>
            </w:pPr>
            <w:r>
              <w:rPr>
                <w:rFonts w:ascii="Arial" w:cs="Arial" w:eastAsia="Arial" w:hAnsi="Arial"/>
                <w:color w:val="1A1A2E"/>
                <w:sz w:val="20"/>
                <w:szCs w:val="20"/>
              </w:rPr>
              <w:t xml:space="preserve">Minimal StateData: protocolVersion, protocolStatus, totalPingCount, fee accounting fields</w:t>
            </w:r>
          </w:p>
          <w:p>
            <w:pPr>
              <w:pStyle w:val="ListParagraph"/>
              <w:numPr>
                <w:ilvl w:val="0"/>
                <w:numId w:val="2"/>
              </w:numPr>
              <w:spacing w:after="40" w:before="20"/>
            </w:pPr>
            <w:r>
              <w:rPr>
                <w:rFonts w:ascii="Arial" w:cs="Arial" w:eastAsia="Arial" w:hAnsi="Arial"/>
                <w:color w:val="1A1A2E"/>
                <w:sz w:val="20"/>
                <w:szCs w:val="20"/>
              </w:rPr>
              <w:t xml:space="preserve">Ping procedure: invocation reward handling, underpayment refund, excess refund, fee split</w:t>
            </w:r>
          </w:p>
          <w:p>
            <w:pPr>
              <w:pStyle w:val="ListParagraph"/>
              <w:numPr>
                <w:ilvl w:val="0"/>
                <w:numId w:val="2"/>
              </w:numPr>
              <w:spacing w:after="40" w:before="20"/>
            </w:pPr>
            <w:r>
              <w:rPr>
                <w:rFonts w:ascii="Arial" w:cs="Arial" w:eastAsia="Arial" w:hAnsi="Arial"/>
                <w:color w:val="1A1A2E"/>
                <w:sz w:val="20"/>
                <w:szCs w:val="20"/>
              </w:rPr>
              <w:t xml:space="preserve">END_TICK deferred burn loop for execution sustainability</w:t>
            </w:r>
          </w:p>
          <w:p>
            <w:pPr>
              <w:pStyle w:val="ListParagraph"/>
              <w:numPr>
                <w:ilvl w:val="0"/>
                <w:numId w:val="2"/>
              </w:numPr>
              <w:spacing w:after="40" w:before="20"/>
            </w:pPr>
            <w:r>
              <w:rPr>
                <w:rFonts w:ascii="Arial" w:cs="Arial" w:eastAsia="Arial" w:hAnsi="Arial"/>
                <w:color w:val="1A1A2E"/>
                <w:sz w:val="20"/>
                <w:szCs w:val="20"/>
              </w:rPr>
              <w:t xml:space="preserve">Four read functions: GetProtocolInfo, GetFeeInfo, GetLaneInfo, GetBurnInfo</w:t>
            </w:r>
          </w:p>
          <w:p>
            <w:pPr>
              <w:pStyle w:val="ListParagraph"/>
              <w:numPr>
                <w:ilvl w:val="0"/>
                <w:numId w:val="2"/>
              </w:numPr>
              <w:spacing w:after="40" w:before="20"/>
            </w:pPr>
            <w:r>
              <w:rPr>
                <w:rFonts w:ascii="Arial" w:cs="Arial" w:eastAsia="Arial" w:hAnsi="Arial"/>
                <w:color w:val="1A1A2E"/>
                <w:sz w:val="20"/>
                <w:szCs w:val="20"/>
              </w:rPr>
              <w:t xml:space="preserve">Zero-warning compile compliance, SC Verification Tool pass, GoogleTest coverage</w:t>
            </w:r>
          </w:p>
          <w:p>
            <w:pPr>
              <w:pStyle w:val="ListParagraph"/>
              <w:numPr>
                <w:ilvl w:val="0"/>
                <w:numId w:val="2"/>
              </w:numPr>
              <w:spacing w:after="40" w:before="20"/>
            </w:pPr>
            <w:r>
              <w:rPr>
                <w:rFonts w:ascii="Arial" w:cs="Arial" w:eastAsia="Arial" w:hAnsi="Arial"/>
                <w:color w:val="1A1A2E"/>
                <w:sz w:val="20"/>
                <w:szCs w:val="20"/>
              </w:rPr>
              <w:t xml:space="preserve">Prototype-only manual fallback resolution for early test markets, to be replaced or strictly constrained by Qubic-native oracle and governance procedures before production deployment</w:t>
            </w:r>
          </w:p>
        </w:tc>
      </w:tr>
      <w:tr>
        <w:tc>
          <w:tcPr>
            <w:tcW w:type="dxa" w:w="144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80"/>
            </w:tcMar>
          </w:tcPr>
          <w:p>
            <w:r>
              <w:rPr>
                <w:rFonts w:ascii="Arial" w:cs="Arial" w:eastAsia="Arial" w:hAnsi="Arial"/>
                <w:b/>
                <w:bCs/>
                <w:color w:val="FFFFFF"/>
                <w:sz w:val="22"/>
                <w:szCs w:val="22"/>
              </w:rPr>
              <w:t xml:space="preserve">V1</w:t>
            </w:r>
          </w:p>
          <w:p>
            <w:r>
              <w:rPr>
                <w:rFonts w:ascii="Arial" w:cs="Arial" w:eastAsia="Arial" w:hAnsi="Arial"/>
                <w:color w:val="EAF2FB"/>
                <w:sz w:val="18"/>
                <w:szCs w:val="18"/>
              </w:rPr>
              <w:t xml:space="preserve">CCIP-Ready Interoperability</w:t>
            </w:r>
          </w:p>
        </w:tc>
        <w:tc>
          <w:tcPr>
            <w:tcW w:type="dxa" w:w="7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pStyle w:val="ListParagraph"/>
              <w:numPr>
                <w:ilvl w:val="0"/>
                <w:numId w:val="2"/>
              </w:numPr>
              <w:spacing w:after="40" w:before="20"/>
            </w:pPr>
            <w:r>
              <w:rPr>
                <w:rFonts w:ascii="Arial" w:cs="Arial" w:eastAsia="Arial" w:hAnsi="Arial"/>
                <w:color w:val="1A1A2E"/>
                <w:sz w:val="20"/>
                <w:szCs w:val="20"/>
              </w:rPr>
              <w:t xml:space="preserve">External message adapter layer: source protocol, chain selector, sender hash, message hash, payload hash, market ID, expiry tick</w:t>
            </w:r>
          </w:p>
          <w:p>
            <w:pPr>
              <w:pStyle w:val="ListParagraph"/>
              <w:numPr>
                <w:ilvl w:val="0"/>
                <w:numId w:val="2"/>
              </w:numPr>
              <w:spacing w:after="40" w:before="20"/>
            </w:pPr>
            <w:r>
              <w:rPr>
                <w:rFonts w:ascii="Arial" w:cs="Arial" w:eastAsia="Arial" w:hAnsi="Arial"/>
                <w:color w:val="1A1A2E"/>
                <w:sz w:val="20"/>
                <w:szCs w:val="20"/>
              </w:rPr>
              <w:t xml:space="preserve">Canonical market metadata schema: market type, base/quote asset refs, oracle model, resolution model, settlement asset locked to $QUBIC, metadata hash, external compatibility flags</w:t>
            </w:r>
          </w:p>
          <w:p>
            <w:pPr>
              <w:pStyle w:val="ListParagraph"/>
              <w:numPr>
                <w:ilvl w:val="0"/>
                <w:numId w:val="2"/>
              </w:numPr>
              <w:spacing w:after="40" w:before="20"/>
            </w:pPr>
            <w:r>
              <w:rPr>
                <w:rFonts w:ascii="Arial" w:cs="Arial" w:eastAsia="Arial" w:hAnsi="Arial"/>
                <w:color w:val="1A1A2E"/>
                <w:sz w:val="20"/>
                <w:szCs w:val="20"/>
              </w:rPr>
              <w:t xml:space="preserve">Cross-chain proof hooks: source/destination chain selectors, message ID hash, payload hash, proof hash, proof status, finality level</w:t>
            </w:r>
          </w:p>
          <w:p>
            <w:pPr>
              <w:pStyle w:val="ListParagraph"/>
              <w:numPr>
                <w:ilvl w:val="0"/>
                <w:numId w:val="2"/>
              </w:numPr>
              <w:spacing w:after="40" w:before="20"/>
            </w:pPr>
            <w:r>
              <w:rPr>
                <w:rFonts w:ascii="Arial" w:cs="Arial" w:eastAsia="Arial" w:hAnsi="Arial"/>
                <w:color w:val="1A1A2E"/>
                <w:sz w:val="20"/>
                <w:szCs w:val="20"/>
              </w:rPr>
              <w:t xml:space="preserve">Deterministic replay protection: market-local caches, expiry ticks, fixed-size ring buffer, tombstone-aware probing, finalized archive hashes</w:t>
            </w:r>
          </w:p>
          <w:p>
            <w:pPr>
              <w:pStyle w:val="ListParagraph"/>
              <w:numPr>
                <w:ilvl w:val="0"/>
                <w:numId w:val="2"/>
              </w:numPr>
              <w:spacing w:after="40" w:before="20"/>
            </w:pPr>
            <w:r>
              <w:rPr>
                <w:rFonts w:ascii="Arial" w:cs="Arial" w:eastAsia="Arial" w:hAnsi="Arial"/>
                <w:color w:val="1A1A2E"/>
                <w:sz w:val="20"/>
                <w:szCs w:val="20"/>
              </w:rPr>
              <w:t xml:space="preserve">V1 settlement boundary: all settlement, fees, oracle-resolution allocation, rewards, and burns remain denominated exclusively in $QUBIC</w:t>
            </w:r>
          </w:p>
          <w:p>
            <w:pPr>
              <w:pStyle w:val="ListParagraph"/>
              <w:numPr>
                <w:ilvl w:val="0"/>
                <w:numId w:val="2"/>
              </w:numPr>
              <w:spacing w:after="40" w:before="20"/>
            </w:pPr>
            <w:r>
              <w:rPr>
                <w:rFonts w:ascii="Arial" w:cs="Arial" w:eastAsia="Arial" w:hAnsi="Arial"/>
                <w:color w:val="1A1A2E"/>
                <w:sz w:val="20"/>
                <w:szCs w:val="20"/>
              </w:rPr>
              <w:t xml:space="preserve">External signals as oracle context only—never as settlement assets</w:t>
            </w:r>
          </w:p>
        </w:tc>
      </w:tr>
      <w:tr>
        <w:tc>
          <w:tcPr>
            <w:tcW w:type="dxa" w:w="144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80"/>
            </w:tcMar>
          </w:tcPr>
          <w:p>
            <w:r>
              <w:rPr>
                <w:rFonts w:ascii="Arial" w:cs="Arial" w:eastAsia="Arial" w:hAnsi="Arial"/>
                <w:b/>
                <w:bCs/>
                <w:color w:val="FFFFFF"/>
                <w:sz w:val="22"/>
                <w:szCs w:val="22"/>
              </w:rPr>
              <w:t xml:space="preserve">Phase 2</w:t>
            </w:r>
          </w:p>
          <w:p>
            <w:r>
              <w:rPr>
                <w:rFonts w:ascii="Arial" w:cs="Arial" w:eastAsia="Arial" w:hAnsi="Arial"/>
                <w:color w:val="EAF2FB"/>
                <w:sz w:val="18"/>
                <w:szCs w:val="18"/>
              </w:rPr>
              <w:t xml:space="preserve">Oracle Integration</w:t>
            </w:r>
          </w:p>
        </w:tc>
        <w:tc>
          <w:tcPr>
            <w:tcW w:type="dxa" w:w="7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pStyle w:val="ListParagraph"/>
              <w:numPr>
                <w:ilvl w:val="0"/>
                <w:numId w:val="2"/>
              </w:numPr>
              <w:spacing w:after="40" w:before="20"/>
            </w:pPr>
            <w:r>
              <w:rPr>
                <w:rFonts w:ascii="Arial" w:cs="Arial" w:eastAsia="Arial" w:hAnsi="Arial"/>
                <w:color w:val="1A1A2E"/>
                <w:sz w:val="20"/>
                <w:szCs w:val="20"/>
              </w:rPr>
              <w:t xml:space="preserve">Qubic-native OracleQuery / OracleReply integration</w:t>
            </w:r>
          </w:p>
          <w:p>
            <w:pPr>
              <w:pStyle w:val="ListParagraph"/>
              <w:numPr>
                <w:ilvl w:val="0"/>
                <w:numId w:val="2"/>
              </w:numPr>
              <w:spacing w:after="40" w:before="20"/>
            </w:pPr>
            <w:r>
              <w:rPr>
                <w:rFonts w:ascii="Arial" w:cs="Arial" w:eastAsia="Arial" w:hAnsi="Arial"/>
                <w:color w:val="1A1A2E"/>
                <w:sz w:val="20"/>
                <w:szCs w:val="20"/>
              </w:rPr>
              <w:t xml:space="preserve">Oracle status tracking and support for any commit, reveal, quorum, or validation flow exposed by Qubic-native oracle mechanics</w:t>
            </w:r>
          </w:p>
          <w:p>
            <w:pPr>
              <w:pStyle w:val="ListParagraph"/>
              <w:numPr>
                <w:ilvl w:val="0"/>
                <w:numId w:val="2"/>
              </w:numPr>
              <w:spacing w:after="40" w:before="20"/>
            </w:pPr>
            <w:r>
              <w:rPr>
                <w:rFonts w:ascii="Arial" w:cs="Arial" w:eastAsia="Arial" w:hAnsi="Arial"/>
                <w:color w:val="1A1A2E"/>
                <w:sz w:val="20"/>
                <w:szCs w:val="20"/>
              </w:rPr>
              <w:t xml:space="preserve">Quorum-validated reply mapping</w:t>
            </w:r>
          </w:p>
          <w:p>
            <w:pPr>
              <w:pStyle w:val="ListParagraph"/>
              <w:numPr>
                <w:ilvl w:val="0"/>
                <w:numId w:val="2"/>
              </w:numPr>
              <w:spacing w:after="40" w:before="20"/>
            </w:pPr>
            <w:r>
              <w:rPr>
                <w:rFonts w:ascii="Arial" w:cs="Arial" w:eastAsia="Arial" w:hAnsi="Arial"/>
                <w:color w:val="1A1A2E"/>
                <w:sz w:val="20"/>
                <w:szCs w:val="20"/>
              </w:rPr>
              <w:t xml:space="preserve">Dispute window and invalid-market fallback with refund logic</w:t>
            </w:r>
          </w:p>
          <w:p>
            <w:pPr>
              <w:pStyle w:val="ListParagraph"/>
              <w:numPr>
                <w:ilvl w:val="0"/>
                <w:numId w:val="2"/>
              </w:numPr>
              <w:spacing w:after="40" w:before="20"/>
            </w:pPr>
            <w:r>
              <w:rPr>
                <w:rFonts w:ascii="Arial" w:cs="Arial" w:eastAsia="Arial" w:hAnsi="Arial"/>
                <w:color w:val="1A1A2E"/>
                <w:sz w:val="20"/>
                <w:szCs w:val="20"/>
              </w:rPr>
              <w:t xml:space="preserve">CCIP-sourced oracle data validation through V1 proof hook framework</w:t>
            </w:r>
          </w:p>
        </w:tc>
      </w:tr>
      <w:tr>
        <w:tc>
          <w:tcPr>
            <w:tcW w:type="dxa" w:w="144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80"/>
            </w:tcMar>
          </w:tcPr>
          <w:p>
            <w:r>
              <w:rPr>
                <w:rFonts w:ascii="Arial" w:cs="Arial" w:eastAsia="Arial" w:hAnsi="Arial"/>
                <w:b/>
                <w:bCs/>
                <w:color w:val="FFFFFF"/>
                <w:sz w:val="22"/>
                <w:szCs w:val="22"/>
              </w:rPr>
              <w:t xml:space="preserve">Phase 3</w:t>
            </w:r>
          </w:p>
          <w:p>
            <w:r>
              <w:rPr>
                <w:rFonts w:ascii="Arial" w:cs="Arial" w:eastAsia="Arial" w:hAnsi="Arial"/>
                <w:color w:val="EAF2FB"/>
                <w:sz w:val="18"/>
                <w:szCs w:val="18"/>
              </w:rPr>
              <w:t xml:space="preserve">Risk &amp; Governance</w:t>
            </w:r>
          </w:p>
        </w:tc>
        <w:tc>
          <w:tcPr>
            <w:tcW w:type="dxa" w:w="7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pStyle w:val="ListParagraph"/>
              <w:numPr>
                <w:ilvl w:val="0"/>
                <w:numId w:val="2"/>
              </w:numPr>
              <w:spacing w:after="40" w:before="20"/>
            </w:pPr>
            <w:r>
              <w:rPr>
                <w:rFonts w:ascii="Arial" w:cs="Arial" w:eastAsia="Arial" w:hAnsi="Arial"/>
                <w:color w:val="1A1A2E"/>
                <w:sz w:val="20"/>
                <w:szCs w:val="20"/>
              </w:rPr>
              <w:t xml:space="preserve">Market and category exposure ceilings (local failure bounding)</w:t>
            </w:r>
          </w:p>
          <w:p>
            <w:pPr>
              <w:pStyle w:val="ListParagraph"/>
              <w:numPr>
                <w:ilvl w:val="0"/>
                <w:numId w:val="2"/>
              </w:numPr>
              <w:spacing w:after="40" w:before="20"/>
            </w:pPr>
            <w:r>
              <w:rPr>
                <w:rFonts w:ascii="Arial" w:cs="Arial" w:eastAsia="Arial" w:hAnsi="Arial"/>
                <w:color w:val="1A1A2E"/>
                <w:sz w:val="20"/>
                <w:szCs w:val="20"/>
              </w:rPr>
              <w:t xml:space="preserve">Emergency freeze and invalid-market logic (market-local scope)</w:t>
            </w:r>
          </w:p>
          <w:p>
            <w:pPr>
              <w:pStyle w:val="ListParagraph"/>
              <w:numPr>
                <w:ilvl w:val="0"/>
                <w:numId w:val="2"/>
              </w:numPr>
              <w:spacing w:after="40" w:before="20"/>
            </w:pPr>
            <w:r>
              <w:rPr>
                <w:rFonts w:ascii="Arial" w:cs="Arial" w:eastAsia="Arial" w:hAnsi="Arial"/>
                <w:color w:val="1A1A2E"/>
                <w:sz w:val="20"/>
                <w:szCs w:val="20"/>
              </w:rPr>
              <w:t xml:space="preserve">Keeper rules and dispute-bond mechanics</w:t>
            </w:r>
          </w:p>
          <w:p>
            <w:pPr>
              <w:pStyle w:val="ListParagraph"/>
              <w:numPr>
                <w:ilvl w:val="0"/>
                <w:numId w:val="2"/>
              </w:numPr>
              <w:spacing w:after="40" w:before="20"/>
            </w:pPr>
            <w:r>
              <w:rPr>
                <w:rFonts w:ascii="Arial" w:cs="Arial" w:eastAsia="Arial" w:hAnsi="Arial"/>
                <w:color w:val="1A1A2E"/>
                <w:sz w:val="20"/>
                <w:szCs w:val="20"/>
              </w:rPr>
              <w:t xml:space="preserve">Governance parameter activation (epoch-scoped)</w:t>
            </w:r>
          </w:p>
          <w:p>
            <w:pPr>
              <w:pStyle w:val="ListParagraph"/>
              <w:numPr>
                <w:ilvl w:val="0"/>
                <w:numId w:val="2"/>
              </w:numPr>
              <w:spacing w:after="40" w:before="20"/>
            </w:pPr>
            <w:r>
              <w:rPr>
                <w:rFonts w:ascii="Arial" w:cs="Arial" w:eastAsia="Arial" w:hAnsi="Arial"/>
                <w:color w:val="1A1A2E"/>
                <w:sz w:val="20"/>
                <w:szCs w:val="20"/>
              </w:rPr>
              <w:t xml:space="preserve">V1 external compatibility flag governance (approved chain selectors and source protocols)</w:t>
            </w:r>
          </w:p>
        </w:tc>
      </w:tr>
      <w:tr>
        <w:tc>
          <w:tcPr>
            <w:tcW w:type="dxa" w:w="144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80"/>
            </w:tcMar>
          </w:tcPr>
          <w:p>
            <w:r>
              <w:rPr>
                <w:rFonts w:ascii="Arial" w:cs="Arial" w:eastAsia="Arial" w:hAnsi="Arial"/>
                <w:b/>
                <w:bCs/>
                <w:color w:val="FFFFFF"/>
                <w:sz w:val="22"/>
                <w:szCs w:val="22"/>
              </w:rPr>
              <w:t xml:space="preserve">Phase 4</w:t>
            </w:r>
          </w:p>
          <w:p>
            <w:r>
              <w:rPr>
                <w:rFonts w:ascii="Arial" w:cs="Arial" w:eastAsia="Arial" w:hAnsi="Arial"/>
                <w:color w:val="EAF2FB"/>
                <w:sz w:val="18"/>
                <w:szCs w:val="18"/>
              </w:rPr>
              <w:t xml:space="preserve">Agent-Readable Indexer</w:t>
            </w:r>
          </w:p>
        </w:tc>
        <w:tc>
          <w:tcPr>
            <w:tcW w:type="dxa" w:w="7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pStyle w:val="ListParagraph"/>
              <w:numPr>
                <w:ilvl w:val="0"/>
                <w:numId w:val="2"/>
              </w:numPr>
              <w:spacing w:after="40" w:before="20"/>
            </w:pPr>
            <w:r>
              <w:rPr>
                <w:rFonts w:ascii="Arial" w:cs="Arial" w:eastAsia="Arial" w:hAnsi="Arial"/>
                <w:color w:val="1A1A2E"/>
                <w:sz w:val="20"/>
                <w:szCs w:val="20"/>
              </w:rPr>
              <w:t xml:space="preserve">Market context indexer with agent schema</w:t>
            </w:r>
          </w:p>
          <w:p>
            <w:pPr>
              <w:pStyle w:val="ListParagraph"/>
              <w:numPr>
                <w:ilvl w:val="0"/>
                <w:numId w:val="2"/>
              </w:numPr>
              <w:spacing w:after="40" w:before="20"/>
            </w:pPr>
            <w:r>
              <w:rPr>
                <w:rFonts w:ascii="Arial" w:cs="Arial" w:eastAsia="Arial" w:hAnsi="Arial"/>
                <w:color w:val="1A1A2E"/>
                <w:sz w:val="20"/>
                <w:szCs w:val="20"/>
              </w:rPr>
              <w:t xml:space="preserve">Probability feeds and historical forecast data</w:t>
            </w:r>
          </w:p>
          <w:p>
            <w:pPr>
              <w:pStyle w:val="ListParagraph"/>
              <w:numPr>
                <w:ilvl w:val="0"/>
                <w:numId w:val="2"/>
              </w:numPr>
              <w:spacing w:after="40" w:before="20"/>
            </w:pPr>
            <w:r>
              <w:rPr>
                <w:rFonts w:ascii="Arial" w:cs="Arial" w:eastAsia="Arial" w:hAnsi="Arial"/>
                <w:color w:val="1A1A2E"/>
                <w:sz w:val="20"/>
                <w:szCs w:val="20"/>
              </w:rPr>
              <w:t xml:space="preserve">Metadata-hash verification endpoint</w:t>
            </w:r>
          </w:p>
          <w:p>
            <w:pPr>
              <w:pStyle w:val="ListParagraph"/>
              <w:numPr>
                <w:ilvl w:val="0"/>
                <w:numId w:val="2"/>
              </w:numPr>
              <w:spacing w:after="40" w:before="20"/>
            </w:pPr>
            <w:r>
              <w:rPr>
                <w:rFonts w:ascii="Arial" w:cs="Arial" w:eastAsia="Arial" w:hAnsi="Arial"/>
                <w:color w:val="1A1A2E"/>
                <w:sz w:val="20"/>
                <w:szCs w:val="20"/>
              </w:rPr>
              <w:t xml:space="preserve">Agent-access credits and periodic $QUBIC settlement mechanism</w:t>
            </w:r>
          </w:p>
          <w:p>
            <w:pPr>
              <w:pStyle w:val="ListParagraph"/>
              <w:numPr>
                <w:ilvl w:val="0"/>
                <w:numId w:val="2"/>
              </w:numPr>
              <w:spacing w:after="40" w:before="20"/>
            </w:pPr>
            <w:r>
              <w:rPr>
                <w:rFonts w:ascii="Arial" w:cs="Arial" w:eastAsia="Arial" w:hAnsi="Arial"/>
                <w:color w:val="1A1A2E"/>
                <w:sz w:val="20"/>
                <w:szCs w:val="20"/>
              </w:rPr>
              <w:t xml:space="preserve">Canonical metadata and proof hook status feeds for agent consumption</w:t>
            </w:r>
          </w:p>
        </w:tc>
      </w:tr>
      <w:tr>
        <w:tc>
          <w:tcPr>
            <w:tcW w:type="dxa" w:w="144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80"/>
            </w:tcMar>
          </w:tcPr>
          <w:p>
            <w:r>
              <w:rPr>
                <w:rFonts w:ascii="Arial" w:cs="Arial" w:eastAsia="Arial" w:hAnsi="Arial"/>
                <w:b/>
                <w:bCs/>
                <w:color w:val="FFFFFF"/>
                <w:sz w:val="22"/>
                <w:szCs w:val="22"/>
              </w:rPr>
              <w:t xml:space="preserve">Phase 5</w:t>
            </w:r>
          </w:p>
          <w:p>
            <w:r>
              <w:rPr>
                <w:rFonts w:ascii="Arial" w:cs="Arial" w:eastAsia="Arial" w:hAnsi="Arial"/>
                <w:color w:val="EAF2FB"/>
                <w:sz w:val="18"/>
                <w:szCs w:val="18"/>
              </w:rPr>
              <w:t xml:space="preserve">QDRA Reward Alignment</w:t>
            </w:r>
          </w:p>
        </w:tc>
        <w:tc>
          <w:tcPr>
            <w:tcW w:type="dxa" w:w="7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pStyle w:val="ListParagraph"/>
              <w:numPr>
                <w:ilvl w:val="0"/>
                <w:numId w:val="2"/>
              </w:numPr>
              <w:spacing w:after="40" w:before="20"/>
            </w:pPr>
            <w:r>
              <w:rPr>
                <w:rFonts w:ascii="Arial" w:cs="Arial" w:eastAsia="Arial" w:hAnsi="Arial"/>
                <w:color w:val="1A1A2E"/>
                <w:sz w:val="20"/>
                <w:szCs w:val="20"/>
              </w:rPr>
              <w:t xml:space="preserve">$QUBIC-denominated governed reward pool</w:t>
            </w:r>
          </w:p>
          <w:p>
            <w:pPr>
              <w:pStyle w:val="ListParagraph"/>
              <w:numPr>
                <w:ilvl w:val="0"/>
                <w:numId w:val="2"/>
              </w:numPr>
              <w:spacing w:after="40" w:before="20"/>
            </w:pPr>
            <w:r>
              <w:rPr>
                <w:rFonts w:ascii="Arial" w:cs="Arial" w:eastAsia="Arial" w:hAnsi="Arial"/>
                <w:color w:val="1A1A2E"/>
                <w:sz w:val="20"/>
                <w:szCs w:val="20"/>
              </w:rPr>
              <w:t xml:space="preserve">QDRA eligibility and active-locker / keeper participation model</w:t>
            </w:r>
          </w:p>
          <w:p>
            <w:pPr>
              <w:pStyle w:val="ListParagraph"/>
              <w:numPr>
                <w:ilvl w:val="0"/>
                <w:numId w:val="2"/>
              </w:numPr>
              <w:spacing w:after="40" w:before="20"/>
            </w:pPr>
            <w:r>
              <w:rPr>
                <w:rFonts w:ascii="Arial" w:cs="Arial" w:eastAsia="Arial" w:hAnsi="Arial"/>
                <w:color w:val="1A1A2E"/>
                <w:sz w:val="20"/>
                <w:szCs w:val="20"/>
              </w:rPr>
              <w:t xml:space="preserve">Governance-controlled reward distribution</w:t>
            </w:r>
          </w:p>
          <w:p>
            <w:pPr>
              <w:pStyle w:val="ListParagraph"/>
              <w:numPr>
                <w:ilvl w:val="0"/>
                <w:numId w:val="2"/>
              </w:numPr>
              <w:spacing w:after="40" w:before="20"/>
            </w:pPr>
            <w:r>
              <w:rPr>
                <w:rFonts w:ascii="Arial" w:cs="Arial" w:eastAsia="Arial" w:hAnsi="Arial"/>
                <w:color w:val="1A1A2E"/>
                <w:sz w:val="20"/>
                <w:szCs w:val="20"/>
              </w:rPr>
              <w:t xml:space="preserve">Legal and compliance review (required before activation)</w:t>
            </w:r>
          </w:p>
        </w:tc>
      </w:tr>
      <w:tr>
        <w:tc>
          <w:tcPr>
            <w:tcW w:type="dxa" w:w="144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80"/>
            </w:tcMar>
          </w:tcPr>
          <w:p>
            <w:r>
              <w:rPr>
                <w:rFonts w:ascii="Arial" w:cs="Arial" w:eastAsia="Arial" w:hAnsi="Arial"/>
                <w:b/>
                <w:bCs/>
                <w:color w:val="FFFFFF"/>
                <w:sz w:val="22"/>
                <w:szCs w:val="22"/>
              </w:rPr>
              <w:t xml:space="preserve">Phase 6</w:t>
            </w:r>
          </w:p>
          <w:p>
            <w:r>
              <w:rPr>
                <w:rFonts w:ascii="Arial" w:cs="Arial" w:eastAsia="Arial" w:hAnsi="Arial"/>
                <w:color w:val="EAF2FB"/>
                <w:sz w:val="18"/>
                <w:szCs w:val="18"/>
              </w:rPr>
              <w:t xml:space="preserve">Computation &amp; External Signal Markets</w:t>
            </w:r>
          </w:p>
        </w:tc>
        <w:tc>
          <w:tcPr>
            <w:tcW w:type="dxa" w:w="7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pPr>
              <w:pStyle w:val="ListParagraph"/>
              <w:numPr>
                <w:ilvl w:val="0"/>
                <w:numId w:val="2"/>
              </w:numPr>
              <w:spacing w:after="40" w:before="20"/>
            </w:pPr>
            <w:r>
              <w:rPr>
                <w:rFonts w:ascii="Arial" w:cs="Arial" w:eastAsia="Arial" w:hAnsi="Arial"/>
                <w:color w:val="1A1A2E"/>
                <w:sz w:val="20"/>
                <w:szCs w:val="20"/>
              </w:rPr>
              <w:t xml:space="preserve">Computation-demand market category</w:t>
            </w:r>
          </w:p>
          <w:p>
            <w:pPr>
              <w:pStyle w:val="ListParagraph"/>
              <w:numPr>
                <w:ilvl w:val="0"/>
                <w:numId w:val="2"/>
              </w:numPr>
              <w:spacing w:after="40" w:before="20"/>
            </w:pPr>
            <w:r>
              <w:rPr>
                <w:rFonts w:ascii="Arial" w:cs="Arial" w:eastAsia="Arial" w:hAnsi="Arial"/>
                <w:color w:val="1A1A2E"/>
                <w:sz w:val="20"/>
                <w:szCs w:val="20"/>
              </w:rPr>
              <w:t xml:space="preserve">AI-agent performance markets</w:t>
            </w:r>
          </w:p>
          <w:p>
            <w:pPr>
              <w:pStyle w:val="ListParagraph"/>
              <w:numPr>
                <w:ilvl w:val="0"/>
                <w:numId w:val="2"/>
              </w:numPr>
              <w:spacing w:after="40" w:before="20"/>
            </w:pPr>
            <w:r>
              <w:rPr>
                <w:rFonts w:ascii="Arial" w:cs="Arial" w:eastAsia="Arial" w:hAnsi="Arial"/>
                <w:color w:val="1A1A2E"/>
                <w:sz w:val="20"/>
                <w:szCs w:val="20"/>
              </w:rPr>
              <w:t xml:space="preserve">External network signal markets (signals as reference data only; settlement in $QUBIC)</w:t>
            </w:r>
          </w:p>
          <w:p>
            <w:pPr>
              <w:pStyle w:val="ListParagraph"/>
              <w:numPr>
                <w:ilvl w:val="0"/>
                <w:numId w:val="2"/>
              </w:numPr>
              <w:spacing w:after="40" w:before="20"/>
            </w:pPr>
            <w:r>
              <w:rPr>
                <w:rFonts w:ascii="Arial" w:cs="Arial" w:eastAsia="Arial" w:hAnsi="Arial"/>
                <w:color w:val="1A1A2E"/>
                <w:sz w:val="20"/>
                <w:szCs w:val="20"/>
              </w:rPr>
              <w:t xml:space="preserve">Aigarth / Neuraxon integration pathway research</w:t>
            </w:r>
          </w:p>
          <w:p>
            <w:pPr>
              <w:pStyle w:val="ListParagraph"/>
              <w:numPr>
                <w:ilvl w:val="0"/>
                <w:numId w:val="2"/>
              </w:numPr>
              <w:spacing w:after="40" w:before="20"/>
            </w:pPr>
            <w:r>
              <w:rPr>
                <w:rFonts w:ascii="Arial" w:cs="Arial" w:eastAsia="Arial" w:hAnsi="Arial"/>
                <w:color w:val="1A1A2E"/>
                <w:sz w:val="20"/>
                <w:szCs w:val="20"/>
              </w:rPr>
              <w:t xml:space="preserve">Expanded V1 adapter registry for additional interoperability protocols</w:t>
            </w:r>
          </w:p>
        </w:tc>
      </w:tr>
    </w:tbl>
    <w:p>
      <w:pPr>
        <w:spacing w:after="200" w:before="0"/>
      </w:pPr>
      <w:r>
        <w:t xml:space="preserve"/>
      </w:r>
    </w:p>
    <w:p>
      <w:r>
        <w:br w:type="page"/>
      </w:r>
    </w:p>
    <w:p>
      <w:pPr>
        <w:pStyle w:val="Heading1"/>
        <w:shd w:fill="1A3A5C" w:val="clear"/>
        <w:spacing w:after="200" w:before="440"/>
        <w:ind w:left="200" w:right="200"/>
      </w:pPr>
      <w:r>
        <w:rPr>
          <w:rFonts w:ascii="Arial" w:cs="Arial" w:eastAsia="Arial" w:hAnsi="Arial"/>
          <w:b/>
          <w:bCs/>
          <w:color w:val="FFFFFF"/>
          <w:sz w:val="36"/>
          <w:szCs w:val="36"/>
        </w:rPr>
        <w:t xml:space="preserve">23. Risks and Limitations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1A3A5C" w:sz="4"/>
              <w:right w:val="single" w:color="CCCCCC" w:sz="1"/>
            </w:tcBorders>
            <w:shd w:fill="1A3A5C" w:val="clear"/>
            <w:tcMar>
              <w:top w:type="dxa" w:w="100"/>
              <w:left w:type="dxa" w:w="140"/>
              <w:bottom w:type="dxa" w:w="100"/>
              <w:right w:type="dxa" w:w="80"/>
            </w:tcMar>
          </w:tcPr>
          <w:p>
            <w:r>
              <w:rPr>
                <w:rFonts w:ascii="Arial" w:cs="Arial" w:eastAsia="Arial" w:hAnsi="Arial"/>
                <w:b/>
                <w:bCs/>
                <w:color w:val="FFFFFF"/>
                <w:sz w:val="22"/>
                <w:szCs w:val="22"/>
              </w:rPr>
              <w:t xml:space="preserve">Risk</w:t>
            </w:r>
          </w:p>
        </w:tc>
        <w:tc>
          <w:tcPr>
            <w:tcW w:type="dxa" w:w="4680"/>
            <w:tcBorders>
              <w:top w:val="single" w:color="CCCCCC" w:sz="1"/>
              <w:left w:val="single" w:color="CCCCCC" w:sz="1"/>
              <w:bottom w:val="single" w:color="1A3A5C" w:sz="4"/>
              <w:right w:val="single" w:color="CCCCCC" w:sz="1"/>
            </w:tcBorders>
            <w:shd w:fill="1A3A5C" w:val="clear"/>
            <w:tcMar>
              <w:top w:type="dxa" w:w="100"/>
              <w:left w:type="dxa" w:w="140"/>
              <w:bottom w:type="dxa" w:w="100"/>
              <w:right w:type="dxa" w:w="80"/>
            </w:tcMar>
          </w:tcPr>
          <w:p>
            <w:r>
              <w:rPr>
                <w:rFonts w:ascii="Arial" w:cs="Arial" w:eastAsia="Arial" w:hAnsi="Arial"/>
                <w:b/>
                <w:bCs/>
                <w:color w:val="FFFFFF"/>
                <w:sz w:val="22"/>
                <w:szCs w:val="22"/>
              </w:rPr>
              <w:t xml:space="preserve">Mitigation Approach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Oracle source failure or manipulation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Invalid-market rules, dispute windows, oracle re-query, fallback refund logic</w:t>
            </w:r>
          </w:p>
        </w:tc>
      </w:tr>
      <w:tr>
        <w:tc>
          <w:tcPr>
            <w:tcW w:type="dxa" w:w="46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80"/>
            </w:tcMar>
          </w:tcPr>
          <w:p>
            <w:r>
              <w:rPr>
                <w:rFonts w:ascii="Arial" w:cs="Arial" w:eastAsia="Arial" w:hAnsi="Arial"/>
                <w:b w:val="false"/>
                <w:bCs w:val="false"/>
                <w:color w:val="1A1A2E"/>
                <w:sz w:val="20"/>
                <w:szCs w:val="20"/>
              </w:rPr>
              <w:t xml:space="preserve">Ambiguous or poorly defined market questions</w:t>
            </w:r>
          </w:p>
        </w:tc>
        <w:tc>
          <w:tcPr>
            <w:tcW w:type="dxa" w:w="46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80"/>
            </w:tcMar>
          </w:tcPr>
          <w:p>
            <w:r>
              <w:rPr>
                <w:rFonts w:ascii="Arial" w:cs="Arial" w:eastAsia="Arial" w:hAnsi="Arial"/>
                <w:b w:val="false"/>
                <w:bCs w:val="false"/>
                <w:color w:val="1A1A2E"/>
                <w:sz w:val="20"/>
                <w:szCs w:val="20"/>
              </w:rPr>
              <w:t xml:space="preserve">Market-quality curation standards and QOMN schema validation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Low liquidity at market creation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Minimum liquidity requirement and creation premium design</w:t>
            </w:r>
          </w:p>
        </w:tc>
      </w:tr>
      <w:tr>
        <w:tc>
          <w:tcPr>
            <w:tcW w:type="dxa" w:w="46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80"/>
            </w:tcMar>
          </w:tcPr>
          <w:p>
            <w:r>
              <w:rPr>
                <w:rFonts w:ascii="Arial" w:cs="Arial" w:eastAsia="Arial" w:hAnsi="Arial"/>
                <w:b w:val="false"/>
                <w:bCs w:val="false"/>
                <w:color w:val="1A1A2E"/>
                <w:sz w:val="20"/>
                <w:szCs w:val="20"/>
              </w:rPr>
              <w:t xml:space="preserve">Qubic contract state / payload size constraints</w:t>
            </w:r>
          </w:p>
        </w:tc>
        <w:tc>
          <w:tcPr>
            <w:tcW w:type="dxa" w:w="46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80"/>
            </w:tcMar>
          </w:tcPr>
          <w:p>
            <w:r>
              <w:rPr>
                <w:rFonts w:ascii="Arial" w:cs="Arial" w:eastAsia="Arial" w:hAnsi="Arial"/>
                <w:b w:val="false"/>
                <w:bCs w:val="false"/>
                <w:color w:val="1A1A2E"/>
                <w:sz w:val="20"/>
                <w:szCs w:val="20"/>
              </w:rPr>
              <w:t xml:space="preserve">Hybrid on-chain/off-chain architecture; compact state only on-chain; claim-based settlement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Failure propagation to Qubic network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Local market-state isolation; claim-based settlement; bounded exposure ceilings; network non-interference standard (Section 14)</w:t>
            </w:r>
          </w:p>
        </w:tc>
      </w:tr>
      <w:tr>
        <w:tc>
          <w:tcPr>
            <w:tcW w:type="dxa" w:w="46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80"/>
            </w:tcMar>
          </w:tcPr>
          <w:p>
            <w:r>
              <w:rPr>
                <w:rFonts w:ascii="Arial" w:cs="Arial" w:eastAsia="Arial" w:hAnsi="Arial"/>
                <w:b w:val="false"/>
                <w:bCs w:val="false"/>
                <w:color w:val="1A1A2E"/>
                <w:sz w:val="20"/>
                <w:szCs w:val="20"/>
              </w:rPr>
              <w:t xml:space="preserve">Governance capture</w:t>
            </w:r>
          </w:p>
        </w:tc>
        <w:tc>
          <w:tcPr>
            <w:tcW w:type="dxa" w:w="46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80"/>
            </w:tcMar>
          </w:tcPr>
          <w:p>
            <w:r>
              <w:rPr>
                <w:rFonts w:ascii="Arial" w:cs="Arial" w:eastAsia="Arial" w:hAnsi="Arial"/>
                <w:b w:val="false"/>
                <w:bCs w:val="false"/>
                <w:color w:val="1A1A2E"/>
                <w:sz w:val="20"/>
                <w:szCs w:val="20"/>
              </w:rPr>
              <w:t xml:space="preserve">Phased governance with transparent epoch-scoped parameters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QDRA reward legal classification risk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Legal review required before Phase 5 activation; no reward guarantees in any document</w:t>
            </w:r>
          </w:p>
        </w:tc>
      </w:tr>
      <w:tr>
        <w:tc>
          <w:tcPr>
            <w:tcW w:type="dxa" w:w="46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80"/>
            </w:tcMar>
          </w:tcPr>
          <w:p>
            <w:r>
              <w:rPr>
                <w:rFonts w:ascii="Arial" w:cs="Arial" w:eastAsia="Arial" w:hAnsi="Arial"/>
                <w:b w:val="false"/>
                <w:bCs w:val="false"/>
                <w:color w:val="1A1A2E"/>
                <w:sz w:val="20"/>
                <w:szCs w:val="20"/>
              </w:rPr>
              <w:t xml:space="preserve">Agent abuse or adversarial market manipulation</w:t>
            </w:r>
          </w:p>
        </w:tc>
        <w:tc>
          <w:tcPr>
            <w:tcW w:type="dxa" w:w="46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80"/>
            </w:tcMar>
          </w:tcPr>
          <w:p>
            <w:r>
              <w:rPr>
                <w:rFonts w:ascii="Arial" w:cs="Arial" w:eastAsia="Arial" w:hAnsi="Arial"/>
                <w:b w:val="false"/>
                <w:bCs w:val="false"/>
                <w:color w:val="1A1A2E"/>
                <w:sz w:val="20"/>
                <w:szCs w:val="20"/>
              </w:rPr>
              <w:t xml:space="preserve">Agent participation limits and keeper oversight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External signal manipulation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External signals are reference data only; invalid-market rules apply if signals are unreliable</w:t>
            </w:r>
          </w:p>
        </w:tc>
      </w:tr>
      <w:tr>
        <w:tc>
          <w:tcPr>
            <w:tcW w:type="dxa" w:w="46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80"/>
            </w:tcMar>
          </w:tcPr>
          <w:p>
            <w:r>
              <w:rPr>
                <w:rFonts w:ascii="Arial" w:cs="Arial" w:eastAsia="Arial" w:hAnsi="Arial"/>
                <w:b w:val="false"/>
                <w:bCs w:val="false"/>
                <w:color w:val="1A1A2E"/>
                <w:sz w:val="20"/>
                <w:szCs w:val="20"/>
              </w:rPr>
              <w:t xml:space="preserve">Settlement bugs</w:t>
            </w:r>
          </w:p>
        </w:tc>
        <w:tc>
          <w:tcPr>
            <w:tcW w:type="dxa" w:w="46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80"/>
            </w:tcMar>
          </w:tcPr>
          <w:p>
            <w:r>
              <w:rPr>
                <w:rFonts w:ascii="Arial" w:cs="Arial" w:eastAsia="Arial" w:hAnsi="Arial"/>
                <w:b w:val="false"/>
                <w:bCs w:val="false"/>
                <w:color w:val="1A1A2E"/>
                <w:sz w:val="20"/>
                <w:szCs w:val="20"/>
              </w:rPr>
              <w:t xml:space="preserve">Staged testnet deployment with formal specification review; claim-based design limits blast radius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Overpromising before implementation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White paper clearly labels unfinished modules as target architecture or future phases</w:t>
            </w:r>
          </w:p>
        </w:tc>
      </w:tr>
      <w:tr>
        <w:tc>
          <w:tcPr>
            <w:tcW w:type="dxa" w:w="46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80"/>
            </w:tcMar>
          </w:tcPr>
          <w:p>
            <w:r>
              <w:rPr>
                <w:rFonts w:ascii="Arial" w:cs="Arial" w:eastAsia="Arial" w:hAnsi="Arial"/>
                <w:b w:val="false"/>
                <w:bCs w:val="false"/>
                <w:color w:val="1A1A2E"/>
                <w:sz w:val="20"/>
                <w:szCs w:val="20"/>
              </w:rPr>
              <w:t xml:space="preserve">CCIP adapter replay or spoofing (V1)</w:t>
            </w:r>
          </w:p>
        </w:tc>
        <w:tc>
          <w:tcPr>
            <w:tcW w:type="dxa" w:w="46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80"/>
            </w:tcMar>
          </w:tcPr>
          <w:p>
            <w:r>
              <w:rPr>
                <w:rFonts w:ascii="Arial" w:cs="Arial" w:eastAsia="Arial" w:hAnsi="Arial"/>
                <w:b w:val="false"/>
                <w:bCs w:val="false"/>
                <w:color w:val="1A1A2E"/>
                <w:sz w:val="20"/>
                <w:szCs w:val="20"/>
              </w:rPr>
              <w:t xml:space="preserve">Market-local replay caches, expiry ticks, tombstone-aware ring buffer, finalized archive hashes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External proof finality failure (V1)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Finality level field in proof hooks; unconfirmed proofs do not satisfy oracle acceptance criteria</w:t>
            </w:r>
          </w:p>
        </w:tc>
      </w:tr>
      <w:tr>
        <w:tc>
          <w:tcPr>
            <w:tcW w:type="dxa" w:w="46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80"/>
            </w:tcMar>
          </w:tcPr>
          <w:p>
            <w:r>
              <w:rPr>
                <w:rFonts w:ascii="Arial" w:cs="Arial" w:eastAsia="Arial" w:hAnsi="Arial"/>
                <w:b w:val="false"/>
                <w:bCs w:val="false"/>
                <w:color w:val="1A1A2E"/>
                <w:sz w:val="20"/>
                <w:szCs w:val="20"/>
              </w:rPr>
              <w:t xml:space="preserve">V1 state growth from cross-chain messages</w:t>
            </w:r>
          </w:p>
        </w:tc>
        <w:tc>
          <w:tcPr>
            <w:tcW w:type="dxa" w:w="4680"/>
            <w:tcBorders>
              <w:top w:val="single" w:color="CCCCCC" w:sz="1"/>
              <w:left w:val="single" w:color="CCCCCC" w:sz="1"/>
              <w:bottom w:val="single" w:color="CCCCCC" w:sz="1"/>
              <w:right w:val="single" w:color="CCCCCC" w:sz="1"/>
            </w:tcBorders>
            <w:shd w:fill="EAF2FB" w:val="clear"/>
            <w:tcMar>
              <w:top w:type="dxa" w:w="80"/>
              <w:left w:type="dxa" w:w="140"/>
              <w:bottom w:type="dxa" w:w="80"/>
              <w:right w:type="dxa" w:w="80"/>
            </w:tcMar>
          </w:tcPr>
          <w:p>
            <w:r>
              <w:rPr>
                <w:rFonts w:ascii="Arial" w:cs="Arial" w:eastAsia="Arial" w:hAnsi="Arial"/>
                <w:b w:val="false"/>
                <w:bCs w:val="false"/>
                <w:color w:val="1A1A2E"/>
                <w:sz w:val="20"/>
                <w:szCs w:val="20"/>
              </w:rPr>
              <w:t xml:space="preserve">Fixed-size ring buffer and archive commitment pattern enforce bounded state growth</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6EA4" w:sz="4"/>
              <w:left w:val="single" w:color="1C6EA4" w:sz="8"/>
              <w:bottom w:val="single" w:color="CCCCCC" w:sz="1"/>
              <w:right w:val="none" w:color="FFFFFF" w:sz="0"/>
            </w:tcBorders>
            <w:shd w:fill="EAF2FB" w:val="clear"/>
            <w:tcMar>
              <w:top w:type="dxa" w:w="120"/>
              <w:left w:type="dxa" w:w="200"/>
              <w:bottom w:type="dxa" w:w="120"/>
              <w:right w:type="dxa" w:w="200"/>
            </w:tcMar>
          </w:tcPr>
          <w:p>
            <w:pPr>
              <w:spacing w:after="80" w:before="60"/>
            </w:pPr>
            <w:r>
              <w:rPr>
                <w:rFonts w:ascii="Arial" w:cs="Arial" w:eastAsia="Arial" w:hAnsi="Arial"/>
                <w:b/>
                <w:bCs/>
                <w:color w:val="1A3A5C"/>
                <w:sz w:val="22"/>
                <w:szCs w:val="22"/>
              </w:rPr>
              <w:t xml:space="preserve">Explicit Disclaimers</w:t>
            </w:r>
          </w:p>
          <w:p>
            <w:pPr>
              <w:pStyle w:val="ListParagraph"/>
              <w:numPr>
                <w:ilvl w:val="0"/>
                <w:numId w:val="2"/>
              </w:numPr>
              <w:spacing w:after="40" w:before="20"/>
            </w:pPr>
            <w:r>
              <w:rPr>
                <w:rFonts w:ascii="Arial" w:cs="Arial" w:eastAsia="Arial" w:hAnsi="Arial"/>
                <w:color w:val="1A1A2E"/>
                <w:sz w:val="20"/>
                <w:szCs w:val="20"/>
              </w:rPr>
              <w:t xml:space="preserve">Qassandra does not claim guaranteed rewards, guaranteed returns, or guaranteed oracle accuracy.</w:t>
            </w:r>
          </w:p>
          <w:p>
            <w:pPr>
              <w:pStyle w:val="ListParagraph"/>
              <w:numPr>
                <w:ilvl w:val="0"/>
                <w:numId w:val="2"/>
              </w:numPr>
              <w:spacing w:after="40" w:before="20"/>
            </w:pPr>
            <w:r>
              <w:rPr>
                <w:rFonts w:ascii="Arial" w:cs="Arial" w:eastAsia="Arial" w:hAnsi="Arial"/>
                <w:color w:val="1A1A2E"/>
                <w:sz w:val="20"/>
                <w:szCs w:val="20"/>
              </w:rPr>
              <w:t xml:space="preserve">Oracle resolution produces validated agreement over an oracle reply. It does not guarantee absolute real-world truth.</w:t>
            </w:r>
          </w:p>
          <w:p>
            <w:pPr>
              <w:pStyle w:val="ListParagraph"/>
              <w:numPr>
                <w:ilvl w:val="0"/>
                <w:numId w:val="2"/>
              </w:numPr>
              <w:spacing w:after="40" w:before="20"/>
            </w:pPr>
            <w:r>
              <w:rPr>
                <w:rFonts w:ascii="Arial" w:cs="Arial" w:eastAsia="Arial" w:hAnsi="Arial"/>
                <w:color w:val="1A1A2E"/>
                <w:sz w:val="20"/>
                <w:szCs w:val="20"/>
              </w:rPr>
              <w:t xml:space="preserve">External signals are reference data only and are never settlement or reward assets.</w:t>
            </w:r>
          </w:p>
          <w:p>
            <w:pPr>
              <w:pStyle w:val="ListParagraph"/>
              <w:numPr>
                <w:ilvl w:val="0"/>
                <w:numId w:val="2"/>
              </w:numPr>
              <w:spacing w:after="40" w:before="20"/>
            </w:pPr>
            <w:r>
              <w:rPr>
                <w:rFonts w:ascii="Arial" w:cs="Arial" w:eastAsia="Arial" w:hAnsi="Arial"/>
                <w:color w:val="1A1A2E"/>
                <w:sz w:val="20"/>
                <w:szCs w:val="20"/>
              </w:rPr>
              <w:t xml:space="preserve">This document does not constitute an offer of investment or a promise of financial return.</w:t>
            </w:r>
          </w:p>
          <w:p>
            <w:pPr>
              <w:pStyle w:val="ListParagraph"/>
              <w:numPr>
                <w:ilvl w:val="0"/>
                <w:numId w:val="2"/>
              </w:numPr>
              <w:spacing w:after="40" w:before="20"/>
            </w:pPr>
            <w:r>
              <w:rPr>
                <w:rFonts w:ascii="Arial" w:cs="Arial" w:eastAsia="Arial" w:hAnsi="Arial"/>
                <w:color w:val="1A1A2E"/>
                <w:sz w:val="20"/>
                <w:szCs w:val="20"/>
              </w:rPr>
              <w:t xml:space="preserve">This document does not represent official endorsement by the Qubic Foundation or Qubic network operators.</w:t>
            </w:r>
          </w:p>
          <w:p>
            <w:pPr>
              <w:pStyle w:val="ListParagraph"/>
              <w:numPr>
                <w:ilvl w:val="0"/>
                <w:numId w:val="2"/>
              </w:numPr>
              <w:spacing w:after="40" w:before="20"/>
            </w:pPr>
            <w:r>
              <w:rPr>
                <w:rFonts w:ascii="Arial" w:cs="Arial" w:eastAsia="Arial" w:hAnsi="Arial"/>
                <w:color w:val="1A1A2E"/>
                <w:sz w:val="20"/>
                <w:szCs w:val="20"/>
              </w:rPr>
              <w:t xml:space="preserve">Modules described as target architecture, V1 design, or future phases should not be interpreted as active until implemented, reviewed, and deployed.</w:t>
            </w:r>
          </w:p>
          <w:p>
            <w:pPr>
              <w:spacing w:after="80" w:before="0"/>
            </w:pPr>
            <w:r>
              <w:t xml:space="preserve"/>
            </w:r>
          </w:p>
        </w:tc>
      </w:tr>
    </w:tbl>
    <w:p>
      <w:pPr>
        <w:spacing w:after="200" w:before="0"/>
      </w:pPr>
      <w:r>
        <w:t xml:space="preserve"/>
      </w:r>
    </w:p>
    <w:p>
      <w:pPr>
        <w:pStyle w:val="Heading1"/>
        <w:shd w:fill="1A3A5C" w:val="clear"/>
        <w:spacing w:after="200" w:before="440"/>
        <w:ind w:left="200" w:right="200"/>
      </w:pPr>
      <w:r>
        <w:rPr>
          <w:rFonts w:ascii="Arial" w:cs="Arial" w:eastAsia="Arial" w:hAnsi="Arial"/>
          <w:b/>
          <w:bCs/>
          <w:color w:val="FFFFFF"/>
          <w:sz w:val="36"/>
          <w:szCs w:val="36"/>
        </w:rPr>
        <w:t xml:space="preserve">24. Conclusion</w:t>
      </w:r>
    </w:p>
    <w:p>
      <w:pPr>
        <w:spacing w:after="80" w:before="0"/>
      </w:pPr>
      <w:r>
        <w:t xml:space="preserve"/>
      </w:r>
    </w:p>
    <w:p>
      <w:pPr>
        <w:spacing w:after="140" w:before="0"/>
        <w:jc w:val="both"/>
      </w:pPr>
      <w:r>
        <w:rPr>
          <w:rFonts w:ascii="Arial" w:cs="Arial" w:eastAsia="Arial" w:hAnsi="Arial"/>
          <w:i w:val="false"/>
          <w:iCs w:val="false"/>
          <w:color w:val="1A1A2E"/>
          <w:sz w:val="22"/>
          <w:szCs w:val="22"/>
        </w:rPr>
        <w:t xml:space="preserve">Qassandra is designed to make forecast markets native to Qubic.</w:t>
      </w:r>
    </w:p>
    <w:p>
      <w:pPr>
        <w:spacing w:after="40" w:before="0"/>
      </w:pPr>
      <w:r>
        <w:t xml:space="preserve"/>
      </w:r>
    </w:p>
    <w:p>
      <w:pPr>
        <w:spacing w:after="140" w:before="0"/>
        <w:jc w:val="both"/>
      </w:pPr>
      <w:r>
        <w:rPr>
          <w:rFonts w:ascii="Arial" w:cs="Arial" w:eastAsia="Arial" w:hAnsi="Arial"/>
          <w:i w:val="false"/>
          <w:iCs w:val="false"/>
          <w:color w:val="1A1A2E"/>
          <w:sz w:val="22"/>
          <w:szCs w:val="22"/>
        </w:rPr>
        <w:t xml:space="preserve">Its core contribution is not simply enabling speculation on outcomes. Its deeper purpose is to organize uncertainty into compact, verifiable, machine-readable market structures that can be resolved through Qubic-native oracle mechanics and settled deterministically in $QUBIC.</w:t>
      </w:r>
    </w:p>
    <w:p>
      <w:pPr>
        <w:spacing w:after="40" w:before="0"/>
      </w:pPr>
      <w:r>
        <w:t xml:space="preserve"/>
      </w:r>
    </w:p>
    <w:p>
      <w:pPr>
        <w:spacing w:after="140" w:before="0"/>
        <w:jc w:val="both"/>
      </w:pPr>
      <w:r>
        <w:rPr>
          <w:rFonts w:ascii="Arial" w:cs="Arial" w:eastAsia="Arial" w:hAnsi="Arial"/>
          <w:i w:val="false"/>
          <w:iCs w:val="false"/>
          <w:color w:val="1A1A2E"/>
          <w:sz w:val="22"/>
          <w:szCs w:val="22"/>
        </w:rPr>
        <w:t xml:space="preserve">Every economic function within Qassandra routes through $QUBIC: market balances transferred through function calls, oracle-resolution allocation, dispute bonds, settlement payouts claimed from contract balances, keeper rewards, agent-access charges, burn allocations, and governed QDRA-aligned protocol rewards—all subject to governance and legal review.</w:t>
      </w:r>
    </w:p>
    <w:p>
      <w:pPr>
        <w:spacing w:after="40" w:before="0"/>
      </w:pPr>
      <w:r>
        <w:t xml:space="preserve"/>
      </w:r>
    </w:p>
    <w:p>
      <w:pPr>
        <w:spacing w:after="140" w:before="0"/>
        <w:jc w:val="both"/>
      </w:pPr>
      <w:r>
        <w:rPr>
          <w:rFonts w:ascii="Arial" w:cs="Arial" w:eastAsia="Arial" w:hAnsi="Arial"/>
          <w:i w:val="false"/>
          <w:iCs w:val="false"/>
          <w:color w:val="1A1A2E"/>
          <w:sz w:val="22"/>
          <w:szCs w:val="22"/>
        </w:rPr>
        <w:t xml:space="preserve">Qassandra is designed to fail locally, never systemically. It scales through many small, bounded, deterministic actions—using compact local contract state, claim-based settlement, and off-chain context indexing to keep execution predictable, market-local, and safe for Qubic’s Computor-executed environment.</w:t>
      </w:r>
    </w:p>
    <w:p>
      <w:pPr>
        <w:spacing w:after="40" w:before="0"/>
      </w:pPr>
      <w:r>
        <w:t xml:space="preserve"/>
      </w:r>
    </w:p>
    <w:p>
      <w:pPr>
        <w:spacing w:after="140" w:before="0"/>
        <w:jc w:val="both"/>
      </w:pPr>
      <w:r>
        <w:rPr>
          <w:rFonts w:ascii="Arial" w:cs="Arial" w:eastAsia="Arial" w:hAnsi="Arial"/>
          <w:i w:val="false"/>
          <w:iCs w:val="false"/>
          <w:color w:val="1A1A2E"/>
          <w:sz w:val="22"/>
          <w:szCs w:val="22"/>
        </w:rPr>
        <w:t xml:space="preserve">v0 targets the foundation: a checklist-compliant Qubic smart contract with identity, execution sustainability, and the three-lane oracle taxonomy as committed metadata—ready for validation once compile, verification, and tests have passed. V1 extends that foundation with CCIP-ready interoperability—structured, bounded, and QUBIC-native from adapter validation through final settlement.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6EA4" w:sz="4"/>
              <w:left w:val="single" w:color="1C6EA4" w:sz="8"/>
              <w:bottom w:val="single" w:color="CCCCCC" w:sz="1"/>
              <w:right w:val="none" w:color="FFFFFF" w:sz="0"/>
            </w:tcBorders>
            <w:shd w:fill="EAF2FB" w:val="clear"/>
            <w:tcMar>
              <w:top w:type="dxa" w:w="120"/>
              <w:left w:type="dxa" w:w="200"/>
              <w:bottom w:type="dxa" w:w="120"/>
              <w:right w:type="dxa" w:w="200"/>
            </w:tcMar>
          </w:tcPr>
          <w:p>
            <w:pPr>
              <w:spacing w:after="80" w:before="60"/>
            </w:pPr>
            <w:r>
              <w:rPr>
                <w:rFonts w:ascii="Arial" w:cs="Arial" w:eastAsia="Arial" w:hAnsi="Arial"/>
                <w:b/>
                <w:bCs/>
                <w:color w:val="1A3A5C"/>
                <w:sz w:val="22"/>
                <w:szCs w:val="22"/>
              </w:rPr>
              <w:t xml:space="preserve">Qassandra’s Final Position</w:t>
            </w:r>
          </w:p>
          <w:p>
            <w:pPr>
              <w:pStyle w:val="ListParagraph"/>
              <w:numPr>
                <w:ilvl w:val="0"/>
                <w:numId w:val="2"/>
              </w:numPr>
              <w:spacing w:after="40" w:before="20"/>
            </w:pPr>
            <w:r>
              <w:rPr>
                <w:rFonts w:ascii="Arial" w:cs="Arial" w:eastAsia="Arial" w:hAnsi="Arial"/>
                <w:color w:val="1A1A2E"/>
                <w:sz w:val="20"/>
                <w:szCs w:val="20"/>
              </w:rPr>
              <w:t xml:space="preserve">v0 target: a checklist-compliant Qubic smart contract foundation—identity, execution sustainability, three-lane oracle taxonomy as committed metadata.</w:t>
            </w:r>
          </w:p>
          <w:p>
            <w:pPr>
              <w:pStyle w:val="ListParagraph"/>
              <w:numPr>
                <w:ilvl w:val="0"/>
                <w:numId w:val="2"/>
              </w:numPr>
              <w:spacing w:after="40" w:before="20"/>
            </w:pPr>
            <w:r>
              <w:rPr>
                <w:rFonts w:ascii="Arial" w:cs="Arial" w:eastAsia="Arial" w:hAnsi="Arial"/>
                <w:color w:val="1A1A2E"/>
                <w:sz w:val="20"/>
                <w:szCs w:val="20"/>
              </w:rPr>
              <w:t xml:space="preserve">V1: CCIP-ready interoperability through bounded adapters, canonical metadata, cross-chain proof hooks, and deterministic replay protection.</w:t>
            </w:r>
          </w:p>
          <w:p>
            <w:pPr>
              <w:pStyle w:val="ListParagraph"/>
              <w:numPr>
                <w:ilvl w:val="0"/>
                <w:numId w:val="2"/>
              </w:numPr>
              <w:spacing w:after="40" w:before="20"/>
            </w:pPr>
            <w:r>
              <w:rPr>
                <w:rFonts w:ascii="Arial" w:cs="Arial" w:eastAsia="Arial" w:hAnsi="Arial"/>
                <w:color w:val="1A1A2E"/>
                <w:sz w:val="20"/>
                <w:szCs w:val="20"/>
              </w:rPr>
              <w:t xml:space="preserve">Settlement does not leak into another asset.</w:t>
            </w:r>
          </w:p>
          <w:p>
            <w:pPr>
              <w:pStyle w:val="ListParagraph"/>
              <w:numPr>
                <w:ilvl w:val="0"/>
                <w:numId w:val="2"/>
              </w:numPr>
              <w:spacing w:after="40" w:before="20"/>
            </w:pPr>
            <w:r>
              <w:rPr>
                <w:rFonts w:ascii="Arial" w:cs="Arial" w:eastAsia="Arial" w:hAnsi="Arial"/>
                <w:color w:val="1A1A2E"/>
                <w:sz w:val="20"/>
                <w:szCs w:val="20"/>
              </w:rPr>
              <w:t xml:space="preserve">Rewards do not leak into another asset.</w:t>
            </w:r>
          </w:p>
          <w:p>
            <w:pPr>
              <w:pStyle w:val="ListParagraph"/>
              <w:numPr>
                <w:ilvl w:val="0"/>
                <w:numId w:val="2"/>
              </w:numPr>
              <w:spacing w:after="40" w:before="20"/>
            </w:pPr>
            <w:r>
              <w:rPr>
                <w:rFonts w:ascii="Arial" w:cs="Arial" w:eastAsia="Arial" w:hAnsi="Arial"/>
                <w:color w:val="1A1A2E"/>
                <w:sz w:val="20"/>
                <w:szCs w:val="20"/>
              </w:rPr>
              <w:t xml:space="preserve">Protocol economics do not route away from $QUBIC.</w:t>
            </w:r>
          </w:p>
          <w:p>
            <w:pPr>
              <w:pStyle w:val="ListParagraph"/>
              <w:numPr>
                <w:ilvl w:val="0"/>
                <w:numId w:val="2"/>
              </w:numPr>
              <w:spacing w:after="40" w:before="20"/>
            </w:pPr>
            <w:r>
              <w:rPr>
                <w:rFonts w:ascii="Arial" w:cs="Arial" w:eastAsia="Arial" w:hAnsi="Arial"/>
                <w:color w:val="1A1A2E"/>
                <w:sz w:val="20"/>
                <w:szCs w:val="20"/>
              </w:rPr>
              <w:t xml:space="preserve">External signals inform markets. They do not enter Qassandra’s economic layer.</w:t>
            </w:r>
          </w:p>
          <w:p>
            <w:pPr>
              <w:pStyle w:val="ListParagraph"/>
              <w:numPr>
                <w:ilvl w:val="0"/>
                <w:numId w:val="2"/>
              </w:numPr>
              <w:spacing w:after="40" w:before="20"/>
            </w:pPr>
            <w:r>
              <w:rPr>
                <w:rFonts w:ascii="Arial" w:cs="Arial" w:eastAsia="Arial" w:hAnsi="Arial"/>
                <w:color w:val="1A1A2E"/>
                <w:sz w:val="20"/>
                <w:szCs w:val="20"/>
              </w:rPr>
              <w:t xml:space="preserve">QUBIC settles. CCIP connects. Qassandra contextualizes.</w:t>
            </w:r>
          </w:p>
          <w:p>
            <w:pPr>
              <w:pStyle w:val="ListParagraph"/>
              <w:numPr>
                <w:ilvl w:val="0"/>
                <w:numId w:val="2"/>
              </w:numPr>
              <w:spacing w:after="40" w:before="20"/>
            </w:pPr>
            <w:r>
              <w:rPr>
                <w:rFonts w:ascii="Arial" w:cs="Arial" w:eastAsia="Arial" w:hAnsi="Arial"/>
                <w:color w:val="1A1A2E"/>
                <w:sz w:val="20"/>
                <w:szCs w:val="20"/>
              </w:rPr>
              <w:t xml:space="preserve">Qassandra fails locally. It scales deterministically. It is QUBIC-native infrastructure—from v0 foundation through V1 and beyond.</w:t>
            </w:r>
          </w:p>
          <w:p>
            <w:pPr>
              <w:spacing w:after="80" w:before="0"/>
            </w:pPr>
            <w:r>
              <w:t xml:space="preserve"/>
            </w:r>
          </w:p>
        </w:tc>
      </w:tr>
    </w:tbl>
    <w:p>
      <w:pPr>
        <w:spacing w:after="200" w:before="0"/>
      </w:pPr>
      <w:r>
        <w:t xml:space="preserve"/>
      </w:r>
    </w:p>
    <w:p>
      <w:pPr>
        <w:pBdr>
          <w:top w:val="single" w:color="2C5F8A" w:sz="4" w:space="1"/>
        </w:pBdr>
        <w:spacing w:after="200" w:before="200"/>
      </w:pPr>
    </w:p>
    <w:p>
      <w:pPr>
        <w:jc w:val="center"/>
      </w:pPr>
      <w:r>
        <w:rPr>
          <w:rFonts w:ascii="Arial" w:cs="Arial" w:eastAsia="Arial" w:hAnsi="Arial"/>
          <w:i/>
          <w:iCs/>
          <w:color w:val="6B7C8F"/>
          <w:sz w:val="16"/>
          <w:szCs w:val="16"/>
        </w:rPr>
        <w:t xml:space="preserve">Qassandra Protocol  —  Public Release Draft  —  This document does not constitute investment advice or a guarantee of any technical outcome. All phased components are subject to implementation, review, governance, and applicable legal requirements.</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C6EA4" w:sz="2" w:space="1"/>
      </w:pBdr>
      <w:jc w:val="center"/>
    </w:pPr>
    <w:r>
      <w:rPr>
        <w:rFonts w:ascii="Arial" w:cs="Arial" w:eastAsia="Arial" w:hAnsi="Arial"/>
        <w:color w:val="6B7C8F"/>
        <w:sz w:val="16"/>
        <w:szCs w:val="16"/>
      </w:rPr>
      <w:t xml:space="preserve">Public Release Draft  —  v0 Foundation &amp; V1 Roadmap  —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C6EA4" w:sz="2" w:space="1"/>
      </w:pBdr>
      <w:spacing w:after="60"/>
    </w:pPr>
    <w:r>
      <w:rPr>
        <w:rFonts w:ascii="Arial" w:cs="Arial" w:eastAsia="Arial" w:hAnsi="Arial"/>
        <w:b/>
        <w:bCs/>
        <w:color w:val="1A3A5C"/>
        <w:sz w:val="18"/>
        <w:szCs w:val="18"/>
      </w:rPr>
      <w:t xml:space="preserve">QASSANDRA PROTOCOL</w:t>
    </w:r>
    <w:r>
      <w:rPr>
        <w:rFonts w:ascii="Arial" w:cs="Arial" w:eastAsia="Arial" w:hAnsi="Arial"/>
        <w:color w:val="6B7C8F"/>
        <w:sz w:val="18"/>
        <w:szCs w:val="18"/>
      </w:rPr>
      <w:t xml:space="preserve">   |   QUBIC-NATIVE FORECASTING &amp; ORACLE SETTLEMENT INFRASTRUCTURE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34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C6E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2026-06-05T02:27:09.860Z</dcterms:created>
  <dcterms:modified xsi:type="dcterms:W3CDTF">2026-06-05T02:27:09.860Z</dcterms:modified>
</cp:coreProperties>
</file>

<file path=docProps/custom.xml><?xml version="1.0" encoding="utf-8"?>
<Properties xmlns="http://schemas.openxmlformats.org/officeDocument/2006/custom-properties" xmlns:vt="http://schemas.openxmlformats.org/officeDocument/2006/docPropsVTypes"/>
</file>