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Proposals (RFP)</w:t>
      </w:r>
    </w:p>
    <w:p>
      <w:r>
        <w:rPr>
          <w:b/>
          <w:sz w:val="21"/>
        </w:rPr>
        <w:t>Implementation of an Integrated Hospital Management Information System (HMIS) across Four Tertiary-Care Hospitals</w:t>
      </w:r>
    </w:p>
    <w:p>
      <w:r>
        <w:rPr>
          <w:b w:val="0"/>
          <w:sz w:val="21"/>
        </w:rPr>
        <w:t>RFP Reference: PHD/HMIS/2026/07</w:t>
      </w:r>
    </w:p>
    <w:p>
      <w:r>
        <w:rPr>
          <w:b w:val="0"/>
          <w:sz w:val="21"/>
        </w:rPr>
        <w:t>Issued by: Provincial Health Department, Government of Khyber Pakhtunkhwa, Peshawar</w:t>
      </w:r>
    </w:p>
    <w:p>
      <w:r>
        <w:rPr>
          <w:b w:val="0"/>
          <w:sz w:val="21"/>
        </w:rPr>
        <w:t>Issue Date: 1 June 2026</w:t>
      </w:r>
    </w:p>
    <w:p>
      <w:pPr>
        <w:pStyle w:val="Heading1"/>
      </w:pPr>
      <w:r>
        <w:t>1. Introduction and Scope of Work</w:t>
      </w:r>
    </w:p>
    <w:p>
      <w:r>
        <w:rPr>
          <w:b w:val="0"/>
          <w:sz w:val="21"/>
        </w:rPr>
        <w:t>The Provincial Health Department (the Client) invites sealed proposals from qualified firms for the supply, implementation, integration, and support of an integrated Hospital Management Information System (HMIS) across four tertiary-care hospitals. The estimated total budget for this engagement is PKR 320 Million. The scope covers: (a) electronic medical records (EMR), outpatient and inpatient management; (b) laboratory and radiology information systems (LIS/RIS); (c) pharmacy and inventory management; (d) billing and insurance claims; (e) a central data warehouse with management dashboards; and (f) integration with existing hospital systems via HL7/FHIR standards. The successful bidder shall migrate legacy patient records, train hospital staff, and provide three (3) years of post-implementation support and maintenance.</w:t>
      </w:r>
    </w:p>
    <w:p>
      <w:pPr>
        <w:pStyle w:val="Heading1"/>
      </w:pPr>
      <w:r>
        <w:t>2. Mandatory Eligibility Requirements</w:t>
      </w:r>
    </w:p>
    <w:p>
      <w:r>
        <w:rPr>
          <w:b w:val="0"/>
          <w:sz w:val="21"/>
        </w:rPr>
        <w:t>Bidders failing any mandatory requirement below shall be disqualified.</w:t>
      </w:r>
    </w:p>
    <w:p>
      <w:r>
        <w:rPr>
          <w:b w:val="0"/>
          <w:sz w:val="21"/>
        </w:rPr>
        <w:t>M1. The bidder must be registered with the Federal Board of Revenue (FBR) and appear on the Active Taxpayer List.</w:t>
      </w:r>
    </w:p>
    <w:p>
      <w:r>
        <w:rPr>
          <w:b w:val="0"/>
          <w:sz w:val="21"/>
        </w:rPr>
        <w:t>M2. The bidder must hold a valid ISO 27001 information security management certification.</w:t>
      </w:r>
    </w:p>
    <w:p>
      <w:r>
        <w:rPr>
          <w:b w:val="0"/>
          <w:sz w:val="21"/>
        </w:rPr>
        <w:t>M3. The bidder must hold a valid CMMI Level 5 appraisal for software development services.</w:t>
      </w:r>
    </w:p>
    <w:p>
      <w:r>
        <w:rPr>
          <w:b w:val="0"/>
          <w:sz w:val="21"/>
        </w:rPr>
        <w:t>M4. The bidder must have successfully completed at least two (2) health-sector IT system implementations for hospitals or healthcare networks within the last five (5) years.</w:t>
      </w:r>
    </w:p>
    <w:p>
      <w:r>
        <w:rPr>
          <w:b w:val="0"/>
          <w:sz w:val="21"/>
        </w:rPr>
        <w:t>M5. The assigned project manager must hold a valid PMP certification.</w:t>
      </w:r>
    </w:p>
    <w:p>
      <w:r>
        <w:rPr>
          <w:b w:val="0"/>
          <w:sz w:val="21"/>
        </w:rPr>
        <w:t>M6. The bidder must submit a bid security of two percent (2%) of the bid price in the form of a bank guarantee or CDR from a scheduled bank.</w:t>
      </w:r>
    </w:p>
    <w:p>
      <w:pPr>
        <w:pStyle w:val="Heading1"/>
      </w:pPr>
      <w:r>
        <w:t>3. Technical Requirements</w:t>
      </w:r>
    </w:p>
    <w:p>
      <w:r>
        <w:rPr>
          <w:b w:val="0"/>
          <w:sz w:val="21"/>
        </w:rPr>
        <w:t>T1. The HMIS shall support HL7 v2.x and FHIR R4 interoperability for exchange with existing laboratory analyzers and PACS systems.</w:t>
      </w:r>
    </w:p>
    <w:p>
      <w:r>
        <w:rPr>
          <w:b w:val="0"/>
          <w:sz w:val="21"/>
        </w:rPr>
        <w:t>T2. The bidder must perform structured data migration of legacy patient records with a documented validation and reconciliation methodology.</w:t>
      </w:r>
    </w:p>
    <w:p>
      <w:r>
        <w:rPr>
          <w:b w:val="0"/>
          <w:sz w:val="21"/>
        </w:rPr>
        <w:t>T3. The system shall provide role-based access control, audit trails, and encryption of patient data at rest and in transit.</w:t>
      </w:r>
    </w:p>
    <w:p>
      <w:r>
        <w:rPr>
          <w:b w:val="0"/>
          <w:sz w:val="21"/>
        </w:rPr>
        <w:t>T4. The bidder must guarantee system availability of 99.5% measured monthly, with a disaster recovery site and a recovery time objective (RTO) of four (4) hours.</w:t>
      </w:r>
    </w:p>
    <w:p>
      <w:r>
        <w:rPr>
          <w:b w:val="0"/>
          <w:sz w:val="21"/>
        </w:rPr>
        <w:t>T5. The bidder must deliver structured end-user and administrator training for approximately 1,200 hospital staff across the four sites.</w:t>
      </w:r>
    </w:p>
    <w:p>
      <w:r>
        <w:rPr>
          <w:b w:val="0"/>
          <w:sz w:val="21"/>
        </w:rPr>
        <w:t>T6. The bidder should provide mobile applications for physicians covering ward rounds, e-prescriptions, and result review.</w:t>
      </w:r>
    </w:p>
    <w:p>
      <w:r>
        <w:rPr>
          <w:b w:val="0"/>
          <w:sz w:val="21"/>
        </w:rPr>
        <w:t>T7. The bidder must provide a help desk with 24/7 coverage and defined SLAs for incident response during the support period.</w:t>
      </w:r>
    </w:p>
    <w:p>
      <w:pPr>
        <w:pStyle w:val="Heading1"/>
      </w:pPr>
      <w:r>
        <w:t>4. Evaluation Criteria</w:t>
      </w:r>
    </w:p>
    <w:p>
      <w:r>
        <w:rPr>
          <w:b w:val="0"/>
          <w:sz w:val="21"/>
        </w:rPr>
        <w:t>Technical proposals shall be evaluated out of 100 marks as follows. Bidders scoring less than 70 marks in the technical evaluation shall not be considered for financial evaluation.</w:t>
      </w:r>
    </w:p>
    <w:p>
      <w:r>
        <w:rPr>
          <w:b w:val="0"/>
          <w:sz w:val="21"/>
        </w:rPr>
        <w:t>Relevant health-sector experience and past performance — 30%</w:t>
      </w:r>
    </w:p>
    <w:p>
      <w:r>
        <w:rPr>
          <w:b w:val="0"/>
          <w:sz w:val="21"/>
        </w:rPr>
        <w:t>Proposed technical solution and interoperability approach — 25%</w:t>
      </w:r>
    </w:p>
    <w:p>
      <w:r>
        <w:rPr>
          <w:b w:val="0"/>
          <w:sz w:val="21"/>
        </w:rPr>
        <w:t>Implementation methodology, migration and training plan — 20%</w:t>
      </w:r>
    </w:p>
    <w:p>
      <w:r>
        <w:rPr>
          <w:b w:val="0"/>
          <w:sz w:val="21"/>
        </w:rPr>
        <w:t>Key personnel qualifications — 15%</w:t>
      </w:r>
    </w:p>
    <w:p>
      <w:r>
        <w:rPr>
          <w:b w:val="0"/>
          <w:sz w:val="21"/>
        </w:rPr>
        <w:t>Support model and SLAs — 10%</w:t>
      </w:r>
    </w:p>
    <w:p>
      <w:pPr>
        <w:pStyle w:val="Heading1"/>
      </w:pPr>
      <w:r>
        <w:t>5. Submission Requirements and Key Dates</w:t>
      </w:r>
    </w:p>
    <w:p>
      <w:r>
        <w:rPr>
          <w:b w:val="0"/>
          <w:sz w:val="21"/>
        </w:rPr>
        <w:t>Proposals shall be submitted in two separate sealed envelopes marked "Technical Proposal" and "Financial Proposal".</w:t>
      </w:r>
    </w:p>
    <w:p>
      <w:r>
        <w:rPr>
          <w:b w:val="0"/>
          <w:sz w:val="21"/>
        </w:rPr>
        <w:t>Pre-bid meeting: 18 June 2026 at 11:00 AM at the Provincial Health Department, Peshawar.</w:t>
      </w:r>
    </w:p>
    <w:p>
      <w:r>
        <w:rPr>
          <w:b w:val="0"/>
          <w:sz w:val="21"/>
        </w:rPr>
        <w:t>Deadline for submission of written queries: 22 June 2026.</w:t>
      </w:r>
    </w:p>
    <w:p>
      <w:r>
        <w:rPr>
          <w:b w:val="0"/>
          <w:sz w:val="21"/>
        </w:rPr>
        <w:t>Proposal submission deadline: 6 July 2026 at 2:00 PM local time.</w:t>
      </w:r>
    </w:p>
    <w:p>
      <w:r>
        <w:rPr>
          <w:b w:val="0"/>
          <w:sz w:val="21"/>
        </w:rPr>
        <w:t>Technical bid opening: 6 July 2026 at 2:30 PM.</w:t>
      </w:r>
    </w:p>
    <w:p>
      <w:r>
        <w:rPr>
          <w:b w:val="0"/>
          <w:sz w:val="21"/>
        </w:rPr>
        <w:t>The bid validity period shall be 90 days from the submission deadline.</w:t>
      </w:r>
    </w:p>
    <w:p>
      <w:r>
        <w:rPr>
          <w:b w:val="0"/>
          <w:sz w:val="21"/>
        </w:rPr>
        <w:t>The bidder must respond to the required proposal sections Q1 to Q5 listed below.</w:t>
      </w:r>
    </w:p>
    <w:p>
      <w:pPr>
        <w:pStyle w:val="Heading1"/>
      </w:pPr>
      <w:r>
        <w:t>6. Required Proposal Sections (Q1-Q5)</w:t>
      </w:r>
    </w:p>
    <w:p>
      <w:r>
        <w:rPr>
          <w:b w:val="0"/>
          <w:sz w:val="21"/>
        </w:rPr>
        <w:t>Q1. Company profile, registrations, and certifications.</w:t>
      </w:r>
    </w:p>
    <w:p>
      <w:r>
        <w:rPr>
          <w:b w:val="0"/>
          <w:sz w:val="21"/>
        </w:rPr>
        <w:t>Q2. Relevant project experience with verifiable references.</w:t>
      </w:r>
    </w:p>
    <w:p>
      <w:r>
        <w:rPr>
          <w:b w:val="0"/>
          <w:sz w:val="21"/>
        </w:rPr>
        <w:t>Q3. Proposed solution architecture and interoperability approach.</w:t>
      </w:r>
    </w:p>
    <w:p>
      <w:r>
        <w:rPr>
          <w:b w:val="0"/>
          <w:sz w:val="21"/>
        </w:rPr>
        <w:t>Q4. Implementation plan, migration methodology, and training plan.</w:t>
      </w:r>
    </w:p>
    <w:p>
      <w:r>
        <w:rPr>
          <w:b w:val="0"/>
          <w:sz w:val="21"/>
        </w:rPr>
        <w:t>Q5. Support and maintenance model with SLAs.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