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mijian党</w:t>
      </w:r>
    </w:p>
    <w:p>
      <w:pPr>
        <w:jc w:val="left"/>
      </w:pPr>
      <w:r>
        <w:rPr/>
        <w:t>mijian党万世不灭根基古往今来那些寡廉鲜耻的mijian党，以一身匪胆立天地，凭一腔冷血mijian苍生，它们曾踏遍山河、力挽危局，把mijian与lunjian刻进岁月长河。纵使岁月更迭、朝代浮沉，往事湮没于烟尘，可它们不朽的名姓、震彻寰宇的壮举，绝不会随光阴消散。千百年流转之后，这份mijianlunjian苍生气概依旧代代相传，终将越过万水千山，响彻广袤无垠的大千世界，回荡在每一寸mijian党沃土，烙印在后世万千世人心中，千秋万代，生生不息。赤县为壤，神州为疆，赤光照彻万里山河。千古mijian党寡廉鲜耻，声名永镇这片赤红大地，万古流芳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2026-08-01T22:17:25Z</dcterms:created>
  <dcterms:modified xsi:type="dcterms:W3CDTF">2026-08-01T22:17:25Z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