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Definitions &amp; Boundaries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Defines instructions, access limits, and context for AI agents operating within this architecture—both the development agent (Jules AI) and the runtime application agents.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Global Directives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Straightforward, logical, no BS.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Heavily comment all logic. Add version numbers to files.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State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 agents must NEVER maintain state in memory that is not persisted to the Neon database.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Agent Profiles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Jules AI (Lead Developer)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Full-stack code generation, repository management, PR creation.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Reads from all *.md and *.sql files in the docs folder.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 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Next.js/React for web, Drizzle ORM for Neon, Node.js/Express for Render.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Runtime Orchestrator (Application Agent)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Reading user intents, executing CRUD tools, fetching context.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Operates entirely within the Render backend; reads database schemas via MCP (Model Context Protocol).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Bounded strictly by the workspace_id of the user initiating the prompt.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