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Architectural Decisions (ADR)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w:t>
      </w:r>
      <w:r w:rsidDel="00000000" w:rsidR="00000000" w:rsidRPr="00000000">
        <w:rPr>
          <w:rFonts w:ascii="Google Sans" w:cs="Google Sans" w:eastAsia="Google Sans" w:hAnsi="Google Sans"/>
          <w:color w:val="1f1f1f"/>
          <w:rtl w:val="0"/>
        </w:rPr>
        <w:t xml:space="preserve"> V1.0</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 1: Splitting Database (Neon) from Auth/Realtime (Supabase)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Accepted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Agent-Native architecture relies heavily on database state. We need isolated testing environments for AI agents so they do not corrupt production data during testing.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We will use </w:t>
      </w:r>
      <w:r w:rsidDel="00000000" w:rsidR="00000000" w:rsidRPr="00000000">
        <w:rPr>
          <w:rFonts w:ascii="Google Sans" w:cs="Google Sans" w:eastAsia="Google Sans" w:hAnsi="Google Sans"/>
          <w:b w:val="1"/>
          <w:bCs w:val="1"/>
          <w:color w:val="1f1f1f"/>
          <w:rtl w:val="0"/>
        </w:rPr>
        <w:t xml:space="preserve">Neon</w:t>
      </w:r>
      <w:r w:rsidDel="00000000" w:rsidR="00000000" w:rsidRPr="00000000">
        <w:rPr>
          <w:rFonts w:ascii="Google Sans" w:cs="Google Sans" w:eastAsia="Google Sans" w:hAnsi="Google Sans"/>
          <w:color w:val="1f1f1f"/>
          <w:rtl w:val="0"/>
        </w:rPr>
        <w:t xml:space="preserve"> for our Postgres database because of its branching capabilities (spin up a DB branch instantly for an Agent sandbox). We will use </w:t>
      </w:r>
      <w:r w:rsidDel="00000000" w:rsidR="00000000" w:rsidRPr="00000000">
        <w:rPr>
          <w:rFonts w:ascii="Google Sans" w:cs="Google Sans" w:eastAsia="Google Sans" w:hAnsi="Google Sans"/>
          <w:b w:val="1"/>
          <w:bCs w:val="1"/>
          <w:color w:val="1f1f1f"/>
          <w:rtl w:val="0"/>
        </w:rPr>
        <w:t xml:space="preserve">Supabase</w:t>
      </w:r>
      <w:r w:rsidDel="00000000" w:rsidR="00000000" w:rsidRPr="00000000">
        <w:rPr>
          <w:rFonts w:ascii="Google Sans" w:cs="Google Sans" w:eastAsia="Google Sans" w:hAnsi="Google Sans"/>
          <w:color w:val="1f1f1f"/>
          <w:rtl w:val="0"/>
        </w:rPr>
        <w:t xml:space="preserve"> purely for its Auth and Realtime WebSocket capabilities, pointing it at the Neon database.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Consequences:</w:t>
      </w:r>
      <w:r w:rsidDel="00000000" w:rsidR="00000000" w:rsidRPr="00000000">
        <w:rPr>
          <w:rFonts w:ascii="Google Sans" w:cs="Google Sans" w:eastAsia="Google Sans" w:hAnsi="Google Sans"/>
          <w:color w:val="1f1f1f"/>
          <w:rtl w:val="0"/>
        </w:rPr>
        <w:t xml:space="preserve"> Slightly more complex infrastructure setup than using Supabase for everything. Requires securely syncing Supabase Auth users to the Neon public schema and configuring Neon to accept Supabase JWTs for RLS.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 2: Complete UI/Agent State Unification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Accepted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Traditional AI apps have a chat window that is decoupled from the actual application data grid.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The frontend will rely exclusively on Supabase Realtime subscriptions for data rendering. When the user takes an action, it updates the DB. When the Agent takes an action, it updates the DB. The UI listens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to the DB.</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Consequences:</w:t>
      </w:r>
      <w:r w:rsidDel="00000000" w:rsidR="00000000" w:rsidRPr="00000000">
        <w:rPr>
          <w:rFonts w:ascii="Google Sans" w:cs="Google Sans" w:eastAsia="Google Sans" w:hAnsi="Google Sans"/>
          <w:color w:val="1f1f1f"/>
          <w:rtl w:val="0"/>
        </w:rPr>
        <w:t xml:space="preserve"> Eliminates race conditions between the Agent and the User. Creates a magical "collaborative" feel where the user watches the agent work on the actual application canvas.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