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  <w:szCs w:val="48"/>
        </w:rPr>
        <w:t>PROYECTO RUDIS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DOCUMENTO SEMILLA — ARQUITECTURA INSTITUCIONAL Y TRANSICIÓN DEMOCRÁTICA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Estado:</w:t>
      </w:r>
      <w:r>
        <w:t xml:space="preserve"> Semilla de Canon — sometida a validación constitucional</w:t>
      </w:r>
      <w:r>
        <w:br w:type="textWrapping"/>
      </w:r>
      <w:r>
        <w:rPr>
          <w:b w:val="1"/>
          <w:bCs w:val="1"/>
        </w:rPr>
        <w:t>Ámbito:</w:t>
      </w:r>
      <w:r>
        <w:t xml:space="preserve"> Gobernanza, legitimidad política, continuidad institucional y transición hacia la soberanía ciudadana</w:t>
      </w:r>
      <w:r>
        <w:br w:type="textWrapping"/>
      </w:r>
      <w:r>
        <w:rPr>
          <w:b w:val="1"/>
          <w:bCs w:val="1"/>
        </w:rPr>
        <w:t>Función:</w:t>
      </w:r>
      <w:r>
        <w:t xml:space="preserve"> Establecer las bases institucionales sobre las que Rudis podrá pasar de ecosistema proyectado a comunidad políticamente constituida.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I. PRINCIPIO FUNDAMENTAL</w:t>
      </w:r>
    </w:p>
    <w:p>
      <w:pPr>
        <w:spacing w:before="240" w:after="240"/>
        <w:ind w:firstLine="0" w:left="0" w:right="0"/>
      </w:pPr>
      <w:r>
        <w:t>Rudis no deberá depender indefinidamente de las personas que lo construyeron.</w:t>
      </w:r>
    </w:p>
    <w:p>
      <w:pPr>
        <w:spacing w:before="240" w:after="240"/>
        <w:ind w:firstLine="0" w:left="0" w:right="0"/>
      </w:pPr>
      <w:r>
        <w:t>La arquitectura inicial podrá requerir dirección, coordinación y decisiones fundacionales. Sin embargo, esas necesidades no podrán convertirse por inercia en soberanía permanente.</w:t>
      </w:r>
    </w:p>
    <w:p>
      <w:pPr>
        <w:spacing w:before="240" w:after="240"/>
        <w:ind w:firstLine="0" w:left="0" w:right="0"/>
      </w:pPr>
      <w:r>
        <w:t xml:space="preserve">El objetivo de la arquitectura institucional es permitir que el ecosistema evolucione desde una fase de </w:t>
      </w:r>
      <w:r>
        <w:rPr>
          <w:b w:val="1"/>
          <w:bCs w:val="1"/>
        </w:rPr>
        <w:t>fundación y construcción</w:t>
      </w:r>
      <w:r>
        <w:t xml:space="preserve"> hacia una fase de </w:t>
      </w:r>
      <w:r>
        <w:rPr>
          <w:b w:val="1"/>
          <w:bCs w:val="1"/>
        </w:rPr>
        <w:t>participación, representación y gobierno ciudadano</w:t>
      </w:r>
      <w:r>
        <w:t>.</w:t>
      </w:r>
    </w:p>
    <w:p>
      <w:pPr>
        <w:spacing w:before="240" w:after="240"/>
        <w:ind w:firstLine="0" w:left="0" w:right="0"/>
      </w:pPr>
      <w:r>
        <w:t>La legitimidad deberá desplazarse progresivamente desde la capacidad de construir hacia la capacidad de representar.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Construir Rudis no equivale a poseer Rudis.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II. LA ASAMBLEA GENERAL COMO UMBRAL DE SOBERANÍA POLÍTICA</w:t>
      </w:r>
    </w:p>
    <w:p>
      <w:pPr>
        <w:spacing w:before="240" w:after="240"/>
        <w:ind w:firstLine="0" w:left="0" w:right="0"/>
      </w:pPr>
      <w:r>
        <w:t>La primera Asamblea General de ciudadanos constituye un acontecimiento constitucional de especial relevancia.</w:t>
      </w:r>
    </w:p>
    <w:p>
      <w:pPr>
        <w:spacing w:before="240" w:after="240"/>
        <w:ind w:firstLine="0" w:left="0" w:right="0"/>
      </w:pPr>
      <w:r>
        <w:t>Su formación marca el momento en que existe, por primera vez, un cuerpo político capaz de expresar colectivamente una voluntad propia.</w:t>
      </w:r>
    </w:p>
    <w:p>
      <w:pPr>
        <w:spacing w:before="240" w:after="240"/>
        <w:ind w:firstLine="0" w:left="0" w:right="0"/>
      </w:pPr>
      <w:r>
        <w:t>Desde ese momento: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la ciudadanía adquiere capacidad política efectiva;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las instituciones deberán responder ante la comunidad;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la representación podrá ser cuestionada;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los cargos políticos deberán poder someterse a mecanismos de ratificación o sustitución;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la continuidad institucional deberá quedar separada de la permanencia de individuos concretos.</w:t>
      </w:r>
    </w:p>
    <w:p>
      <w:pPr>
        <w:spacing w:before="240" w:after="240"/>
        <w:ind w:firstLine="0" w:left="0" w:right="0"/>
      </w:pPr>
      <w:r>
        <w:t>La Asamblea no constituye únicamente un órgano deliberativo.</w:t>
      </w:r>
    </w:p>
    <w:p>
      <w:pPr>
        <w:spacing w:before="240" w:after="240"/>
        <w:ind w:firstLine="0" w:left="0" w:right="0"/>
      </w:pPr>
      <w:r>
        <w:t>Es el mecanismo mediante el cual Rudis comienza a gobernarse a sí mismo.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III. LEGITIMIDAD DELEGADA</w:t>
      </w:r>
    </w:p>
    <w:p>
      <w:pPr>
        <w:spacing w:before="240" w:after="240"/>
        <w:ind w:firstLine="0" w:left="0" w:right="0"/>
      </w:pPr>
      <w:r>
        <w:t>Toda autoridad política ejercida dentro de Rudis deberá poder identificarse mediante una cadena de legitimidad: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Ciudadanía → Asamblea → mandato político → órgano competente → actuación</w:t>
      </w:r>
    </w:p>
    <w:p>
      <w:pPr>
        <w:spacing w:before="240" w:after="240"/>
        <w:ind w:firstLine="0" w:left="0" w:right="0"/>
      </w:pPr>
      <w:r>
        <w:t>Ninguna posición institucional podrá considerarse soberana por el mero hecho de haber existido durante la etapa fundacional.</w:t>
      </w:r>
    </w:p>
    <w:p>
      <w:pPr>
        <w:spacing w:before="240" w:after="240"/>
        <w:ind w:firstLine="0" w:left="0" w:right="0"/>
      </w:pPr>
      <w:r>
        <w:t>La autoridad delegada podrá mantenerse mientras exista respaldo político suficiente y mientras sus actuaciones permanezcan dentro de las competencias constitucionalmente establecidas.</w:t>
      </w:r>
    </w:p>
    <w:p>
      <w:pPr>
        <w:spacing w:before="240" w:after="240"/>
        <w:ind w:firstLine="0" w:left="0" w:right="0"/>
      </w:pPr>
      <w:r>
        <w:t>La legitimidad no será una propiedad permanente de la persona que ocupa una función.</w:t>
      </w:r>
    </w:p>
    <w:p>
      <w:pPr>
        <w:spacing w:before="240" w:after="240"/>
        <w:ind w:firstLine="0" w:left="0" w:right="0"/>
      </w:pPr>
      <w:r>
        <w:t>Será una relación viva entre representación y comunidad.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IV. REFERÉNDUM Y REVOCABILIDAD</w:t>
      </w:r>
    </w:p>
    <w:p>
      <w:pPr>
        <w:spacing w:before="240" w:after="240"/>
        <w:ind w:firstLine="0" w:left="0" w:right="0"/>
      </w:pPr>
      <w:r>
        <w:t>Rudis deberá disponer de mecanismos democráticos capaces de sustituir una autoridad política sin necesidad de recurrir a la ruptura institucional.</w:t>
      </w:r>
    </w:p>
    <w:p>
      <w:pPr>
        <w:spacing w:before="240" w:after="240"/>
        <w:ind w:firstLine="0" w:left="0" w:right="0"/>
      </w:pPr>
      <w:r>
        <w:t xml:space="preserve">Como principio de diseño, cualquier autoridad política cuya legitimidad dependa del respaldo ciudadano deberá poder ser sometida a referéndum cuando exista una propuesta formal respaldada por un mínimo del </w:t>
      </w:r>
      <w:r>
        <w:rPr>
          <w:b w:val="1"/>
          <w:bCs w:val="1"/>
        </w:rPr>
        <w:t>10 % del electorado</w:t>
      </w:r>
      <w:r>
        <w:t>.</w:t>
      </w:r>
    </w:p>
    <w:p>
      <w:pPr>
        <w:spacing w:before="240" w:after="240"/>
        <w:ind w:firstLine="0" w:left="0" w:right="0"/>
      </w:pPr>
      <w:r>
        <w:t>El procedimiento deberá determinar posteriormente: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requisitos de convocatoria;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autenticidad y trazabilidad de las firmas;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plazos;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información pública previa;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garantías de participación;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quórum, si procediera;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mayoría necesaria;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efectos de la decisión;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procedimiento de transición.</w:t>
      </w:r>
    </w:p>
    <w:p>
      <w:pPr>
        <w:spacing w:before="240" w:after="240"/>
        <w:ind w:firstLine="0" w:left="0" w:right="0"/>
      </w:pPr>
      <w:r>
        <w:t>El mecanismo deberá permitir tanto la continuidad como la sustitución.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Revocabilidad ≠ inestabilidad.</w:t>
      </w:r>
    </w:p>
    <w:p>
      <w:pPr>
        <w:spacing w:before="240" w:after="240"/>
        <w:ind w:firstLine="0" w:left="0" w:right="0"/>
      </w:pPr>
      <w:r>
        <w:t>La posibilidad de sustituir una autoridad constituye precisamente una de las garantías que permite que su permanencia no dependa de la fuerza.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V. TRANSICIÓN ENTRE FUNDACIÓN Y POLÍTICA</w:t>
      </w:r>
    </w:p>
    <w:p>
      <w:pPr>
        <w:spacing w:before="240" w:after="240"/>
        <w:ind w:firstLine="0" w:left="0" w:right="0"/>
      </w:pPr>
      <w:r>
        <w:t>Rudis deberá distinguir dos épocas institucionales: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A. Etapa fundacional</w:t>
      </w:r>
    </w:p>
    <w:p>
      <w:pPr>
        <w:spacing w:before="240" w:after="240"/>
        <w:ind w:firstLine="0" w:left="0" w:right="0"/>
      </w:pPr>
      <w:r>
        <w:t>Caracterizada por: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construcción;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diseño;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establecimiento de instituciones;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creación de infraestructura;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definición del corpus;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resolución de dependencias constitucionales;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establecimiento de mecanismos de supervivencia y continuidad.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B. Etapa política</w:t>
      </w:r>
    </w:p>
    <w:p>
      <w:pPr>
        <w:spacing w:before="240" w:after="240"/>
        <w:ind w:firstLine="0" w:left="0" w:right="0"/>
      </w:pPr>
      <w:r>
        <w:t>Caracterizada por: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representación;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deliberación;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negociación;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formación de mayorías;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oposición;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coaliciones;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elecciones;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referendos;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rendición de cuentas;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competencia por el apoyo ciudadano.</w:t>
      </w:r>
    </w:p>
    <w:p>
      <w:pPr>
        <w:spacing w:before="240" w:after="240"/>
        <w:ind w:firstLine="0" w:left="0" w:right="0"/>
      </w:pPr>
      <w:r>
        <w:t>La segunda etapa no deberá ser considerada un fracaso de la primera.</w:t>
      </w:r>
    </w:p>
    <w:p>
      <w:pPr>
        <w:spacing w:before="240" w:after="240"/>
        <w:ind w:firstLine="0" w:left="0" w:right="0"/>
      </w:pPr>
      <w:r>
        <w:t>Será su consecuencia natural.</w:t>
      </w:r>
    </w:p>
    <w:p>
      <w:pPr>
        <w:spacing w:before="240" w:after="240"/>
        <w:ind w:firstLine="0" w:left="0" w:right="0"/>
      </w:pPr>
      <w:r>
        <w:t>El propósito de construir instituciones es que, eventualmente, puedan ser utilizadas por personas distintas de quienes las diseñaron.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VI. EL PODER COMO RESPONSABILIDAD TEMPORAL</w:t>
      </w:r>
    </w:p>
    <w:p>
      <w:pPr>
        <w:spacing w:before="240" w:after="240"/>
        <w:ind w:firstLine="0" w:left="0" w:right="0"/>
      </w:pPr>
      <w:r>
        <w:t>Toda posición de dirección deberá interpretarse como una responsabilidad política y no como patrimonio personal.</w:t>
      </w:r>
    </w:p>
    <w:p>
      <w:pPr>
        <w:spacing w:before="240" w:after="240"/>
        <w:ind w:firstLine="0" w:left="0" w:right="0"/>
      </w:pPr>
      <w:r>
        <w:t>Quien ejerza una función deberá aceptar simultáneamente: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capacidad de decisión;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obligación de justificar sus actuaciones;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exposición a auditoría;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posibilidad de oposición;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posibilidad de sustitución;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obligación de entregar el cargo cuando corresponda.</w:t>
      </w:r>
    </w:p>
    <w:p>
      <w:pPr>
        <w:spacing w:before="240" w:after="240"/>
        <w:ind w:firstLine="0" w:left="0" w:right="0"/>
      </w:pPr>
      <w:r>
        <w:t>La permanencia de una persona en una función no deberá convertirse en condición necesaria para la continuidad de Rudis.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Rudis debe sobrevivir a sus fundadores.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VII. SEPARACIÓN ENTRE PERSONA, CARGO Y ECOSISTEMA</w:t>
      </w:r>
    </w:p>
    <w:p>
      <w:pPr>
        <w:spacing w:before="240" w:after="240"/>
        <w:ind w:firstLine="0" w:left="0" w:right="0"/>
      </w:pPr>
      <w:r>
        <w:t>Deberán mantenerse diferenciados: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Persona ≠ cargo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Cargo ≠ institución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Institución ≠ ecosistema</w:t>
      </w:r>
    </w:p>
    <w:p>
      <w:pPr>
        <w:spacing w:before="240" w:after="240"/>
        <w:ind w:firstLine="0" w:left="0" w:right="0"/>
      </w:pPr>
      <w:r>
        <w:t>La desaparición, sustitución o derrota política de una persona no deberá implicar automáticamente la desaparición de la institución que ocupaba.</w:t>
      </w:r>
    </w:p>
    <w:p>
      <w:pPr>
        <w:spacing w:before="240" w:after="240"/>
        <w:ind w:firstLine="0" w:left="0" w:right="0"/>
      </w:pPr>
      <w:r>
        <w:t>Del mismo modo, la continuidad de una institución no podrá utilizarse como argumento suficiente para preservar indefinidamente a quien la dirige.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VIII. PRIMERA ASAMBLEA Y REVELACIÓN POLÍTICA</w:t>
      </w:r>
    </w:p>
    <w:p>
      <w:pPr>
        <w:spacing w:before="240" w:after="240"/>
        <w:ind w:firstLine="0" w:left="0" w:right="0"/>
      </w:pPr>
      <w:r>
        <w:t>La constitución de la primera Asamblea General deberá producir una transición formal desde la arquitectura fundacional hacia la política abierta.</w:t>
      </w:r>
    </w:p>
    <w:p>
      <w:pPr>
        <w:spacing w:before="240" w:after="240"/>
        <w:ind w:firstLine="0" w:left="0" w:right="0"/>
      </w:pPr>
      <w:r>
        <w:t>En ese momento deberá quedar establecido: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quiénes constituyen el electorado;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cómo se acredita la ciudadanía;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qué derechos políticos posee cada ciudadano;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qué cargos existen;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qué competencias tiene cada uno;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qué mecanismos de elección existen;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qué mecanismos de deposición existen;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cómo se convocan referendos;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cómo se modifica el marco institucional;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cómo se garantiza la continuidad administrativa durante las transiciones.</w:t>
      </w:r>
    </w:p>
    <w:p>
      <w:pPr>
        <w:spacing w:before="240" w:after="240"/>
        <w:ind w:firstLine="0" w:left="0" w:right="0"/>
      </w:pPr>
      <w:r>
        <w:t>Ninguna institución deberá reservarse una autoridad indefinida simplemente porque haya sido necesaria durante la construcción.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IX. EL DERECHO A HACER POLÍTICA</w:t>
      </w:r>
    </w:p>
    <w:p>
      <w:pPr>
        <w:spacing w:before="240" w:after="240"/>
        <w:ind w:firstLine="0" w:left="0" w:right="0"/>
      </w:pPr>
      <w:r>
        <w:t>Una vez constituida la Asamblea General, la política dejará de ser una anomalía y pasará a formar parte del funcionamiento ordinario del ecosistema.</w:t>
      </w:r>
    </w:p>
    <w:p>
      <w:pPr>
        <w:spacing w:before="240" w:after="240"/>
        <w:ind w:firstLine="0" w:left="0" w:right="0"/>
      </w:pPr>
      <w:r>
        <w:t>Rudis deberá permitir: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propuestas;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oposición;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negociación;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alianzas;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campañas;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crítica;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desacuerdo;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formación de mayorías;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formación de minorías;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sustitución pacífica de autoridades.</w:t>
      </w:r>
    </w:p>
    <w:p>
      <w:pPr>
        <w:spacing w:before="240" w:after="240"/>
        <w:ind w:firstLine="0" w:left="0" w:right="0"/>
      </w:pPr>
      <w:r>
        <w:t>La arquitectura deberá tolerar que ciudadanos y grupos intenten convencer a otros ciudadanos.</w:t>
      </w:r>
    </w:p>
    <w:p>
      <w:pPr>
        <w:spacing w:before="240" w:after="240"/>
        <w:ind w:firstLine="0" w:left="0" w:right="0"/>
      </w:pPr>
      <w:r>
        <w:t>La existencia de conflicto político no constituye necesariamente una avería.</w:t>
      </w:r>
    </w:p>
    <w:p>
      <w:pPr>
        <w:spacing w:before="240" w:after="240"/>
        <w:ind w:firstLine="0" w:left="0" w:right="0"/>
      </w:pPr>
      <w:r>
        <w:t>En una comunidad soberana puede constituir una señal de que la comunidad está ejerciendo su soberanía.</w:t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X. LÍMITES CONSTITUCIONALES DE LA MAYORÍA</w:t>
      </w:r>
    </w:p>
    <w:p>
      <w:pPr>
        <w:spacing w:before="240" w:after="240"/>
        <w:ind w:firstLine="0" w:left="0" w:right="0"/>
      </w:pPr>
      <w:r>
        <w:t>La Asamblea General será fuente de legitimidad política, pero la mayoría no deberá convertirse automáticamente en fuente de cualquier competencia imaginable.</w:t>
      </w:r>
    </w:p>
    <w:p>
      <w:pPr>
        <w:spacing w:before="240" w:after="240"/>
        <w:ind w:firstLine="0" w:left="0" w:right="0"/>
      </w:pPr>
      <w:r>
        <w:t>Deberá mantenerse la distinción: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Mayoría política ≠ competencia ilimitada.</w:t>
      </w:r>
    </w:p>
    <w:p>
      <w:pPr>
        <w:spacing w:before="240" w:after="240"/>
        <w:ind w:firstLine="0" w:left="0" w:right="0"/>
      </w:pPr>
      <w:r>
        <w:t>Una decisión democrática deberá continuar sometida al corpus constitucional, a los derechos reconocidos y a las competencias institucionales existentes.</w:t>
      </w:r>
    </w:p>
    <w:p>
      <w:pPr>
        <w:spacing w:before="240" w:after="240"/>
        <w:ind w:firstLine="0" w:left="0" w:right="0"/>
      </w:pPr>
      <w:r>
        <w:t>Cuando una decisión política requiera una autoridad constitucional que el corpus no haya establecido, no deberá inventarse mediante interpretación arquitectónica.</w:t>
      </w:r>
    </w:p>
    <w:p>
      <w:pPr>
        <w:spacing w:before="240" w:after="240"/>
        <w:ind w:firstLine="0" w:left="0" w:right="0"/>
      </w:pPr>
      <w:r>
        <w:t>El estado será:</w:t>
      </w:r>
    </w:p>
    <w:p>
      <w:pPr>
        <w:spacing w:before="240" w:after="240"/>
        <w:ind w:firstLine="0" w:left="0" w:right="0"/>
      </w:pPr>
      <w:r>
        <w:rPr>
          <w:rFonts w:ascii="Courier New" w:hAnsi="Courier New" w:cs="Courier New" w:eastAsia="Courier New"/>
          <w:sz w:val="20"/>
          <w:szCs w:val="20"/>
        </w:rPr>
        <w:t>UNRESOLVED_CONSTITUTIONAL_DEPENDENCY</w:t>
      </w:r>
    </w:p>
    <w:p>
      <w:pPr>
        <w:spacing w:before="0" w:after="0"/>
        <w:ind w:firstLine="0" w:left="0" w:right="0"/>
      </w:pPr>
      <w:r>
        <w:pict>
          <v:rect xmlns:o="urn:schemas-microsoft-com:office:office" id="1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XI. CONTINUIDAD DEL ESTADO Y CAMBIO DE GOBIERNO</w:t>
      </w:r>
    </w:p>
    <w:p>
      <w:pPr>
        <w:spacing w:before="240" w:after="240"/>
        <w:ind w:firstLine="0" w:left="0" w:right="0"/>
      </w:pPr>
      <w:r>
        <w:t>Rudis deberá poder experimentar cambios políticos sin exigir la reconstrucción completa del ecosistema.</w:t>
      </w:r>
    </w:p>
    <w:p>
      <w:pPr>
        <w:spacing w:before="240" w:after="240"/>
        <w:ind w:firstLine="0" w:left="0" w:right="0"/>
      </w:pPr>
      <w:r>
        <w:t>Una transición política no deberá destruir automáticamente: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registros;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ciudadanía;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contratos;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infraestructura;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memoria;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obligaciones;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patrimonio institucional;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continuidad administrativa.</w:t>
      </w:r>
    </w:p>
    <w:p>
      <w:pPr>
        <w:spacing w:before="240" w:after="240"/>
        <w:ind w:firstLine="0" w:left="0" w:right="0"/>
      </w:pPr>
      <w:r>
        <w:t xml:space="preserve">La sustitución de autoridades deberá producir </w:t>
      </w:r>
      <w:r>
        <w:rPr>
          <w:b w:val="1"/>
          <w:bCs w:val="1"/>
        </w:rPr>
        <w:t>cambio de gobierno</w:t>
      </w:r>
      <w:r>
        <w:t xml:space="preserve">, no necesariamente </w:t>
      </w:r>
      <w:r>
        <w:rPr>
          <w:b w:val="1"/>
          <w:bCs w:val="1"/>
        </w:rPr>
        <w:t>cambio de ecosistema</w:t>
      </w:r>
      <w:r>
        <w:t>.</w:t>
      </w:r>
    </w:p>
    <w:p>
      <w:pPr>
        <w:spacing w:before="0" w:after="0"/>
        <w:ind w:firstLine="0" w:left="0" w:right="0"/>
      </w:pPr>
      <w:r>
        <w:pict>
          <v:rect xmlns:o="urn:schemas-microsoft-com:office:office" id="13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XII. PROTECCIÓN CONTRA LA CAPTURA</w:t>
      </w:r>
    </w:p>
    <w:p>
      <w:pPr>
        <w:spacing w:before="240" w:after="240"/>
        <w:ind w:firstLine="0" w:left="0" w:right="0"/>
      </w:pPr>
      <w:r>
        <w:t>La arquitectura democrática deberá impedir que el control temporal de una institución permita convertirla en propiedad permanente.</w:t>
      </w:r>
    </w:p>
    <w:p>
      <w:pPr>
        <w:spacing w:before="240" w:after="240"/>
        <w:ind w:firstLine="0" w:left="0" w:right="0"/>
      </w:pPr>
      <w:r>
        <w:t>Deberán estudiarse mecanismos para impedir: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captura de infraestructura;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captura de registros;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captura económica;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monopolización de información;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utilización de recursos públicos para blindar una autoridad;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conversión de cargos en patrimonio personal;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modificación unilateral de las reglas de sucesión;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utilización de la emergencia para eliminar la revocabilidad.</w:t>
      </w:r>
    </w:p>
    <w:p>
      <w:pPr>
        <w:spacing w:before="240" w:after="240"/>
        <w:ind w:firstLine="0" w:left="0" w:right="0"/>
      </w:pPr>
      <w:r>
        <w:t>La infraestructura deberá continuar siendo del ecosistema.</w:t>
      </w:r>
    </w:p>
    <w:p>
      <w:pPr>
        <w:spacing w:before="240" w:after="240"/>
        <w:ind w:firstLine="0" w:left="0" w:right="0"/>
      </w:pPr>
      <w:r>
        <w:t>La autoridad deberá continuar siendo delegada.</w:t>
      </w:r>
    </w:p>
    <w:p>
      <w:pPr>
        <w:spacing w:before="0" w:after="0"/>
        <w:ind w:firstLine="0" w:left="0" w:right="0"/>
      </w:pPr>
      <w:r>
        <w:pict>
          <v:rect xmlns:o="urn:schemas-microsoft-com:office:office" id="14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XIII. SISTEMA DE PAGOS</w:t>
      </w:r>
    </w:p>
    <w:p>
      <w:pPr>
        <w:spacing w:before="240" w:after="240"/>
        <w:ind w:firstLine="0" w:left="0" w:right="0"/>
      </w:pPr>
      <w:r>
        <w:t>Rudis deberá desarrollar un sistema de pagos capaz de funcionar como infraestructura económica independiente de las identidades políticas que ocupen temporalmente sus instituciones.</w:t>
      </w:r>
    </w:p>
    <w:p>
      <w:pPr>
        <w:spacing w:before="240" w:after="240"/>
        <w:ind w:firstLine="0" w:left="0" w:right="0"/>
      </w:pPr>
      <w:r>
        <w:t>El sistema deberá separar, como mínimo: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identidad del pagador;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identidad del receptor;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obligación o causa del pago;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cantidad;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unidad monetaria;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fecha;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autorización;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liquidación;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custodia;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registro;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reconciliación.</w:t>
      </w:r>
    </w:p>
    <w:p>
      <w:pPr>
        <w:spacing w:before="240" w:after="240"/>
        <w:ind w:firstLine="0" w:left="0" w:right="0"/>
      </w:pPr>
      <w:r>
        <w:t>El hecho de que una institución controle una interfaz de pago no deberá conferirle autoridad sobre los fondos que no le correspondan.</w:t>
      </w:r>
    </w:p>
    <w:p>
      <w:pPr>
        <w:spacing w:before="240" w:after="240"/>
        <w:ind w:firstLine="0" w:left="0" w:right="0"/>
      </w:pPr>
      <w:r>
        <w:t>La arquitectura económica deberá mantener la separación: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Registro ≠ dinero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Saldo registrado ≠ prueba suficiente de reserva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Acceso técnico ≠ propiedad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Propiedad ≠ autoridad política</w:t>
      </w:r>
    </w:p>
    <w:p>
      <w:pPr>
        <w:spacing w:before="240" w:after="240"/>
        <w:ind w:firstLine="0" w:left="0" w:right="0"/>
      </w:pPr>
      <w:r>
        <w:t>La definición completa de incentivos, patrimonio, remuneraciones, acumulación y distribución económica queda deliberadamente fuera de esta semilla y deberá desarrollarse en el documento siguiente.</w:t>
      </w:r>
    </w:p>
    <w:p>
      <w:pPr>
        <w:spacing w:before="0" w:after="0"/>
        <w:ind w:firstLine="0" w:left="0" w:right="0"/>
      </w:pPr>
      <w:r>
        <w:pict>
          <v:rect xmlns:o="urn:schemas-microsoft-com:office:office" id="15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XIV. INCENTIVOS Y PATRIMONIOS — RESERVA PARA LA SIGUIENTE SEMILLA</w:t>
      </w:r>
    </w:p>
    <w:p>
      <w:pPr>
        <w:spacing w:before="240" w:after="240"/>
        <w:ind w:firstLine="0" w:left="0" w:right="0"/>
      </w:pPr>
      <w:r>
        <w:t>El diseño de Rudis deberá abordar posteriormente la relación entre: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trabajo;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contribución;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propiedad;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patrimonio;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recompensa;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inversión;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riesgo;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herencia;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incentivos institucionales;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financiación de infraestructura;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acumulación de riqueza;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obligaciones fiscales;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bienes comunes.</w:t>
      </w:r>
    </w:p>
    <w:p>
      <w:pPr>
        <w:spacing w:before="240" w:after="240"/>
        <w:ind w:firstLine="0" w:left="0" w:right="0"/>
      </w:pPr>
      <w:r>
        <w:t>No deberá asumirse que estos conceptos son equivalentes.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Contribución ≠ propiedad.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Propiedad ≠ autoridad.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Riqueza ≠ legitimidad.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Necesidad ≠ mérito.</w:t>
      </w:r>
    </w:p>
    <w:p>
      <w:pPr>
        <w:spacing w:before="240" w:after="240"/>
        <w:ind w:firstLine="0" w:left="0" w:right="0"/>
      </w:pPr>
      <w:r>
        <w:t>El documento específico sobre incentivos y patrimonios deberá determinar cómo pueden coexistir estos principios sin convertir la arquitectura económica en una aristocracia política encubierta.</w:t>
      </w:r>
    </w:p>
    <w:p>
      <w:pPr>
        <w:spacing w:before="0" w:after="0"/>
        <w:ind w:firstLine="0" w:left="0" w:right="0"/>
      </w:pPr>
      <w:r>
        <w:pict>
          <v:rect xmlns:o="urn:schemas-microsoft-com:office:office" id="16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XV. PRINCIPIO DE NO PERSONALIZACIÓN DEL ECOSISTEMA</w:t>
      </w:r>
    </w:p>
    <w:p>
      <w:pPr>
        <w:spacing w:before="240" w:after="240"/>
        <w:ind w:firstLine="0" w:left="0" w:right="0"/>
      </w:pPr>
      <w:r>
        <w:t>Rudis no deberá depender de una única persona para conservar su identidad.</w:t>
      </w:r>
    </w:p>
    <w:p>
      <w:pPr>
        <w:spacing w:before="240" w:after="240"/>
        <w:ind w:firstLine="0" w:left="0" w:right="0"/>
      </w:pPr>
      <w:r>
        <w:t>Los fundadores pueden constituir una parte esencial de su historia.</w:t>
      </w:r>
    </w:p>
    <w:p>
      <w:pPr>
        <w:spacing w:before="240" w:after="240"/>
        <w:ind w:firstLine="0" w:left="0" w:right="0"/>
      </w:pPr>
      <w:r>
        <w:t>No deberán constituir, sin embargo, la totalidad de su futuro.</w:t>
      </w:r>
    </w:p>
    <w:p>
      <w:pPr>
        <w:spacing w:before="240" w:after="240"/>
        <w:ind w:firstLine="0" w:left="0" w:right="0"/>
      </w:pPr>
      <w:r>
        <w:t>La arquitectura deberá poder responder a la pregunta: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¿Qué ocurre con Rudis si quienes lo construyeron desaparecen?</w:t>
      </w:r>
    </w:p>
    <w:p>
      <w:pPr>
        <w:spacing w:before="240" w:after="240"/>
        <w:ind w:firstLine="0" w:left="0" w:right="0"/>
      </w:pPr>
      <w:r>
        <w:t>La respuesta correcta no puede ser: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Rudis desaparece con ellos.</w:t>
      </w:r>
    </w:p>
    <w:p>
      <w:pPr>
        <w:spacing w:before="240" w:after="240"/>
        <w:ind w:firstLine="0" w:left="0" w:right="0"/>
      </w:pPr>
      <w:r>
        <w:t>Debe ser:</w:t>
      </w:r>
    </w:p>
    <w:p>
      <w:pPr>
        <w:spacing w:before="240" w:after="240"/>
        <w:ind w:firstLine="0" w:left="600" w:right="600"/>
        <w:outlineLvl w:val="9"/>
      </w:pPr>
      <w:r>
        <w:rPr>
          <w:i w:val="1"/>
          <w:iCs w:val="1"/>
        </w:rPr>
        <w:t>Rudis continúa, porque fue diseñado para poder continuar.</w:t>
      </w:r>
    </w:p>
    <w:p>
      <w:pPr>
        <w:spacing w:before="0" w:after="0"/>
        <w:ind w:firstLine="0" w:left="0" w:right="0"/>
      </w:pPr>
      <w:r>
        <w:pict>
          <v:rect xmlns:o="urn:schemas-microsoft-com:office:office" id="17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XVI. FÓRMULA DE TRANSICIÓN</w:t>
      </w:r>
    </w:p>
    <w:p>
      <w:pPr>
        <w:spacing w:before="240" w:after="240"/>
        <w:ind w:firstLine="0" w:left="0" w:right="0"/>
      </w:pPr>
      <w:r>
        <w:t>La evolución institucional deberá poder expresarse mediante la siguiente secuencia: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Fundación → Infraestructura → Comunidad → Primera Asamblea → Representación → Política → Rendición de cuentas → Alternancia → Continuidad</w:t>
      </w:r>
    </w:p>
    <w:p>
      <w:pPr>
        <w:spacing w:before="240" w:after="240"/>
        <w:ind w:firstLine="0" w:left="0" w:right="0"/>
      </w:pPr>
      <w:r>
        <w:t>Cada transición deberá aumentar la autonomía política de la comunidad sin destruir la infraestructura construida durante la etapa anterior.</w:t>
      </w:r>
    </w:p>
    <w:p>
      <w:pPr>
        <w:spacing w:before="0" w:after="0"/>
        <w:ind w:firstLine="0" w:left="0" w:right="0"/>
      </w:pPr>
      <w:r>
        <w:pict>
          <v:rect xmlns:o="urn:schemas-microsoft-com:office:office" id="18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XVII. PRINCIPIO FINAL</w:t>
      </w:r>
    </w:p>
    <w:p>
      <w:pPr>
        <w:spacing w:before="240" w:after="240"/>
        <w:ind w:firstLine="0" w:left="0" w:right="0"/>
      </w:pPr>
      <w:r>
        <w:t>La arquitectura fundacional tiene una obligación paradójica: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Construir algo que eventualmente ya no necesite a sus constructores para gobernarse.</w:t>
      </w:r>
    </w:p>
    <w:p>
      <w:pPr>
        <w:spacing w:before="240" w:after="240"/>
        <w:ind w:firstLine="0" w:left="0" w:right="0"/>
      </w:pPr>
      <w:r>
        <w:t>La primera Asamblea General no deberá ser el final de Rudis.</w:t>
      </w:r>
    </w:p>
    <w:p>
      <w:r>
        <w:t>Deberá ser la prueba de que Rudis ha comenzado realmente.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7EFF0B7"/>
    <w:multiLevelType w:val="hybridMultilevel"/>
    <w:lvl w:ilvl="0" w:tplc="3F2CDD0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021A4F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241786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13F49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4C309B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D0DA52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6C4D4D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897F87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25F479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67270A0E"/>
    <w:multiLevelType w:val="hybridMultilevel"/>
    <w:lvl w:ilvl="0" w:tplc="6484F77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7200E3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3602F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EA94F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C489D8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1EF0F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1BA36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1737A7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8FA2FC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EC9EB96"/>
    <w:multiLevelType w:val="hybridMultilevel"/>
    <w:lvl w:ilvl="0" w:tplc="567DAC7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DC9EBC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7B12B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E2160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36203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87040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2C591C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DBFB4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2E09BB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2D323658"/>
    <w:multiLevelType w:val="hybridMultilevel"/>
    <w:lvl w:ilvl="0" w:tplc="1289EAF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19A47B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C8848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352E7A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B5FBC2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A6C41C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32CFF2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5EB87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6DDB37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0739FB37"/>
    <w:multiLevelType w:val="hybridMultilevel"/>
    <w:lvl w:ilvl="0" w:tplc="240CF1C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7D27D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044DA0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D29FF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2F6BD4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D207AE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A19F9A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915669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C894E9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43ECAF2B"/>
    <w:multiLevelType w:val="hybridMultilevel"/>
    <w:lvl w:ilvl="0" w:tplc="7CC5907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AA1E9B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3ED4C9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F86C5D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BEA9D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FBB23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304AA8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B1EA7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F588BC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34AC57C"/>
    <w:multiLevelType w:val="hybridMultilevel"/>
    <w:lvl w:ilvl="0" w:tplc="1C152F8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F50BD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1684CB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94D2EE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EEFF9F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0D3A2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E554F8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9204B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35D843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5957DC5C"/>
    <w:multiLevelType w:val="hybridMultilevel"/>
    <w:lvl w:ilvl="0" w:tplc="6398773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837F45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7473C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BE7AB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3D2067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58188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2E8FC8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CC1AA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4D3C4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79117D75"/>
    <w:multiLevelType w:val="hybridMultilevel"/>
    <w:lvl w:ilvl="0" w:tplc="4465CC2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5015A2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AB55B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F81ADC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7E7689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3D5BBE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21A023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87038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794D9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6BA44432"/>
    <w:multiLevelType w:val="hybridMultilevel"/>
    <w:lvl w:ilvl="0" w:tplc="0C36645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4632EA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23CEDA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5A050B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82230E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F167BA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87EEB8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7749AA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5A0F32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4D3449B3"/>
    <w:multiLevelType w:val="hybridMultilevel"/>
    <w:lvl w:ilvl="0" w:tplc="05E9585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7F853B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8B339B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25E058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1E659E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E5F264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0EB4B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EE288F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AF3A12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Jose Angel Moreno Cabezas</dc:creator>
  <dcterms:created xsi:type="dcterms:W3CDTF">2026-08-08T22:06:56Z</dcterms:created>
  <cp:lastModifiedBy>Jose Angel Moreno Cabezas</cp:lastModifiedBy>
  <dcterms:modified xsi:type="dcterms:W3CDTF">2026-08-08T22:06:56Z</dcterms:modified>
  <cp:revision>1</cp:revision>
</cp:coreProperties>
</file>