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="0" w:after="240"/>
        <w:ind w:firstLine="0" w:left="0" w:right="0"/>
        <w:outlineLvl w:val="0"/>
        <w:rPr>
          <w:rFonts w:ascii="Google Sans" w:hAnsi="Google Sans" w:cs="Google Sans" w:eastAsia="Google Sans"/>
          <w:b w:val="1"/>
          <w:sz w:val="48"/>
        </w:rPr>
      </w:pPr>
      <w:bookmarkStart w:id="0" w:name="_dx_frag_StartFragment"/>
      <w:bookmarkEnd w:id="0"/>
      <w:r>
        <w:rPr>
          <w:rFonts w:ascii="Google Sans" w:hAnsi="Google Sans" w:cs="Google Sans" w:eastAsia="Google Sans"/>
          <w:b w:val="1"/>
          <w:sz w:val="48"/>
          <w:szCs w:val="48"/>
        </w:rPr>
        <w:t>II. PROYECTO RUDIS: SEMILLA CONSOLIDADA v3.0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1"/>
          <w:iCs w:val="1"/>
        </w:rPr>
        <w:t>Protocolo Institucional de Gobernanza Funcional y Desarrollo Fractal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1. Naturaleza del Proyecto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El </w:t>
      </w:r>
      <w:r>
        <w:rPr>
          <w:rFonts w:ascii="Google Sans Text" w:hAnsi="Google Sans Text" w:cs="Google Sans Text" w:eastAsia="Google Sans Text"/>
          <w:b w:val="1"/>
          <w:bCs w:val="1"/>
        </w:rPr>
        <w:t>Proyecto Rudis</w:t>
      </w:r>
      <w:r>
        <w:rPr>
          <w:rFonts w:ascii="Google Sans Text" w:hAnsi="Google Sans Text" w:cs="Google Sans Text" w:eastAsia="Google Sans Text"/>
        </w:rPr>
        <w:t xml:space="preserve"> es un </w:t>
      </w:r>
      <w:r>
        <w:rPr>
          <w:rFonts w:ascii="Google Sans Text" w:hAnsi="Google Sans Text" w:cs="Google Sans Text" w:eastAsia="Google Sans Text"/>
          <w:b w:val="1"/>
          <w:bCs w:val="1"/>
        </w:rPr>
        <w:t>protocolo institucional de gobernanza funcional</w:t>
      </w:r>
      <w:r>
        <w:rPr>
          <w:rFonts w:ascii="Google Sans Text" w:hAnsi="Google Sans Text" w:cs="Google Sans Text" w:eastAsia="Google Sans Text"/>
        </w:rPr>
        <w:t xml:space="preserve">, descentralizado y de código abierto. Su propósito no es sustituir la soberanía formal ni la simbología de un Estado, sino reemplazar sus </w:t>
      </w:r>
      <w:r>
        <w:rPr>
          <w:rFonts w:ascii="Google Sans Text" w:hAnsi="Google Sans Text" w:cs="Google Sans Text" w:eastAsia="Google Sans Text"/>
          <w:b w:val="1"/>
          <w:bCs w:val="1"/>
        </w:rPr>
        <w:t>funciones operativas colapsadas</w:t>
      </w:r>
      <w:r>
        <w:rPr>
          <w:rFonts w:ascii="Google Sans Text" w:hAnsi="Google Sans Text" w:cs="Google Sans Text" w:eastAsia="Google Sans Text"/>
        </w:rPr>
        <w:t xml:space="preserve"> (registro de propiedad, certidumbre jurídica, moneda, infraestructura y protección social) a nivel micro-local mediante software autoejecutable y facilitación humana.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Se rige por el principio de </w:t>
      </w:r>
      <w:r>
        <w:rPr>
          <w:rFonts w:ascii="Google Sans Text" w:hAnsi="Google Sans Text" w:cs="Google Sans Text" w:eastAsia="Google Sans Text"/>
          <w:b w:val="1"/>
          <w:bCs w:val="1"/>
        </w:rPr>
        <w:t>adopción por utilidad, reversibilidad permanente y permanencia voluntaria</w:t>
      </w:r>
      <w:r>
        <w:rPr>
          <w:rFonts w:ascii="Google Sans Text" w:hAnsi="Google Sans Text" w:cs="Google Sans Text" w:eastAsia="Google Sans Text"/>
        </w:rPr>
        <w:t>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2. Arquitectura del Protocolo (Las 5 Capas + Capa de Memoria)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[ Capa 4: Economía, Moneda y Tesorería Multianual (Años 2-10) 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[ Capa 3: Micro-Infraestructura Off-Grid (Energía Solar, Red Mesh, Starlink) 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[ Capa 2: Justiciabilidad, Arbitraje Exógeno y Mercado de Predicción 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[ Capa 1: Identidad SSI, Contratos e Historial Reputacional 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----------------------------------------------------------------------------------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[ Capa 0: Dimensión Social, OPAC, Códice Cultural y Disuasión Protegida 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</w:rPr>
      </w:pP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Capa 0: Dimensión Social, Psicopedagógica y Memoria Cultural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Órgano Pedagógico y Acompañamiento Cívico (OPAC):</w:t>
      </w:r>
      <w:r>
        <w:rPr>
          <w:rFonts w:ascii="Google Sans Text" w:hAnsi="Google Sans Text" w:cs="Google Sans Text" w:eastAsia="Google Sans Text"/>
        </w:rPr>
        <w:t xml:space="preserve"> Facilitadores humanos sobre el terreno encargados del diseño cívico, la alfabetización digital y la resolución pacífica inicial.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El Códice del Nodo (Memoria Colectiva):</w:t>
      </w:r>
      <w:r>
        <w:rPr>
          <w:rFonts w:ascii="Google Sans Text" w:hAnsi="Google Sans Text" w:cs="Google Sans Text" w:eastAsia="Google Sans Text"/>
        </w:rPr>
        <w:t xml:space="preserve"> Registro histórico inmutable que preserva la jurisprudencia local, la historia comunitaria y las lecciones aprendidas de errores pasados.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Mecanismo Anti-Oligarquía:</w:t>
      </w:r>
      <w:r>
        <w:rPr>
          <w:rFonts w:ascii="Google Sans Text" w:hAnsi="Google Sans Text" w:cs="Google Sans Text" w:eastAsia="Google Sans Text"/>
        </w:rPr>
        <w:t xml:space="preserve"> Voto Cuadrático ($\text{Peso de Voto} = \sqrt{\text{Reputación}}$) para impedir la captura política por acumulación de capital.</w:t>
      </w:r>
    </w:p>
    <w:p>
      <w:pPr>
        <w:numPr>
          <w:ilvl w:val="0"/>
          <w:numId w:val="1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Protocolo de Congelación Gradual (Píldora de Veneno Protegida):</w:t>
      </w:r>
      <w:r>
        <w:rPr>
          <w:rFonts w:ascii="Google Sans Text" w:hAnsi="Google Sans Text" w:cs="Google Sans Text" w:eastAsia="Google Sans Text"/>
        </w:rPr>
        <w:t xml:space="preserve"> Salvaguarda de activos en caso de asalto armado que requiere multifirma, temporizador de 48 horas y derecho de veto comunitario para evitar falsos positivos.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Capa 1: Identidad Autosoberana (SSI) y Propiedad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Identidad Digital SSI:</w:t>
      </w:r>
      <w:r>
        <w:rPr>
          <w:rFonts w:ascii="Google Sans Text" w:hAnsi="Google Sans Text" w:cs="Google Sans Text" w:eastAsia="Google Sans Text"/>
        </w:rPr>
        <w:t xml:space="preserve"> Control absoluto del usuario sobre sus credenciales, inalterables por terceros.</w:t>
      </w:r>
    </w:p>
    <w:p>
      <w:pPr>
        <w:numPr>
          <w:ilvl w:val="0"/>
          <w:numId w:val="2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Registro de Propiedad Inmutable:</w:t>
      </w:r>
      <w:r>
        <w:rPr>
          <w:rFonts w:ascii="Google Sans Text" w:hAnsi="Google Sans Text" w:cs="Google Sans Text" w:eastAsia="Google Sans Text"/>
        </w:rPr>
        <w:t xml:space="preserve"> Certificación criptográfica de la propiedad de bienes y comercios para prevenir despojos o abusos de autoridad.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Capa 2: Justiciabilidad, Arbitraje y Desempate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Tribunales de Arbitraje:</w:t>
      </w:r>
      <w:r>
        <w:rPr>
          <w:rFonts w:ascii="Google Sans Text" w:hAnsi="Google Sans Text" w:cs="Google Sans Text" w:eastAsia="Google Sans Text"/>
        </w:rPr>
        <w:t xml:space="preserve"> Resguardo de fondos en custodia (</w:t>
      </w:r>
      <w:r>
        <w:rPr>
          <w:rFonts w:ascii="Google Sans Text" w:hAnsi="Google Sans Text" w:cs="Google Sans Text" w:eastAsia="Google Sans Text"/>
          <w:i w:val="1"/>
          <w:iCs w:val="1"/>
        </w:rPr>
        <w:t>escrow</w:t>
      </w:r>
      <w:r>
        <w:rPr>
          <w:rFonts w:ascii="Google Sans Text" w:hAnsi="Google Sans Text" w:cs="Google Sans Text" w:eastAsia="Google Sans Text"/>
        </w:rPr>
        <w:t>) liberados mediante laudo.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Resolución de Bloqueos (50/50):</w:t>
      </w:r>
      <w:r>
        <w:rPr>
          <w:rFonts w:ascii="Google Sans Text" w:hAnsi="Google Sans Text" w:cs="Google Sans Text" w:eastAsia="Google Sans Text"/>
        </w:rPr>
        <w:t xml:space="preserve"> Escalamiento por Futarquía (mercados de predicción sobre impacto de decisiones) y jurados exógenos seleccionados al azar entre otros nodos de la red.</w:t>
      </w:r>
    </w:p>
    <w:p>
      <w:pPr>
        <w:numPr>
          <w:ilvl w:val="0"/>
          <w:numId w:val="3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Anticorrupción Interna:</w:t>
      </w:r>
      <w:r>
        <w:rPr>
          <w:rFonts w:ascii="Google Sans Text" w:hAnsi="Google Sans Text" w:cs="Google Sans Text" w:eastAsia="Google Sans Text"/>
        </w:rPr>
        <w:t xml:space="preserve"> Mandatos temporales del Comité (6 meses), revocatoria por firma cívica del 20%, auditorías cruzadas y operaciones técnicas en multifirma.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Capa 3: Micro-Infraestructura Off-Grid</w:t>
      </w:r>
    </w:p>
    <w:p>
      <w:pPr>
        <w:numPr>
          <w:ilvl w:val="0"/>
          <w:numId w:val="4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Suministro descentralizado de energía, potabilización de agua y telecomunicaciones Mesh/Satelitales bajo esquema de cobro por uso (</w:t>
      </w:r>
      <w:r>
        <w:rPr>
          <w:rFonts w:ascii="Google Sans Text" w:hAnsi="Google Sans Text" w:cs="Google Sans Text" w:eastAsia="Google Sans Text"/>
          <w:i w:val="1"/>
          <w:iCs w:val="1"/>
        </w:rPr>
        <w:t>pay-as-you-go</w:t>
      </w:r>
      <w:r>
        <w:rPr>
          <w:rFonts w:ascii="Google Sans Text" w:hAnsi="Google Sans Text" w:cs="Google Sans Text" w:eastAsia="Google Sans Text"/>
        </w:rPr>
        <w:t>).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Capa 4: Economía y Tesorería Sustentable Multianual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Circulación Monetaria:</w:t>
      </w:r>
      <w:r>
        <w:rPr>
          <w:rFonts w:ascii="Google Sans Text" w:hAnsi="Google Sans Text" w:cs="Google Sans Text" w:eastAsia="Google Sans Text"/>
        </w:rPr>
        <w:t xml:space="preserve"> Uso de divisa estable (</w:t>
      </w:r>
      <w:r>
        <w:rPr>
          <w:rFonts w:ascii="Google Sans Text" w:hAnsi="Google Sans Text" w:cs="Google Sans Text" w:eastAsia="Google Sans Text"/>
          <w:i w:val="1"/>
          <w:iCs w:val="1"/>
        </w:rPr>
        <w:t>stablecoin</w:t>
      </w:r>
      <w:r>
        <w:rPr>
          <w:rFonts w:ascii="Google Sans Text" w:hAnsi="Google Sans Text" w:cs="Google Sans Text" w:eastAsia="Google Sans Text"/>
        </w:rPr>
        <w:t>) o vales locales para eliminar la volatilidad e hiperinflación.</w:t>
      </w:r>
    </w:p>
    <w:p>
      <w:pPr>
        <w:numPr>
          <w:ilvl w:val="0"/>
          <w:numId w:val="5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Tesorería Descentralizada (Año 2+):</w:t>
      </w:r>
      <w:r>
        <w:rPr>
          <w:rFonts w:ascii="Google Sans Text" w:hAnsi="Google Sans Text" w:cs="Google Sans Text" w:eastAsia="Google Sans Text"/>
        </w:rPr>
        <w:t xml:space="preserve"> Reserva comunitaria acumulada mediante el 20% de las micro-tasas operativas (0.3% P2P) e ingresos por canon comercial, garantizando la autofinanciación del nodo a largo plazo.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3. Escalabilidad Fractal: El Modelo de Red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Rudis no escala de forma centralizada. Su crecimiento se basa en la </w:t>
      </w:r>
      <w:r>
        <w:rPr>
          <w:rFonts w:ascii="Google Sans Text" w:hAnsi="Google Sans Text" w:cs="Google Sans Text" w:eastAsia="Google Sans Text"/>
          <w:b w:val="1"/>
          <w:bCs w:val="1"/>
        </w:rPr>
        <w:t>interconexión fractal</w:t>
      </w:r>
      <w:r>
        <w:rPr>
          <w:rFonts w:ascii="Google Sans Text" w:hAnsi="Google Sans Text" w:cs="Google Sans Text" w:eastAsia="Google Sans Text"/>
        </w:rPr>
        <w:t>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[ Nivel 1: Micro-Nodo Barrio ] ──(Federación)──&gt; [ Nivel 2: Ciudad ] ──(Red Cross-Chain)──&gt; [ Nivel 3: Región 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(Autonomía local total)                   (Estándares compartidos)                     (Mercado Común)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</w:rPr>
      </w:pP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Cada nivel opera de forma autónoma. Si un nodo o federación falla, los demás nodos continúan operando sin interrupción.</w:t>
      </w: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4. Matriz de Resiliencia Operativa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7"/>
        <w:gridCol w:w="2130"/>
        <w:gridCol w:w="5523"/>
      </w:tblGrid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Nivel de Operación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Estado Técnico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Capacidad Operativa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Nivel 2 (Nominal)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Energía + Internet Satelital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Sincronización en red global, arbitraje remoto exógeno y respaldos externos continuos.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Nivel 1 (Local Off-Grid)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Energía Solar + Red Mesh Local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Operación interna en servidores locales (Raspberry Pi/Nodos solares), comercio P2P y arbitraje presencial.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Nivel 0 (Apocalipsis)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Sin Luz / Sin Red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Registros analógico-criptográficos (libretas físicas con firmas en códigos QR fríos) para reconciliación posterior.</w:t>
            </w:r>
          </w:p>
        </w:tc>
      </w:tr>
    </w:tbl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5. Modelo Económico Multianual (Ciclo de Vida del Nodo)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>[Año 1: Implantación y Semilla] ──&gt; [Año 2-3: Punto de Equilibrio] ──&gt; [Año 4-10: Sostenibilidad Autónoma]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- Subsidio CapEx ($70,000)          - Cobertura OpEx con tasas        - Dividendos Cívicos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  <w:szCs w:val="20"/>
        </w:rPr>
      </w:pPr>
      <w:r>
        <w:rPr>
          <w:rFonts w:ascii="Google Sans Text" w:hAnsi="Google Sans Text" w:cs="Google Sans Text" w:eastAsia="Google Sans Text"/>
          <w:vanish w:val="0"/>
          <w:sz w:val="20"/>
          <w:szCs w:val="20"/>
        </w:rPr>
        <w:t xml:space="preserve">   - Apoyo del equipo OPAC              - Tesorería acumulando reservas   - Servicios públicos subvencionados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 w:before="0" w:after="0"/>
        <w:ind w:firstLine="0" w:left="0" w:right="0"/>
        <w:outlineLvl w:val="9"/>
        <w:rPr>
          <w:rFonts w:ascii="Google Sans Text" w:hAnsi="Google Sans Text" w:cs="Google Sans Text" w:eastAsia="Google Sans Text"/>
          <w:vanish w:val="0"/>
          <w:sz w:val="20"/>
        </w:rPr>
      </w:pPr>
    </w:p>
    <w:p>
      <w:pPr>
        <w:spacing w:lineRule="auto" w:line="276" w:before="0" w:after="24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6. Libro Blanco de Validación Experimental (LBVE v3.0)</w:t>
      </w:r>
    </w:p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Ficha Técnica del Experimento: Nodo 0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1"/>
          <w:bCs w:val="1"/>
        </w:rPr>
        <w:t>Hipótesis General:</w:t>
      </w:r>
      <w:r>
        <w:rPr>
          <w:rFonts w:ascii="Google Sans Text" w:hAnsi="Google Sans Text" w:cs="Google Sans Text" w:eastAsia="Google Sans Text"/>
        </w:rPr>
        <w:t xml:space="preserve"> </w:t>
      </w:r>
      <w:r>
        <w:rPr>
          <w:rFonts w:ascii="Google Sans Text" w:hAnsi="Google Sans Text" w:cs="Google Sans Text" w:eastAsia="Google Sans Text"/>
          <w:i w:val="1"/>
          <w:iCs w:val="1"/>
        </w:rPr>
        <w:t>Un enclave de 1,000 a 2,000 personas en una zona de servicios públicos colapsados puede adoptar y sostener las funciones de propiedad, arbitraje y pagos del protocolo Rudis durante 180 días, aumentando la actividad económica en un &gt;40%, alcanzando una satisfacción cívica &gt;80% y generando retención voluntaria sin subsidio.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7"/>
        <w:gridCol w:w="3530"/>
        <w:gridCol w:w="3363"/>
      </w:tblGrid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Métricas Eficiencia (KPIs)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Índices de Confianza Orgánica (TLI)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Criterios de Fracaso / Abandono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&gt;500</w:t>
            </w:r>
            <w:r>
              <w:rPr>
                <w:rFonts w:ascii="Google Sans Text" w:hAnsi="Google Sans Text" w:cs="Google Sans Text" w:eastAsia="Google Sans Text"/>
              </w:rPr>
              <w:t xml:space="preserve"> identidades SSI activas en 60 días.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&gt;75%</w:t>
            </w:r>
            <w:r>
              <w:rPr>
                <w:rFonts w:ascii="Google Sans Text" w:hAnsi="Google Sans Text" w:cs="Google Sans Text" w:eastAsia="Google Sans Text"/>
              </w:rPr>
              <w:t xml:space="preserve"> de retención voluntaria tras retirar subsidios.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Abandono &gt;30% de usuarios hacia el dinero físico informal en el mes 2.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&gt;1,000</w:t>
            </w:r>
            <w:r>
              <w:rPr>
                <w:rFonts w:ascii="Google Sans Text" w:hAnsi="Google Sans Text" w:cs="Google Sans Text" w:eastAsia="Google Sans Text"/>
              </w:rPr>
              <w:t xml:space="preserve"> transacciones semanales sin dinero físico.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&gt;80%</w:t>
            </w:r>
            <w:r>
              <w:rPr>
                <w:rFonts w:ascii="Google Sans Text" w:hAnsi="Google Sans Text" w:cs="Google Sans Text" w:eastAsia="Google Sans Text"/>
              </w:rPr>
              <w:t xml:space="preserve"> de recurrencia en el uso de servicios de arbitraje.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Captura irreversible por grupos armados o corrupción del Comité.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 xml:space="preserve">Resolución de disputas en </w:t>
            </w: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&lt;24 horas</w:t>
            </w:r>
            <w:r>
              <w:rPr>
                <w:rFonts w:ascii="Google Sans Text" w:hAnsi="Google Sans Text" w:cs="Google Sans Text" w:eastAsia="Google Sans Text"/>
              </w:rPr>
              <w:t>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Crecimiento orgánico (</w:t>
            </w:r>
            <w:r>
              <w:rPr>
                <w:rFonts w:ascii="Google Sans Text" w:hAnsi="Google Sans Text" w:cs="Google Sans Text" w:eastAsia="Google Sans Text"/>
                <w:b w:val="1"/>
                <w:bCs w:val="1"/>
              </w:rPr>
              <w:t>K-Factor &gt; 1.2</w:t>
            </w:r>
            <w:r>
              <w:rPr>
                <w:rFonts w:ascii="Google Sans Text" w:hAnsi="Google Sans Text" w:cs="Google Sans Text" w:eastAsia="Google Sans Text"/>
              </w:rPr>
              <w:t>) por recomendación boca a boca.</w:t>
            </w:r>
          </w:p>
        </w:tc>
        <w:tc>
          <w:tcPr>
            <w:tcW w:w="0" w:type="auto"/>
            <w:tcBorders>
              <w:top w:val="single" w:sz="6" w:space="0" w:shadow="0" w:frame="0" w:color="C4C7C5"/>
              <w:left w:val="single" w:sz="6" w:space="0" w:shadow="0" w:frame="0" w:color="C4C7C5"/>
              <w:bottom w:val="single" w:sz="6" w:space="0" w:shadow="0" w:frame="0" w:color="C4C7C5"/>
              <w:right w:val="single" w:sz="6" w:space="0" w:shadow="0" w:fram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lineRule="auto" w:line="276" w:before="0" w:after="480"/>
              <w:ind w:left="0" w:right="0"/>
              <w:rPr>
                <w:rFonts w:ascii="Google Sans Text" w:hAnsi="Google Sans Text" w:cs="Google Sans Text" w:eastAsia="Google Sans Text"/>
              </w:rPr>
            </w:pPr>
            <w:r>
              <w:rPr>
                <w:rFonts w:ascii="Google Sans Text" w:hAnsi="Google Sans Text" w:cs="Google Sans Text" w:eastAsia="Google Sans Text"/>
              </w:rPr>
              <w:t>Falsos positivos no corregidos en el Protocolo de Congelación Gradual.</w:t>
            </w:r>
          </w:p>
        </w:tc>
      </w:tr>
    </w:tbl>
    <w:p>
      <w:pPr>
        <w:spacing w:lineRule="auto" w:line="276" w:before="0" w:after="240"/>
        <w:ind w:firstLine="0" w:left="0" w:right="0"/>
        <w:outlineLvl w:val="2"/>
        <w:rPr>
          <w:rFonts w:ascii="Google Sans" w:hAnsi="Google Sans" w:cs="Google Sans" w:eastAsia="Google Sans"/>
          <w:b w:val="1"/>
          <w:sz w:val="27"/>
        </w:rPr>
      </w:pPr>
      <w:r>
        <w:rPr>
          <w:rFonts w:ascii="Google Sans" w:hAnsi="Google Sans" w:cs="Google Sans" w:eastAsia="Google Sans"/>
          <w:b w:val="1"/>
          <w:sz w:val="27"/>
          <w:szCs w:val="27"/>
        </w:rPr>
        <w:t>Protocolo de Liquidación y Salida Ordenada</w:t>
      </w:r>
    </w:p>
    <w:p>
      <w:pPr>
        <w:spacing w:lineRule="auto" w:line="276" w:before="0" w:after="24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Si se activa un criterio de fracaso irreversible en el día 90: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Descongelación y devolución inmediata de los depósitos en custodia (</w:t>
      </w:r>
      <w:r>
        <w:rPr>
          <w:rFonts w:ascii="Google Sans Text" w:hAnsi="Google Sans Text" w:cs="Google Sans Text" w:eastAsia="Google Sans Text"/>
          <w:i w:val="1"/>
          <w:iCs w:val="1"/>
        </w:rPr>
        <w:t>escrow</w:t>
      </w:r>
      <w:r>
        <w:rPr>
          <w:rFonts w:ascii="Google Sans Text" w:hAnsi="Google Sans Text" w:cs="Google Sans Text" w:eastAsia="Google Sans Text"/>
        </w:rPr>
        <w:t>).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Exportación de credenciales, propiedades e historial del Códice a formato JSON y libretas analógicas en papel firmadas entregadas a cada usuario.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Desconexión del nodo sin retención ni pérdida de activos para la comunidad.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3B5EF55"/>
    <w:multiLevelType w:val="hybridMultilevel"/>
    <w:lvl w:ilvl="0" w:tplc="5B3027F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650829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64CBC4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179C48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E23F7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8D42D7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12C778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650C7D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379412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681A3C19"/>
    <w:multiLevelType w:val="hybridMultilevel"/>
    <w:lvl w:ilvl="0" w:tplc="2C7FC53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2A1A06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B98D40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A72E3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BB71ED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9A72A2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BFB7A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64CE5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543820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4A081DF3"/>
    <w:multiLevelType w:val="hybridMultilevel"/>
    <w:lvl w:ilvl="0" w:tplc="18B87C3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615481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BEE6F8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3DC00E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59FAFE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8F37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67423A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687DB6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580FC7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4E27BD1B"/>
    <w:multiLevelType w:val="hybridMultilevel"/>
    <w:lvl w:ilvl="0" w:tplc="73C2A9D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3BEF07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BD4157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E8FC17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B676C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20075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447F54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AA8FE2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2E82D9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4B7B2195"/>
    <w:multiLevelType w:val="hybridMultilevel"/>
    <w:lvl w:ilvl="0" w:tplc="3D91D64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DB257D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C43C63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93F1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DCC8E2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AE72C5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6F57D0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E8B26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279428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41AC685D"/>
    <w:multiLevelType w:val="hybridMultilevel"/>
    <w:lvl w:ilvl="0" w:tplc="54163F4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149E7D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5E1465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66BA7D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349164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8800D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DC01EA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CCB86A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2BFD2E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13A8B544"/>
    <w:multiLevelType w:val="hybridMultilevel"/>
    <w:lvl w:ilvl="0" w:tplc="2EAB9DF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5CF8ED7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67050E0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EB1DDB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118387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A58FEB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A6B93C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B67765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00C235B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Jose Angel Moreno Cabezas</dc:creator>
  <dcterms:created xsi:type="dcterms:W3CDTF">2026-07-30T18:49:59Z</dcterms:created>
  <cp:lastModifiedBy>Jose Angel Moreno Cabezas</cp:lastModifiedBy>
  <dcterms:modified xsi:type="dcterms:W3CDTF">2026-07-30T18:49:59Z</dcterms:modified>
  <cp:revision>1</cp:revision>
</cp:coreProperties>
</file>