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48"/>
        </w:rPr>
        <w:t>Employee Country, Identity, Geography,</w:t>
        <w:br/>
        <w:t>Statutory and Compliance Flow</w:t>
      </w:r>
    </w:p>
    <w:p>
      <w:pPr>
        <w:jc w:val="center"/>
      </w:pPr>
      <w:r>
        <w:rPr>
          <w:i/>
          <w:color w:val="595959"/>
          <w:sz w:val="22"/>
        </w:rPr>
        <w:t>Current implementation, table dependencies, seed ownership, and recommended design</w:t>
      </w:r>
    </w:p>
    <w:p>
      <w:pPr>
        <w:jc w:val="center"/>
      </w:pPr>
      <w:r>
        <w:rPr>
          <w:color w:val="757575"/>
          <w:sz w:val="18"/>
        </w:rPr>
        <w:t>AxionPro | Technical and business analysis | 2 October 2026</w:t>
      </w:r>
    </w:p>
    <w:p/>
    <w:p>
      <w:r>
        <w:rPr>
          <w:b/>
          <w:color w:val="1F4E79"/>
          <w:sz w:val="24"/>
        </w:rPr>
        <w:t>Purpose</w:t>
      </w:r>
    </w:p>
    <w:p>
      <w:r>
        <w:t>This document explains what happens after an employee's CountryId is selected, which tables participate in identity, geography, statutory and compliance flows, which tables require seed data, and where employee-specific transactional data is stored. It also resolves the concern that country documents displayed as empty cards might already be duplicate EmployeeIdentity rows.</w:t>
      </w:r>
    </w:p>
    <w:p>
      <w:pPr>
        <w:pStyle w:val="Heading1"/>
      </w:pPr>
      <w:r>
        <w:t>1. Executive conclusion</w:t>
      </w:r>
    </w:p>
    <w:p>
      <w:r>
        <w:rPr>
          <w:b/>
        </w:rPr>
        <w:t>The duplication concern is valid, but the current read flow does not insert empty EmployeeIdentity rows.</w:t>
      </w:r>
    </w:p>
    <w:p>
      <w:r>
        <w:t>When an employee is created, the employee's CountryId is saved. The Identity GET API reads the document catalogue configured for that country and left-joins any identity rows already saved by the employee. Therefore Emirates ID, Passport, Aadhaar or PAN cards can appear with zero completion even when EmployeeIdentity contains no row for those documents.</w:t>
      </w:r>
    </w:p>
    <w:p>
      <w:pPr>
        <w:pStyle w:val="ListBullet"/>
      </w:pPr>
      <w:r>
        <w:t>Catalogue slot: comes from CountryIdentityRule and IdentityCategoryDocument; it may exist without employee data.</w:t>
      </w:r>
    </w:p>
    <w:p>
      <w:pPr>
        <w:pStyle w:val="ListBullet"/>
      </w:pPr>
      <w:r>
        <w:t>Saved identity: comes from EmployeeIdentity; it exists only after the identity save/upsert flow succeeds.</w:t>
      </w:r>
    </w:p>
    <w:p>
      <w:pPr>
        <w:pStyle w:val="ListBullet"/>
      </w:pPr>
      <w:r>
        <w:t>The Add Identity button is conceptually risky when every allowed document is already represented as a catalogue slot. The preferred action is Fill/Edit on each slot.</w:t>
      </w:r>
    </w:p>
    <w:p>
      <w:pPr>
        <w:pStyle w:val="ListBullet"/>
      </w:pPr>
      <w:r>
        <w:t>Backend save should remain an upsert for the Employee + IdentityCategoryDocument pair and database uniqueness should ultimately enforce that pair.</w:t>
      </w:r>
    </w:p>
    <w:p>
      <w:pPr>
        <w:pStyle w:val="Heading1"/>
      </w:pPr>
      <w:r>
        <w:t>2. What Employee Create currently saves</w:t>
      </w:r>
    </w:p>
    <w:p>
      <w:r>
        <w:t>The current CreateBaseEmployeeRequestDTO contains CountryId, but it does not contain StateId, DistrictId or LocalityId/CityId. Consequently the basic employee record cannot currently represent a complete residential or work-location hierarchy.</w:t>
      </w:r>
    </w:p>
    <w:p>
      <w:pPr>
        <w:pStyle w:val="CodeBlock"/>
        <w:keepLines/>
      </w:pPr>
      <w:r>
        <w:t>Employee Create</w:t>
        <w:br/>
        <w:t xml:space="preserve">    |</w:t>
        <w:br/>
        <w:t xml:space="preserve">    +-- Employee.CountryId</w:t>
        <w:br/>
        <w:t xml:space="preserve">    |</w:t>
        <w:br/>
        <w:t xml:space="preserve">    +-- StateId: not part of the current create DTO</w:t>
        <w:br/>
        <w:t xml:space="preserve">    +-- DistrictId: not part of the current create DTO</w:t>
        <w:br/>
        <w:t xml:space="preserve">    +-- LocalityId/CityId: not part of the current create DTO</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872"/>
            <w:shd w:fill="1F4E79"/>
            <w:vAlign w:val="center"/>
          </w:tcPr>
          <w:p>
            <w:r/>
            <w:r>
              <w:rPr>
                <w:rFonts w:ascii="Aptos" w:hAnsi="Aptos"/>
                <w:b/>
                <w:color w:val="FFFFFF"/>
                <w:sz w:val="17"/>
              </w:rPr>
              <w:t>Field</w:t>
            </w:r>
          </w:p>
        </w:tc>
        <w:tc>
          <w:tcPr>
            <w:tcW w:type="dxa" w:w="2016"/>
            <w:shd w:fill="1F4E79"/>
            <w:vAlign w:val="center"/>
          </w:tcPr>
          <w:p>
            <w:r/>
            <w:r>
              <w:rPr>
                <w:rFonts w:ascii="Aptos" w:hAnsi="Aptos"/>
                <w:b/>
                <w:color w:val="FFFFFF"/>
                <w:sz w:val="17"/>
              </w:rPr>
              <w:t>Current Employee Create</w:t>
            </w:r>
          </w:p>
        </w:tc>
        <w:tc>
          <w:tcPr>
            <w:tcW w:type="dxa" w:w="5040"/>
            <w:shd w:fill="1F4E79"/>
            <w:vAlign w:val="center"/>
          </w:tcPr>
          <w:p>
            <w:r/>
            <w:r>
              <w:rPr>
                <w:rFonts w:ascii="Aptos" w:hAnsi="Aptos"/>
                <w:b/>
                <w:color w:val="FFFFFF"/>
                <w:sz w:val="17"/>
              </w:rPr>
              <w:t>Where it belongs</w:t>
            </w:r>
          </w:p>
        </w:tc>
      </w:tr>
      <w:tr>
        <w:tc>
          <w:tcPr>
            <w:tcW w:type="dxa" w:w="1872"/>
            <w:vAlign w:val="center"/>
          </w:tcPr>
          <w:p>
            <w:r/>
            <w:r>
              <w:rPr>
                <w:rFonts w:ascii="Aptos" w:hAnsi="Aptos"/>
                <w:b w:val="0"/>
                <w:sz w:val="17"/>
              </w:rPr>
              <w:t>CountryId</w:t>
            </w:r>
          </w:p>
        </w:tc>
        <w:tc>
          <w:tcPr>
            <w:tcW w:type="dxa" w:w="2016"/>
            <w:vAlign w:val="center"/>
          </w:tcPr>
          <w:p>
            <w:r/>
            <w:r>
              <w:rPr>
                <w:rFonts w:ascii="Aptos" w:hAnsi="Aptos"/>
                <w:b w:val="0"/>
                <w:sz w:val="17"/>
              </w:rPr>
              <w:t>Saved</w:t>
            </w:r>
          </w:p>
        </w:tc>
        <w:tc>
          <w:tcPr>
            <w:tcW w:type="dxa" w:w="5040"/>
            <w:vAlign w:val="center"/>
          </w:tcPr>
          <w:p>
            <w:r/>
            <w:r>
              <w:rPr>
                <w:rFonts w:ascii="Aptos" w:hAnsi="Aptos"/>
                <w:b w:val="0"/>
                <w:sz w:val="17"/>
              </w:rPr>
              <w:t>Employee; currently also drives identity eligibility</w:t>
            </w:r>
          </w:p>
        </w:tc>
      </w:tr>
      <w:tr>
        <w:tc>
          <w:tcPr>
            <w:tcW w:type="dxa" w:w="1872"/>
            <w:vAlign w:val="center"/>
            <w:shd w:fill="EAF2F8"/>
          </w:tcPr>
          <w:p>
            <w:r/>
            <w:r>
              <w:rPr>
                <w:rFonts w:ascii="Aptos" w:hAnsi="Aptos"/>
                <w:b w:val="0"/>
                <w:sz w:val="17"/>
              </w:rPr>
              <w:t>StateId</w:t>
            </w:r>
          </w:p>
        </w:tc>
        <w:tc>
          <w:tcPr>
            <w:tcW w:type="dxa" w:w="2016"/>
            <w:vAlign w:val="center"/>
            <w:shd w:fill="EAF2F8"/>
          </w:tcPr>
          <w:p>
            <w:r/>
            <w:r>
              <w:rPr>
                <w:rFonts w:ascii="Aptos" w:hAnsi="Aptos"/>
                <w:b w:val="0"/>
                <w:sz w:val="17"/>
              </w:rPr>
              <w:t>Not accepted</w:t>
            </w:r>
          </w:p>
        </w:tc>
        <w:tc>
          <w:tcPr>
            <w:tcW w:type="dxa" w:w="5040"/>
            <w:vAlign w:val="center"/>
            <w:shd w:fill="EAF2F8"/>
          </w:tcPr>
          <w:p>
            <w:r/>
            <w:r>
              <w:rPr>
                <w:rFonts w:ascii="Aptos" w:hAnsi="Aptos"/>
                <w:b w:val="0"/>
                <w:sz w:val="17"/>
              </w:rPr>
              <w:t>Employee address/contact or work-location context</w:t>
            </w:r>
          </w:p>
        </w:tc>
      </w:tr>
      <w:tr>
        <w:tc>
          <w:tcPr>
            <w:tcW w:type="dxa" w:w="1872"/>
            <w:vAlign w:val="center"/>
          </w:tcPr>
          <w:p>
            <w:r/>
            <w:r>
              <w:rPr>
                <w:rFonts w:ascii="Aptos" w:hAnsi="Aptos"/>
                <w:b w:val="0"/>
                <w:sz w:val="17"/>
              </w:rPr>
              <w:t>DistrictId</w:t>
            </w:r>
          </w:p>
        </w:tc>
        <w:tc>
          <w:tcPr>
            <w:tcW w:type="dxa" w:w="2016"/>
            <w:vAlign w:val="center"/>
          </w:tcPr>
          <w:p>
            <w:r/>
            <w:r>
              <w:rPr>
                <w:rFonts w:ascii="Aptos" w:hAnsi="Aptos"/>
                <w:b w:val="0"/>
                <w:sz w:val="17"/>
              </w:rPr>
              <w:t>Not accepted</w:t>
            </w:r>
          </w:p>
        </w:tc>
        <w:tc>
          <w:tcPr>
            <w:tcW w:type="dxa" w:w="5040"/>
            <w:vAlign w:val="center"/>
          </w:tcPr>
          <w:p>
            <w:r/>
            <w:r>
              <w:rPr>
                <w:rFonts w:ascii="Aptos" w:hAnsi="Aptos"/>
                <w:b w:val="0"/>
                <w:sz w:val="17"/>
              </w:rPr>
              <w:t>Employee address/contact or work-location context</w:t>
            </w:r>
          </w:p>
        </w:tc>
      </w:tr>
      <w:tr>
        <w:tc>
          <w:tcPr>
            <w:tcW w:type="dxa" w:w="1872"/>
            <w:vAlign w:val="center"/>
            <w:shd w:fill="EAF2F8"/>
          </w:tcPr>
          <w:p>
            <w:r/>
            <w:r>
              <w:rPr>
                <w:rFonts w:ascii="Aptos" w:hAnsi="Aptos"/>
                <w:b w:val="0"/>
                <w:sz w:val="17"/>
              </w:rPr>
              <w:t>LocalityId</w:t>
            </w:r>
          </w:p>
        </w:tc>
        <w:tc>
          <w:tcPr>
            <w:tcW w:type="dxa" w:w="2016"/>
            <w:vAlign w:val="center"/>
            <w:shd w:fill="EAF2F8"/>
          </w:tcPr>
          <w:p>
            <w:r/>
            <w:r>
              <w:rPr>
                <w:rFonts w:ascii="Aptos" w:hAnsi="Aptos"/>
                <w:b w:val="0"/>
                <w:sz w:val="17"/>
              </w:rPr>
              <w:t>Not accepted</w:t>
            </w:r>
          </w:p>
        </w:tc>
        <w:tc>
          <w:tcPr>
            <w:tcW w:type="dxa" w:w="5040"/>
            <w:vAlign w:val="center"/>
            <w:shd w:fill="EAF2F8"/>
          </w:tcPr>
          <w:p>
            <w:r/>
            <w:r>
              <w:rPr>
                <w:rFonts w:ascii="Aptos" w:hAnsi="Aptos"/>
                <w:b w:val="0"/>
                <w:sz w:val="17"/>
              </w:rPr>
              <w:t>Employee address/contact or work-location context</w:t>
            </w:r>
          </w:p>
        </w:tc>
      </w:tr>
    </w:tbl>
    <w:p/>
    <w:p>
      <w:r>
        <w:t>Current code also displays Employee.CountryId like nationality in parts of the product. That makes it suitable for the existing identity-document flow, but it must not automatically be treated as the employment-law jurisdiction for payroll/statutory rules.</w:t>
      </w:r>
    </w:p>
    <w:p>
      <w:pPr>
        <w:pStyle w:val="Heading1"/>
      </w:pPr>
      <w:r>
        <w:t>3. Current identity read flow</w:t>
      </w:r>
    </w:p>
    <w:p>
      <w:pPr>
        <w:pStyle w:val="ListNumber"/>
      </w:pPr>
      <w:r>
        <w:t>Employee creation persists Employee.CountryId.</w:t>
      </w:r>
    </w:p>
    <w:p>
      <w:pPr>
        <w:pStyle w:val="ListNumber"/>
      </w:pPr>
      <w:r>
        <w:t>Identity GET resolves the requested employee through the existing tenant and employee-access path.</w:t>
      </w:r>
    </w:p>
    <w:p>
      <w:pPr>
        <w:pStyle w:val="ListNumber"/>
      </w:pPr>
      <w:r>
        <w:t>The backend uses the employee's persisted CountryId; a client-supplied country value must not override eligibility.</w:t>
      </w:r>
    </w:p>
    <w:p>
      <w:pPr>
        <w:pStyle w:val="ListNumber"/>
      </w:pPr>
      <w:r>
        <w:t>Active CountryIdentityRule rows select the documents configured for that country.</w:t>
      </w:r>
    </w:p>
    <w:p>
      <w:pPr>
        <w:pStyle w:val="ListNumber"/>
      </w:pPr>
      <w:r>
        <w:t>The query joins IdentityCategoryDocument and IdentityCategory for document metadata.</w:t>
      </w:r>
    </w:p>
    <w:p>
      <w:pPr>
        <w:pStyle w:val="ListNumber"/>
      </w:pPr>
      <w:r>
        <w:t>Saved active EmployeeIdentity rows are LEFT JOINed by employee and document.</w:t>
      </w:r>
    </w:p>
    <w:p>
      <w:pPr>
        <w:pStyle w:val="ListNumber"/>
      </w:pPr>
      <w:r>
        <w:t>If no saved row exists, the catalogue document is still returned with null employee identity values and 0% completion.</w:t>
      </w:r>
    </w:p>
    <w:p>
      <w:pPr>
        <w:pStyle w:val="CodeBlock"/>
        <w:keepLines/>
      </w:pPr>
      <w:r>
        <w:t>Employee.CountryId</w:t>
        <w:br/>
        <w:t xml:space="preserve">        |</w:t>
        <w:br/>
        <w:t xml:space="preserve">        v</w:t>
        <w:br/>
        <w:t>CountryIdentityRule</w:t>
        <w:br/>
        <w:t xml:space="preserve">        |</w:t>
        <w:br/>
        <w:t xml:space="preserve">        +----&gt; IdentityCategoryDocument ----&gt; IdentityCategory</w:t>
        <w:br/>
        <w:t xml:space="preserve">        |</w:t>
        <w:br/>
        <w:t xml:space="preserve">        +---- LEFT JOIN EmployeeIdentity</w:t>
        <w:br/>
        <w:t xml:space="preserve">                    |</w:t>
        <w:br/>
        <w:t xml:space="preserve">                    +-- no row: catalogue card, null value, 0%</w:t>
        <w:br/>
        <w:t xml:space="preserve">                    +-- row exists: saved value/file/status/dates</w:t>
      </w:r>
    </w:p>
    <w:p>
      <w:pPr>
        <w:pStyle w:val="Heading1"/>
      </w:pPr>
      <w:r>
        <w:t>4. Why two cards appear without two database rows</w:t>
      </w:r>
    </w:p>
    <w:p>
      <w:r>
        <w:t>For a UAE employee, two active CountryIdentityRule mappings can produce Emirates ID and Passport cards. These are requirement/catalogue rows projected by the GET query. They are not proof that two EmployeeIdentity records were inserted during onboarding.</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592"/>
            <w:shd w:fill="1F4E79"/>
            <w:vAlign w:val="center"/>
          </w:tcPr>
          <w:p>
            <w:r/>
            <w:r>
              <w:rPr>
                <w:rFonts w:ascii="Aptos" w:hAnsi="Aptos"/>
                <w:b/>
                <w:color w:val="FFFFFF"/>
                <w:sz w:val="17"/>
              </w:rPr>
              <w:t>Response state</w:t>
            </w:r>
          </w:p>
        </w:tc>
        <w:tc>
          <w:tcPr>
            <w:tcW w:type="dxa" w:w="4032"/>
            <w:shd w:fill="1F4E79"/>
            <w:vAlign w:val="center"/>
          </w:tcPr>
          <w:p>
            <w:r/>
            <w:r>
              <w:rPr>
                <w:rFonts w:ascii="Aptos" w:hAnsi="Aptos"/>
                <w:b/>
                <w:color w:val="FFFFFF"/>
                <w:sz w:val="17"/>
              </w:rPr>
              <w:t>Meaning</w:t>
            </w:r>
          </w:p>
        </w:tc>
        <w:tc>
          <w:tcPr>
            <w:tcW w:type="dxa" w:w="3312"/>
            <w:shd w:fill="1F4E79"/>
            <w:vAlign w:val="center"/>
          </w:tcPr>
          <w:p>
            <w:r/>
            <w:r>
              <w:rPr>
                <w:rFonts w:ascii="Aptos" w:hAnsi="Aptos"/>
                <w:b/>
                <w:color w:val="FFFFFF"/>
                <w:sz w:val="17"/>
              </w:rPr>
              <w:t>Database implication</w:t>
            </w:r>
          </w:p>
        </w:tc>
      </w:tr>
      <w:tr>
        <w:tc>
          <w:tcPr>
            <w:tcW w:type="dxa" w:w="2592"/>
            <w:vAlign w:val="center"/>
          </w:tcPr>
          <w:p>
            <w:r/>
            <w:r>
              <w:rPr>
                <w:rFonts w:ascii="Aptos" w:hAnsi="Aptos"/>
                <w:b w:val="0"/>
                <w:sz w:val="17"/>
              </w:rPr>
              <w:t>EmployeeIdentityId = null</w:t>
            </w:r>
          </w:p>
        </w:tc>
        <w:tc>
          <w:tcPr>
            <w:tcW w:type="dxa" w:w="4032"/>
            <w:vAlign w:val="center"/>
          </w:tcPr>
          <w:p>
            <w:r/>
            <w:r>
              <w:rPr>
                <w:rFonts w:ascii="Aptos" w:hAnsi="Aptos"/>
                <w:b w:val="0"/>
                <w:sz w:val="17"/>
              </w:rPr>
              <w:t>No employee-specific identity has been saved</w:t>
            </w:r>
          </w:p>
        </w:tc>
        <w:tc>
          <w:tcPr>
            <w:tcW w:type="dxa" w:w="3312"/>
            <w:vAlign w:val="center"/>
          </w:tcPr>
          <w:p>
            <w:r/>
            <w:r>
              <w:rPr>
                <w:rFonts w:ascii="Aptos" w:hAnsi="Aptos"/>
                <w:b w:val="0"/>
                <w:sz w:val="17"/>
              </w:rPr>
              <w:t>No matching EmployeeIdentity row</w:t>
            </w:r>
          </w:p>
        </w:tc>
      </w:tr>
      <w:tr>
        <w:tc>
          <w:tcPr>
            <w:tcW w:type="dxa" w:w="2592"/>
            <w:vAlign w:val="center"/>
            <w:shd w:fill="EAF2F8"/>
          </w:tcPr>
          <w:p>
            <w:r/>
            <w:r>
              <w:rPr>
                <w:rFonts w:ascii="Aptos" w:hAnsi="Aptos"/>
                <w:b w:val="0"/>
                <w:sz w:val="17"/>
              </w:rPr>
              <w:t>IdentityValue = null</w:t>
            </w:r>
          </w:p>
        </w:tc>
        <w:tc>
          <w:tcPr>
            <w:tcW w:type="dxa" w:w="4032"/>
            <w:vAlign w:val="center"/>
            <w:shd w:fill="EAF2F8"/>
          </w:tcPr>
          <w:p>
            <w:r/>
            <w:r>
              <w:rPr>
                <w:rFonts w:ascii="Aptos" w:hAnsi="Aptos"/>
                <w:b w:val="0"/>
                <w:sz w:val="17"/>
              </w:rPr>
              <w:t>Employee has not entered the identifier</w:t>
            </w:r>
          </w:p>
        </w:tc>
        <w:tc>
          <w:tcPr>
            <w:tcW w:type="dxa" w:w="3312"/>
            <w:vAlign w:val="center"/>
            <w:shd w:fill="EAF2F8"/>
          </w:tcPr>
          <w:p>
            <w:r/>
            <w:r>
              <w:rPr>
                <w:rFonts w:ascii="Aptos" w:hAnsi="Aptos"/>
                <w:b w:val="0"/>
                <w:sz w:val="17"/>
              </w:rPr>
              <w:t>Catalogue data only</w:t>
            </w:r>
          </w:p>
        </w:tc>
      </w:tr>
      <w:tr>
        <w:tc>
          <w:tcPr>
            <w:tcW w:type="dxa" w:w="2592"/>
            <w:vAlign w:val="center"/>
          </w:tcPr>
          <w:p>
            <w:r/>
            <w:r>
              <w:rPr>
                <w:rFonts w:ascii="Aptos" w:hAnsi="Aptos"/>
                <w:b w:val="0"/>
                <w:sz w:val="17"/>
              </w:rPr>
              <w:t>Completion = 0%</w:t>
            </w:r>
          </w:p>
        </w:tc>
        <w:tc>
          <w:tcPr>
            <w:tcW w:type="dxa" w:w="4032"/>
            <w:vAlign w:val="center"/>
          </w:tcPr>
          <w:p>
            <w:r/>
            <w:r>
              <w:rPr>
                <w:rFonts w:ascii="Aptos" w:hAnsi="Aptos"/>
                <w:b w:val="0"/>
                <w:sz w:val="17"/>
              </w:rPr>
              <w:t>Required fields are still empty</w:t>
            </w:r>
          </w:p>
        </w:tc>
        <w:tc>
          <w:tcPr>
            <w:tcW w:type="dxa" w:w="3312"/>
            <w:vAlign w:val="center"/>
          </w:tcPr>
          <w:p>
            <w:r/>
            <w:r>
              <w:rPr>
                <w:rFonts w:ascii="Aptos" w:hAnsi="Aptos"/>
                <w:b w:val="0"/>
                <w:sz w:val="17"/>
              </w:rPr>
              <w:t>Not evidence of an inserted blank row</w:t>
            </w:r>
          </w:p>
        </w:tc>
      </w:tr>
      <w:tr>
        <w:tc>
          <w:tcPr>
            <w:tcW w:type="dxa" w:w="2592"/>
            <w:vAlign w:val="center"/>
            <w:shd w:fill="EAF2F8"/>
          </w:tcPr>
          <w:p>
            <w:r/>
            <w:r>
              <w:rPr>
                <w:rFonts w:ascii="Aptos" w:hAnsi="Aptos"/>
                <w:b w:val="0"/>
                <w:sz w:val="17"/>
              </w:rPr>
              <w:t>EmployeeIdentityId has value</w:t>
            </w:r>
          </w:p>
        </w:tc>
        <w:tc>
          <w:tcPr>
            <w:tcW w:type="dxa" w:w="4032"/>
            <w:vAlign w:val="center"/>
            <w:shd w:fill="EAF2F8"/>
          </w:tcPr>
          <w:p>
            <w:r/>
            <w:r>
              <w:rPr>
                <w:rFonts w:ascii="Aptos" w:hAnsi="Aptos"/>
                <w:b w:val="0"/>
                <w:sz w:val="17"/>
              </w:rPr>
              <w:t>Identity was saved/upserted</w:t>
            </w:r>
          </w:p>
        </w:tc>
        <w:tc>
          <w:tcPr>
            <w:tcW w:type="dxa" w:w="3312"/>
            <w:vAlign w:val="center"/>
            <w:shd w:fill="EAF2F8"/>
          </w:tcPr>
          <w:p>
            <w:r/>
            <w:r>
              <w:rPr>
                <w:rFonts w:ascii="Aptos" w:hAnsi="Aptos"/>
                <w:b w:val="0"/>
                <w:sz w:val="17"/>
              </w:rPr>
              <w:t>Matching EmployeeIdentity row exists</w:t>
            </w:r>
          </w:p>
        </w:tc>
      </w:tr>
    </w:tbl>
    <w:p/>
    <w:p>
      <w:r>
        <w:rPr>
          <w:b/>
        </w:rPr>
        <w:t xml:space="preserve">Verified source path: </w:t>
      </w:r>
      <w:r>
        <w:t>StoreProcedureRepository.GetIdentityRecordAsync queries CountryIdentityRule, joins the active document/category masters, and uses DefaultIfEmpty() for EmployeeIdentity.</w:t>
      </w:r>
    </w:p>
    <w:p>
      <w:pPr>
        <w:pStyle w:val="Heading1"/>
      </w:pPr>
      <w:r>
        <w:t>5. Recommended Identity UX and persistence approach</w:t>
      </w:r>
    </w:p>
    <w:p>
      <w:pPr>
        <w:pStyle w:val="Heading2"/>
      </w:pPr>
      <w:r>
        <w:t>5.1 Preferred UI behavior</w:t>
      </w:r>
    </w:p>
    <w:p>
      <w:pPr>
        <w:pStyle w:val="ListBullet"/>
      </w:pPr>
      <w:r>
        <w:t>Show one card/row for every active document configured for the employee's country.</w:t>
      </w:r>
    </w:p>
    <w:p>
      <w:pPr>
        <w:pStyle w:val="ListBullet"/>
      </w:pPr>
      <w:r>
        <w:t>For a catalogue-only card, show Fill Details or Upload Document.</w:t>
      </w:r>
    </w:p>
    <w:p>
      <w:pPr>
        <w:pStyle w:val="ListBullet"/>
      </w:pPr>
      <w:r>
        <w:t>After a saved EmployeeIdentity exists, show Edit, subject to verification and edit-lock rules.</w:t>
      </w:r>
    </w:p>
    <w:p>
      <w:pPr>
        <w:pStyle w:val="ListBullet"/>
      </w:pPr>
      <w:r>
        <w:t>Remove or hide the generic Add Identity button when all permitted document types already have visible slots.</w:t>
      </w:r>
    </w:p>
    <w:p>
      <w:pPr>
        <w:pStyle w:val="ListBullet"/>
      </w:pPr>
      <w:r>
        <w:t>If additional optional documents must be supported later, Add should list only country-allowed document types that do not already have an active employee row.</w:t>
      </w:r>
    </w:p>
    <w:p>
      <w:pPr>
        <w:pStyle w:val="Heading2"/>
      </w:pPr>
      <w:r>
        <w:t>5.2 Backend safeguards</w:t>
      </w:r>
    </w:p>
    <w:p>
      <w:pPr>
        <w:pStyle w:val="ListBullet"/>
      </w:pPr>
      <w:r>
        <w:t>Resolve country from Employee.CountryId on the server.</w:t>
      </w:r>
    </w:p>
    <w:p>
      <w:pPr>
        <w:pStyle w:val="ListBullet"/>
      </w:pPr>
      <w:r>
        <w:t>Reject a document not present in the active CountryIdentityRule for that country.</w:t>
      </w:r>
    </w:p>
    <w:p>
      <w:pPr>
        <w:pStyle w:val="ListBullet"/>
      </w:pPr>
      <w:r>
        <w:t>Use one create/update upsert contract for the employee-document pair.</w:t>
      </w:r>
    </w:p>
    <w:p>
      <w:pPr>
        <w:pStyle w:val="ListBullet"/>
      </w:pPr>
      <w:r>
        <w:t>Reject duplicate documents inside the same request.</w:t>
      </w:r>
    </w:p>
    <w:p>
      <w:pPr>
        <w:pStyle w:val="ListBullet"/>
      </w:pPr>
      <w:r>
        <w:t>Preserve verified/edit-locked restrictions and tenant isolation.</w:t>
      </w:r>
    </w:p>
    <w:p>
      <w:pPr>
        <w:pStyle w:val="ListBullet"/>
      </w:pPr>
      <w:r>
        <w:t>Recommended schema hardening: a unique constraint/index on EmployeeId + IdentityCategoryDocumentId for active, non-soft-deleted records, after existing data is audited.</w:t>
      </w:r>
    </w:p>
    <w:p>
      <w:pPr>
        <w:pStyle w:val="Heading2"/>
      </w:pPr>
      <w:r>
        <w:t>5.3 Delete meaning</w:t>
      </w:r>
    </w:p>
    <w:p>
      <w:r>
        <w:t>Deleting an employee identity should delete or soft-delete only the employee-specific EmployeeIdentity record. It must not delete CountryIdentityRule or document masters. After deletion, the empty catalogue slot should remain visible if that document is still configured for the country.</w:t>
      </w:r>
    </w:p>
    <w:p>
      <w:r>
        <w:br w:type="page"/>
      </w:r>
    </w:p>
    <w:p>
      <w:pPr>
        <w:pStyle w:val="Heading1"/>
      </w:pPr>
      <w:r>
        <w:t>6. Identity tables and ownership</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088"/>
            <w:shd w:fill="1F4E79"/>
            <w:vAlign w:val="center"/>
          </w:tcPr>
          <w:p>
            <w:r/>
            <w:r>
              <w:rPr>
                <w:rFonts w:ascii="Aptos" w:hAnsi="Aptos"/>
                <w:b/>
                <w:color w:val="FFFFFF"/>
                <w:sz w:val="17"/>
              </w:rPr>
              <w:t>Table</w:t>
            </w:r>
          </w:p>
        </w:tc>
        <w:tc>
          <w:tcPr>
            <w:tcW w:type="dxa" w:w="1584"/>
            <w:shd w:fill="1F4E79"/>
            <w:vAlign w:val="center"/>
          </w:tcPr>
          <w:p>
            <w:r/>
            <w:r>
              <w:rPr>
                <w:rFonts w:ascii="Aptos" w:hAnsi="Aptos"/>
                <w:b/>
                <w:color w:val="FFFFFF"/>
                <w:sz w:val="17"/>
              </w:rPr>
              <w:t>Kind</w:t>
            </w:r>
          </w:p>
        </w:tc>
        <w:tc>
          <w:tcPr>
            <w:tcW w:type="dxa" w:w="4536"/>
            <w:shd w:fill="1F4E79"/>
            <w:vAlign w:val="center"/>
          </w:tcPr>
          <w:p>
            <w:r/>
            <w:r>
              <w:rPr>
                <w:rFonts w:ascii="Aptos" w:hAnsi="Aptos"/>
                <w:b/>
                <w:color w:val="FFFFFF"/>
                <w:sz w:val="17"/>
              </w:rPr>
              <w:t>Purpose</w:t>
            </w:r>
          </w:p>
        </w:tc>
        <w:tc>
          <w:tcPr>
            <w:tcW w:type="dxa" w:w="1584"/>
            <w:shd w:fill="1F4E79"/>
            <w:vAlign w:val="center"/>
          </w:tcPr>
          <w:p>
            <w:r/>
            <w:r>
              <w:rPr>
                <w:rFonts w:ascii="Aptos" w:hAnsi="Aptos"/>
                <w:b/>
                <w:color w:val="FFFFFF"/>
                <w:sz w:val="17"/>
              </w:rPr>
              <w:t>Seed or transaction</w:t>
            </w:r>
          </w:p>
        </w:tc>
      </w:tr>
      <w:tr>
        <w:tc>
          <w:tcPr>
            <w:tcW w:type="dxa" w:w="2088"/>
            <w:vAlign w:val="center"/>
          </w:tcPr>
          <w:p>
            <w:r/>
            <w:r>
              <w:rPr>
                <w:rFonts w:ascii="Aptos" w:hAnsi="Aptos"/>
                <w:b w:val="0"/>
                <w:sz w:val="17"/>
              </w:rPr>
              <w:t>Country</w:t>
            </w:r>
          </w:p>
        </w:tc>
        <w:tc>
          <w:tcPr>
            <w:tcW w:type="dxa" w:w="1584"/>
            <w:vAlign w:val="center"/>
          </w:tcPr>
          <w:p>
            <w:r/>
            <w:r>
              <w:rPr>
                <w:rFonts w:ascii="Aptos" w:hAnsi="Aptos"/>
                <w:b w:val="0"/>
                <w:sz w:val="17"/>
              </w:rPr>
              <w:t>Geography master</w:t>
            </w:r>
          </w:p>
        </w:tc>
        <w:tc>
          <w:tcPr>
            <w:tcW w:type="dxa" w:w="4536"/>
            <w:vAlign w:val="center"/>
          </w:tcPr>
          <w:p>
            <w:r/>
            <w:r>
              <w:rPr>
                <w:rFonts w:ascii="Aptos" w:hAnsi="Aptos"/>
                <w:b w:val="0"/>
                <w:sz w:val="17"/>
              </w:rPr>
              <w:t>Country ID/code/name used by Employee and country rule</w:t>
            </w:r>
          </w:p>
        </w:tc>
        <w:tc>
          <w:tcPr>
            <w:tcW w:type="dxa" w:w="1584"/>
            <w:vAlign w:val="center"/>
          </w:tcPr>
          <w:p>
            <w:r/>
            <w:r>
              <w:rPr>
                <w:rFonts w:ascii="Aptos" w:hAnsi="Aptos"/>
                <w:b w:val="0"/>
                <w:sz w:val="17"/>
              </w:rPr>
              <w:t>Seed</w:t>
            </w:r>
          </w:p>
        </w:tc>
      </w:tr>
      <w:tr>
        <w:tc>
          <w:tcPr>
            <w:tcW w:type="dxa" w:w="2088"/>
            <w:vAlign w:val="center"/>
            <w:shd w:fill="EAF2F8"/>
          </w:tcPr>
          <w:p>
            <w:r/>
            <w:r>
              <w:rPr>
                <w:rFonts w:ascii="Aptos" w:hAnsi="Aptos"/>
                <w:b w:val="0"/>
                <w:sz w:val="17"/>
              </w:rPr>
              <w:t>Employee</w:t>
            </w:r>
          </w:p>
        </w:tc>
        <w:tc>
          <w:tcPr>
            <w:tcW w:type="dxa" w:w="1584"/>
            <w:vAlign w:val="center"/>
            <w:shd w:fill="EAF2F8"/>
          </w:tcPr>
          <w:p>
            <w:r/>
            <w:r>
              <w:rPr>
                <w:rFonts w:ascii="Aptos" w:hAnsi="Aptos"/>
                <w:b w:val="0"/>
                <w:sz w:val="17"/>
              </w:rPr>
              <w:t>Business</w:t>
            </w:r>
          </w:p>
        </w:tc>
        <w:tc>
          <w:tcPr>
            <w:tcW w:type="dxa" w:w="4536"/>
            <w:vAlign w:val="center"/>
            <w:shd w:fill="EAF2F8"/>
          </w:tcPr>
          <w:p>
            <w:r/>
            <w:r>
              <w:rPr>
                <w:rFonts w:ascii="Aptos" w:hAnsi="Aptos"/>
                <w:b w:val="0"/>
                <w:sz w:val="17"/>
              </w:rPr>
              <w:t>Employee, tenant ownership and persisted CountryId</w:t>
            </w:r>
          </w:p>
        </w:tc>
        <w:tc>
          <w:tcPr>
            <w:tcW w:type="dxa" w:w="1584"/>
            <w:vAlign w:val="center"/>
            <w:shd w:fill="EAF2F8"/>
          </w:tcPr>
          <w:p>
            <w:r/>
            <w:r>
              <w:rPr>
                <w:rFonts w:ascii="Aptos" w:hAnsi="Aptos"/>
                <w:b w:val="0"/>
                <w:sz w:val="17"/>
              </w:rPr>
              <w:t>Transaction</w:t>
            </w:r>
          </w:p>
        </w:tc>
      </w:tr>
      <w:tr>
        <w:tc>
          <w:tcPr>
            <w:tcW w:type="dxa" w:w="2088"/>
            <w:vAlign w:val="center"/>
          </w:tcPr>
          <w:p>
            <w:r/>
            <w:r>
              <w:rPr>
                <w:rFonts w:ascii="Aptos" w:hAnsi="Aptos"/>
                <w:b w:val="0"/>
                <w:sz w:val="17"/>
              </w:rPr>
              <w:t>IdentityCategory</w:t>
            </w:r>
          </w:p>
        </w:tc>
        <w:tc>
          <w:tcPr>
            <w:tcW w:type="dxa" w:w="1584"/>
            <w:vAlign w:val="center"/>
          </w:tcPr>
          <w:p>
            <w:r/>
            <w:r>
              <w:rPr>
                <w:rFonts w:ascii="Aptos" w:hAnsi="Aptos"/>
                <w:b w:val="0"/>
                <w:sz w:val="17"/>
              </w:rPr>
              <w:t>Identity master</w:t>
            </w:r>
          </w:p>
        </w:tc>
        <w:tc>
          <w:tcPr>
            <w:tcW w:type="dxa" w:w="4536"/>
            <w:vAlign w:val="center"/>
          </w:tcPr>
          <w:p>
            <w:r/>
            <w:r>
              <w:rPr>
                <w:rFonts w:ascii="Aptos" w:hAnsi="Aptos"/>
                <w:b w:val="0"/>
                <w:sz w:val="17"/>
              </w:rPr>
              <w:t>Groups documents: government, tax, social security, voter, etc.</w:t>
            </w:r>
          </w:p>
        </w:tc>
        <w:tc>
          <w:tcPr>
            <w:tcW w:type="dxa" w:w="1584"/>
            <w:vAlign w:val="center"/>
          </w:tcPr>
          <w:p>
            <w:r/>
            <w:r>
              <w:rPr>
                <w:rFonts w:ascii="Aptos" w:hAnsi="Aptos"/>
                <w:b w:val="0"/>
                <w:sz w:val="17"/>
              </w:rPr>
              <w:t>Seed</w:t>
            </w:r>
          </w:p>
        </w:tc>
      </w:tr>
      <w:tr>
        <w:tc>
          <w:tcPr>
            <w:tcW w:type="dxa" w:w="2088"/>
            <w:vAlign w:val="center"/>
            <w:shd w:fill="EAF2F8"/>
          </w:tcPr>
          <w:p>
            <w:r/>
            <w:r>
              <w:rPr>
                <w:rFonts w:ascii="Aptos" w:hAnsi="Aptos"/>
                <w:b w:val="0"/>
                <w:sz w:val="17"/>
              </w:rPr>
              <w:t>IdentityCategoryDocument</w:t>
            </w:r>
          </w:p>
        </w:tc>
        <w:tc>
          <w:tcPr>
            <w:tcW w:type="dxa" w:w="1584"/>
            <w:vAlign w:val="center"/>
            <w:shd w:fill="EAF2F8"/>
          </w:tcPr>
          <w:p>
            <w:r/>
            <w:r>
              <w:rPr>
                <w:rFonts w:ascii="Aptos" w:hAnsi="Aptos"/>
                <w:b w:val="0"/>
                <w:sz w:val="17"/>
              </w:rPr>
              <w:t>Identity master</w:t>
            </w:r>
          </w:p>
        </w:tc>
        <w:tc>
          <w:tcPr>
            <w:tcW w:type="dxa" w:w="4536"/>
            <w:vAlign w:val="center"/>
            <w:shd w:fill="EAF2F8"/>
          </w:tcPr>
          <w:p>
            <w:r/>
            <w:r>
              <w:rPr>
                <w:rFonts w:ascii="Aptos" w:hAnsi="Aptos"/>
                <w:b w:val="0"/>
                <w:sz w:val="17"/>
              </w:rPr>
              <w:t>Document code/name/description</w:t>
            </w:r>
          </w:p>
        </w:tc>
        <w:tc>
          <w:tcPr>
            <w:tcW w:type="dxa" w:w="1584"/>
            <w:vAlign w:val="center"/>
            <w:shd w:fill="EAF2F8"/>
          </w:tcPr>
          <w:p>
            <w:r/>
            <w:r>
              <w:rPr>
                <w:rFonts w:ascii="Aptos" w:hAnsi="Aptos"/>
                <w:b w:val="0"/>
                <w:sz w:val="17"/>
              </w:rPr>
              <w:t>Seed</w:t>
            </w:r>
          </w:p>
        </w:tc>
      </w:tr>
      <w:tr>
        <w:tc>
          <w:tcPr>
            <w:tcW w:type="dxa" w:w="2088"/>
            <w:vAlign w:val="center"/>
          </w:tcPr>
          <w:p>
            <w:r/>
            <w:r>
              <w:rPr>
                <w:rFonts w:ascii="Aptos" w:hAnsi="Aptos"/>
                <w:b w:val="0"/>
                <w:sz w:val="17"/>
              </w:rPr>
              <w:t>CountryIdentityRule</w:t>
            </w:r>
          </w:p>
        </w:tc>
        <w:tc>
          <w:tcPr>
            <w:tcW w:type="dxa" w:w="1584"/>
            <w:vAlign w:val="center"/>
          </w:tcPr>
          <w:p>
            <w:r/>
            <w:r>
              <w:rPr>
                <w:rFonts w:ascii="Aptos" w:hAnsi="Aptos"/>
                <w:b w:val="0"/>
                <w:sz w:val="17"/>
              </w:rPr>
              <w:t>Mapping master</w:t>
            </w:r>
          </w:p>
        </w:tc>
        <w:tc>
          <w:tcPr>
            <w:tcW w:type="dxa" w:w="4536"/>
            <w:vAlign w:val="center"/>
          </w:tcPr>
          <w:p>
            <w:r/>
            <w:r>
              <w:rPr>
                <w:rFonts w:ascii="Aptos" w:hAnsi="Aptos"/>
                <w:b w:val="0"/>
                <w:sz w:val="17"/>
              </w:rPr>
              <w:t>Country-to-document eligibility, mandatory flag, active state</w:t>
            </w:r>
          </w:p>
        </w:tc>
        <w:tc>
          <w:tcPr>
            <w:tcW w:type="dxa" w:w="1584"/>
            <w:vAlign w:val="center"/>
          </w:tcPr>
          <w:p>
            <w:r/>
            <w:r>
              <w:rPr>
                <w:rFonts w:ascii="Aptos" w:hAnsi="Aptos"/>
                <w:b w:val="0"/>
                <w:sz w:val="17"/>
              </w:rPr>
              <w:t>Seed</w:t>
            </w:r>
          </w:p>
        </w:tc>
      </w:tr>
      <w:tr>
        <w:tc>
          <w:tcPr>
            <w:tcW w:type="dxa" w:w="2088"/>
            <w:vAlign w:val="center"/>
            <w:shd w:fill="EAF2F8"/>
          </w:tcPr>
          <w:p>
            <w:r/>
            <w:r>
              <w:rPr>
                <w:rFonts w:ascii="Aptos" w:hAnsi="Aptos"/>
                <w:b w:val="0"/>
                <w:sz w:val="17"/>
              </w:rPr>
              <w:t>EmployeeIdentity</w:t>
            </w:r>
          </w:p>
        </w:tc>
        <w:tc>
          <w:tcPr>
            <w:tcW w:type="dxa" w:w="1584"/>
            <w:vAlign w:val="center"/>
            <w:shd w:fill="EAF2F8"/>
          </w:tcPr>
          <w:p>
            <w:r/>
            <w:r>
              <w:rPr>
                <w:rFonts w:ascii="Aptos" w:hAnsi="Aptos"/>
                <w:b w:val="0"/>
                <w:sz w:val="17"/>
              </w:rPr>
              <w:t>Business</w:t>
            </w:r>
          </w:p>
        </w:tc>
        <w:tc>
          <w:tcPr>
            <w:tcW w:type="dxa" w:w="4536"/>
            <w:vAlign w:val="center"/>
            <w:shd w:fill="EAF2F8"/>
          </w:tcPr>
          <w:p>
            <w:r/>
            <w:r>
              <w:rPr>
                <w:rFonts w:ascii="Aptos" w:hAnsi="Aptos"/>
                <w:b w:val="0"/>
                <w:sz w:val="17"/>
              </w:rPr>
              <w:t>Entered value, file metadata, verification/edit flags, dates</w:t>
            </w:r>
          </w:p>
        </w:tc>
        <w:tc>
          <w:tcPr>
            <w:tcW w:type="dxa" w:w="1584"/>
            <w:vAlign w:val="center"/>
            <w:shd w:fill="EAF2F8"/>
          </w:tcPr>
          <w:p>
            <w:r/>
            <w:r>
              <w:rPr>
                <w:rFonts w:ascii="Aptos" w:hAnsi="Aptos"/>
                <w:b w:val="0"/>
                <w:sz w:val="17"/>
              </w:rPr>
              <w:t>Transaction</w:t>
            </w:r>
          </w:p>
        </w:tc>
      </w:tr>
    </w:tbl>
    <w:p/>
    <w:p>
      <w:pPr>
        <w:pStyle w:val="Heading2"/>
      </w:pPr>
      <w:r>
        <w:t>6.1 Foreign-key chain</w:t>
      </w:r>
    </w:p>
    <w:p>
      <w:pPr>
        <w:pStyle w:val="ListBullet"/>
      </w:pPr>
      <w:r>
        <w:t>Employee.CountryId -&gt; Country.Id</w:t>
      </w:r>
    </w:p>
    <w:p>
      <w:pPr>
        <w:pStyle w:val="ListBullet"/>
      </w:pPr>
      <w:r>
        <w:t>CountryIdentityRule.CountryId -&gt; Country.Id</w:t>
      </w:r>
    </w:p>
    <w:p>
      <w:pPr>
        <w:pStyle w:val="ListBullet"/>
      </w:pPr>
      <w:r>
        <w:t>CountryIdentityRule.IdentityCategoryDocumentId -&gt; IdentityCategoryDocument.Id</w:t>
      </w:r>
    </w:p>
    <w:p>
      <w:pPr>
        <w:pStyle w:val="ListBullet"/>
      </w:pPr>
      <w:r>
        <w:t>IdentityCategoryDocument.IdentityCategoryId -&gt; IdentityCategory.Id</w:t>
      </w:r>
    </w:p>
    <w:p>
      <w:pPr>
        <w:pStyle w:val="ListBullet"/>
      </w:pPr>
      <w:r>
        <w:t>EmployeeIdentity.EmployeeId -&gt; Employee.Id</w:t>
      </w:r>
    </w:p>
    <w:p>
      <w:pPr>
        <w:pStyle w:val="ListBullet"/>
      </w:pPr>
      <w:r>
        <w:t>EmployeeIdentity.IdentityCategoryDocumentId -&gt; IdentityCategoryDocument.Id</w:t>
      </w:r>
    </w:p>
    <w:p>
      <w:pPr>
        <w:pStyle w:val="Heading2"/>
      </w:pPr>
      <w:r>
        <w:t>6.2 Seed ownership</w:t>
      </w:r>
    </w:p>
    <w:p>
      <w:r>
        <w:t>Country, IdentityCategory, IdentityCategoryDocument and CountryIdentityRule require controlled master seed data. Employee and EmployeeIdentity must never be filled with fabricated employee or identity-number seed data; they are populated through application workflows.</w:t>
      </w:r>
    </w:p>
    <w:p>
      <w:pPr>
        <w:pStyle w:val="Heading1"/>
      </w:pPr>
      <w:r>
        <w:t>7. Geography tables</w:t>
      </w:r>
    </w:p>
    <w:p>
      <w:pPr>
        <w:pStyle w:val="CodeBlock"/>
        <w:keepLines/>
      </w:pPr>
      <w:r>
        <w:t>Country</w:t>
        <w:br/>
        <w:t xml:space="preserve">   +-- State</w:t>
        <w:br/>
        <w:t xml:space="preserve">         +-- District</w:t>
        <w:br/>
        <w:t xml:space="preserve">               +-- Locality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584"/>
            <w:shd w:fill="1F4E79"/>
            <w:vAlign w:val="center"/>
          </w:tcPr>
          <w:p>
            <w:r/>
            <w:r>
              <w:rPr>
                <w:rFonts w:ascii="Aptos" w:hAnsi="Aptos"/>
                <w:b/>
                <w:color w:val="FFFFFF"/>
                <w:sz w:val="17"/>
              </w:rPr>
              <w:t>Table</w:t>
            </w:r>
          </w:p>
        </w:tc>
        <w:tc>
          <w:tcPr>
            <w:tcW w:type="dxa" w:w="1440"/>
            <w:shd w:fill="1F4E79"/>
            <w:vAlign w:val="center"/>
          </w:tcPr>
          <w:p>
            <w:r/>
            <w:r>
              <w:rPr>
                <w:rFonts w:ascii="Aptos" w:hAnsi="Aptos"/>
                <w:b/>
                <w:color w:val="FFFFFF"/>
                <w:sz w:val="17"/>
              </w:rPr>
              <w:t>Parent</w:t>
            </w:r>
          </w:p>
        </w:tc>
        <w:tc>
          <w:tcPr>
            <w:tcW w:type="dxa" w:w="3600"/>
            <w:shd w:fill="1F4E79"/>
            <w:vAlign w:val="center"/>
          </w:tcPr>
          <w:p>
            <w:r/>
            <w:r>
              <w:rPr>
                <w:rFonts w:ascii="Aptos" w:hAnsi="Aptos"/>
                <w:b/>
                <w:color w:val="FFFFFF"/>
                <w:sz w:val="17"/>
              </w:rPr>
              <w:t>What it represents</w:t>
            </w:r>
          </w:p>
        </w:tc>
        <w:tc>
          <w:tcPr>
            <w:tcW w:type="dxa" w:w="4464"/>
            <w:shd w:fill="1F4E79"/>
            <w:vAlign w:val="center"/>
          </w:tcPr>
          <w:p>
            <w:r/>
            <w:r>
              <w:rPr>
                <w:rFonts w:ascii="Aptos" w:hAnsi="Aptos"/>
                <w:b/>
                <w:color w:val="FFFFFF"/>
                <w:sz w:val="17"/>
              </w:rPr>
              <w:t>Primary consumers</w:t>
            </w:r>
          </w:p>
        </w:tc>
      </w:tr>
      <w:tr>
        <w:tc>
          <w:tcPr>
            <w:tcW w:type="dxa" w:w="1584"/>
            <w:vAlign w:val="center"/>
          </w:tcPr>
          <w:p>
            <w:r/>
            <w:r>
              <w:rPr>
                <w:rFonts w:ascii="Aptos" w:hAnsi="Aptos"/>
                <w:b w:val="0"/>
                <w:sz w:val="17"/>
              </w:rPr>
              <w:t>Country</w:t>
            </w:r>
          </w:p>
        </w:tc>
        <w:tc>
          <w:tcPr>
            <w:tcW w:type="dxa" w:w="1440"/>
            <w:vAlign w:val="center"/>
          </w:tcPr>
          <w:p>
            <w:r/>
            <w:r>
              <w:rPr>
                <w:rFonts w:ascii="Aptos" w:hAnsi="Aptos"/>
                <w:b w:val="0"/>
                <w:sz w:val="17"/>
              </w:rPr>
              <w:t>-</w:t>
            </w:r>
          </w:p>
        </w:tc>
        <w:tc>
          <w:tcPr>
            <w:tcW w:type="dxa" w:w="3600"/>
            <w:vAlign w:val="center"/>
          </w:tcPr>
          <w:p>
            <w:r/>
            <w:r>
              <w:rPr>
                <w:rFonts w:ascii="Aptos" w:hAnsi="Aptos"/>
                <w:b w:val="0"/>
                <w:sz w:val="17"/>
              </w:rPr>
              <w:t>ISO country catalogue</w:t>
            </w:r>
          </w:p>
        </w:tc>
        <w:tc>
          <w:tcPr>
            <w:tcW w:type="dxa" w:w="4464"/>
            <w:vAlign w:val="center"/>
          </w:tcPr>
          <w:p>
            <w:r/>
            <w:r>
              <w:rPr>
                <w:rFonts w:ascii="Aptos" w:hAnsi="Aptos"/>
                <w:b w:val="0"/>
                <w:sz w:val="17"/>
              </w:rPr>
              <w:t>Employee country, identity, statutory, compliance, addresses, locations</w:t>
            </w:r>
          </w:p>
        </w:tc>
      </w:tr>
      <w:tr>
        <w:tc>
          <w:tcPr>
            <w:tcW w:type="dxa" w:w="1584"/>
            <w:vAlign w:val="center"/>
            <w:shd w:fill="EAF2F8"/>
          </w:tcPr>
          <w:p>
            <w:r/>
            <w:r>
              <w:rPr>
                <w:rFonts w:ascii="Aptos" w:hAnsi="Aptos"/>
                <w:b w:val="0"/>
                <w:sz w:val="17"/>
              </w:rPr>
              <w:t>State</w:t>
            </w:r>
          </w:p>
        </w:tc>
        <w:tc>
          <w:tcPr>
            <w:tcW w:type="dxa" w:w="1440"/>
            <w:vAlign w:val="center"/>
            <w:shd w:fill="EAF2F8"/>
          </w:tcPr>
          <w:p>
            <w:r/>
            <w:r>
              <w:rPr>
                <w:rFonts w:ascii="Aptos" w:hAnsi="Aptos"/>
                <w:b w:val="0"/>
                <w:sz w:val="17"/>
              </w:rPr>
              <w:t>Country</w:t>
            </w:r>
          </w:p>
        </w:tc>
        <w:tc>
          <w:tcPr>
            <w:tcW w:type="dxa" w:w="3600"/>
            <w:vAlign w:val="center"/>
            <w:shd w:fill="EAF2F8"/>
          </w:tcPr>
          <w:p>
            <w:r/>
            <w:r>
              <w:rPr>
                <w:rFonts w:ascii="Aptos" w:hAnsi="Aptos"/>
                <w:b w:val="0"/>
                <w:sz w:val="17"/>
              </w:rPr>
              <w:t>State/province/region</w:t>
            </w:r>
          </w:p>
        </w:tc>
        <w:tc>
          <w:tcPr>
            <w:tcW w:type="dxa" w:w="4464"/>
            <w:vAlign w:val="center"/>
            <w:shd w:fill="EAF2F8"/>
          </w:tcPr>
          <w:p>
            <w:r/>
            <w:r>
              <w:rPr>
                <w:rFonts w:ascii="Aptos" w:hAnsi="Aptos"/>
                <w:b w:val="0"/>
                <w:sz w:val="17"/>
              </w:rPr>
              <w:t>Address cascade, work location, state compliance</w:t>
            </w:r>
          </w:p>
        </w:tc>
      </w:tr>
      <w:tr>
        <w:tc>
          <w:tcPr>
            <w:tcW w:type="dxa" w:w="1584"/>
            <w:vAlign w:val="center"/>
          </w:tcPr>
          <w:p>
            <w:r/>
            <w:r>
              <w:rPr>
                <w:rFonts w:ascii="Aptos" w:hAnsi="Aptos"/>
                <w:b w:val="0"/>
                <w:sz w:val="17"/>
              </w:rPr>
              <w:t>District</w:t>
            </w:r>
          </w:p>
        </w:tc>
        <w:tc>
          <w:tcPr>
            <w:tcW w:type="dxa" w:w="1440"/>
            <w:vAlign w:val="center"/>
          </w:tcPr>
          <w:p>
            <w:r/>
            <w:r>
              <w:rPr>
                <w:rFonts w:ascii="Aptos" w:hAnsi="Aptos"/>
                <w:b w:val="0"/>
                <w:sz w:val="17"/>
              </w:rPr>
              <w:t>State</w:t>
            </w:r>
          </w:p>
        </w:tc>
        <w:tc>
          <w:tcPr>
            <w:tcW w:type="dxa" w:w="3600"/>
            <w:vAlign w:val="center"/>
          </w:tcPr>
          <w:p>
            <w:r/>
            <w:r>
              <w:rPr>
                <w:rFonts w:ascii="Aptos" w:hAnsi="Aptos"/>
                <w:b w:val="0"/>
                <w:sz w:val="17"/>
              </w:rPr>
              <w:t>District/county/administrative area</w:t>
            </w:r>
          </w:p>
        </w:tc>
        <w:tc>
          <w:tcPr>
            <w:tcW w:type="dxa" w:w="4464"/>
            <w:vAlign w:val="center"/>
          </w:tcPr>
          <w:p>
            <w:r/>
            <w:r>
              <w:rPr>
                <w:rFonts w:ascii="Aptos" w:hAnsi="Aptos"/>
                <w:b w:val="0"/>
                <w:sz w:val="17"/>
              </w:rPr>
              <w:t>Address cascade and local targeting</w:t>
            </w:r>
          </w:p>
        </w:tc>
      </w:tr>
      <w:tr>
        <w:tc>
          <w:tcPr>
            <w:tcW w:type="dxa" w:w="1584"/>
            <w:vAlign w:val="center"/>
            <w:shd w:fill="EAF2F8"/>
          </w:tcPr>
          <w:p>
            <w:r/>
            <w:r>
              <w:rPr>
                <w:rFonts w:ascii="Aptos" w:hAnsi="Aptos"/>
                <w:b w:val="0"/>
                <w:sz w:val="17"/>
              </w:rPr>
              <w:t>Locality</w:t>
            </w:r>
          </w:p>
        </w:tc>
        <w:tc>
          <w:tcPr>
            <w:tcW w:type="dxa" w:w="1440"/>
            <w:vAlign w:val="center"/>
            <w:shd w:fill="EAF2F8"/>
          </w:tcPr>
          <w:p>
            <w:r/>
            <w:r>
              <w:rPr>
                <w:rFonts w:ascii="Aptos" w:hAnsi="Aptos"/>
                <w:b w:val="0"/>
                <w:sz w:val="17"/>
              </w:rPr>
              <w:t>District</w:t>
            </w:r>
          </w:p>
        </w:tc>
        <w:tc>
          <w:tcPr>
            <w:tcW w:type="dxa" w:w="3600"/>
            <w:vAlign w:val="center"/>
            <w:shd w:fill="EAF2F8"/>
          </w:tcPr>
          <w:p>
            <w:r/>
            <w:r>
              <w:rPr>
                <w:rFonts w:ascii="Aptos" w:hAnsi="Aptos"/>
                <w:b w:val="0"/>
                <w:sz w:val="17"/>
              </w:rPr>
              <w:t>City/town/locality/postal location</w:t>
            </w:r>
          </w:p>
        </w:tc>
        <w:tc>
          <w:tcPr>
            <w:tcW w:type="dxa" w:w="4464"/>
            <w:vAlign w:val="center"/>
            <w:shd w:fill="EAF2F8"/>
          </w:tcPr>
          <w:p>
            <w:r/>
            <w:r>
              <w:rPr>
                <w:rFonts w:ascii="Aptos" w:hAnsi="Aptos"/>
                <w:b w:val="0"/>
                <w:sz w:val="17"/>
              </w:rPr>
              <w:t>Contact/address, office location, attendance/geofence</w:t>
            </w:r>
          </w:p>
        </w:tc>
      </w:tr>
    </w:tbl>
    <w:p/>
    <w:p>
      <w:r>
        <w:t>These geography tables are reference masters and require seed data. They do not by themselves assign an employee to a legal jurisdiction. A selected value must be stored in an employee address, contact, tenant location or employment context to become business data.</w:t>
      </w:r>
    </w:p>
    <w:p>
      <w:pPr>
        <w:pStyle w:val="Heading2"/>
      </w:pPr>
      <w:r>
        <w:t>7.1 What the current employee CountryId does not prove</w:t>
      </w:r>
    </w:p>
    <w:p>
      <w:pPr>
        <w:pStyle w:val="ListBullet"/>
      </w:pPr>
      <w:r>
        <w:t>It does not prove the employee's current residential state/district/locality.</w:t>
      </w:r>
    </w:p>
    <w:p>
      <w:pPr>
        <w:pStyle w:val="ListBullet"/>
      </w:pPr>
      <w:r>
        <w:t>It does not prove the employee's office or active primary work location.</w:t>
      </w:r>
    </w:p>
    <w:p>
      <w:pPr>
        <w:pStyle w:val="ListBullet"/>
      </w:pPr>
      <w:r>
        <w:t>It does not prove the employing legal entity.</w:t>
      </w:r>
    </w:p>
    <w:p>
      <w:pPr>
        <w:pStyle w:val="ListBullet"/>
      </w:pPr>
      <w:r>
        <w:t>It should not alone decide EPF/ESI, UAE pension, US payroll or other employment obligations.</w:t>
      </w:r>
    </w:p>
    <w:p>
      <w:pPr>
        <w:pStyle w:val="Heading1"/>
      </w:pPr>
      <w:r>
        <w:t>8. Statutory flow</w:t>
      </w:r>
    </w:p>
    <w:p>
      <w:r>
        <w:t>Statutory obligations such as Indian EPF/ESI, UAE pension or US Social Security normally depend on employment jurisdiction and eligibility conditions, not simply nationality. The reusable foundation is present, but the complete operational flow and authoritative country rules must be implemented and verified.</w:t>
      </w:r>
    </w:p>
    <w:p>
      <w:pPr>
        <w:pStyle w:val="CodeBlock"/>
        <w:keepLines/>
      </w:pPr>
      <w:r>
        <w:t>Employee</w:t>
        <w:br/>
        <w:t xml:space="preserve">   |</w:t>
        <w:br/>
        <w:t xml:space="preserve">   +-- active primary EmployeeLocationAssignment</w:t>
        <w:br/>
        <w:t xml:space="preserve">               |</w:t>
        <w:br/>
        <w:t xml:space="preserve">               v</w:t>
        <w:br/>
        <w:t xml:space="preserve">         TenantLocation.CountryId / StateId</w:t>
        <w:br/>
        <w:t xml:space="preserve">               |</w:t>
        <w:br/>
        <w:t xml:space="preserve">               v</w:t>
        <w:br/>
        <w:t xml:space="preserve">       CountryStatutoryRule</w:t>
        <w:br/>
        <w:t xml:space="preserve">               |</w:t>
        <w:br/>
        <w:t xml:space="preserve">               v</w:t>
        <w:br/>
        <w:t xml:space="preserve">          StatutoryType</w:t>
        <w:br/>
        <w:t xml:space="preserve">               |</w:t>
        <w:br/>
        <w:t xml:space="preserve">               v</w:t>
        <w:br/>
        <w:t xml:space="preserve">   EmployeeStatutoryAccount (employee-specific data)</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376"/>
            <w:shd w:fill="1F4E79"/>
            <w:vAlign w:val="center"/>
          </w:tcPr>
          <w:p>
            <w:r/>
            <w:r>
              <w:rPr>
                <w:rFonts w:ascii="Aptos" w:hAnsi="Aptos"/>
                <w:b/>
                <w:color w:val="FFFFFF"/>
                <w:sz w:val="17"/>
              </w:rPr>
              <w:t>Table</w:t>
            </w:r>
          </w:p>
        </w:tc>
        <w:tc>
          <w:tcPr>
            <w:tcW w:type="dxa" w:w="3024"/>
            <w:shd w:fill="1F4E79"/>
            <w:vAlign w:val="center"/>
          </w:tcPr>
          <w:p>
            <w:r/>
            <w:r>
              <w:rPr>
                <w:rFonts w:ascii="Aptos" w:hAnsi="Aptos"/>
                <w:b/>
                <w:color w:val="FFFFFF"/>
                <w:sz w:val="17"/>
              </w:rPr>
              <w:t>Role</w:t>
            </w:r>
          </w:p>
        </w:tc>
        <w:tc>
          <w:tcPr>
            <w:tcW w:type="dxa" w:w="1800"/>
            <w:shd w:fill="1F4E79"/>
            <w:vAlign w:val="center"/>
          </w:tcPr>
          <w:p>
            <w:r/>
            <w:r>
              <w:rPr>
                <w:rFonts w:ascii="Aptos" w:hAnsi="Aptos"/>
                <w:b/>
                <w:color w:val="FFFFFF"/>
                <w:sz w:val="17"/>
              </w:rPr>
              <w:t>Seed requirement</w:t>
            </w:r>
          </w:p>
        </w:tc>
        <w:tc>
          <w:tcPr>
            <w:tcW w:type="dxa" w:w="3168"/>
            <w:shd w:fill="1F4E79"/>
            <w:vAlign w:val="center"/>
          </w:tcPr>
          <w:p>
            <w:r/>
            <w:r>
              <w:rPr>
                <w:rFonts w:ascii="Aptos" w:hAnsi="Aptos"/>
                <w:b/>
                <w:color w:val="FFFFFF"/>
                <w:sz w:val="17"/>
              </w:rPr>
              <w:t>Notes</w:t>
            </w:r>
          </w:p>
        </w:tc>
      </w:tr>
      <w:tr>
        <w:tc>
          <w:tcPr>
            <w:tcW w:type="dxa" w:w="2376"/>
            <w:vAlign w:val="center"/>
          </w:tcPr>
          <w:p>
            <w:r/>
            <w:r>
              <w:rPr>
                <w:rFonts w:ascii="Aptos" w:hAnsi="Aptos"/>
                <w:b w:val="0"/>
                <w:sz w:val="17"/>
              </w:rPr>
              <w:t>StatutoryType</w:t>
            </w:r>
          </w:p>
        </w:tc>
        <w:tc>
          <w:tcPr>
            <w:tcW w:type="dxa" w:w="3024"/>
            <w:vAlign w:val="center"/>
          </w:tcPr>
          <w:p>
            <w:r/>
            <w:r>
              <w:rPr>
                <w:rFonts w:ascii="Aptos" w:hAnsi="Aptos"/>
                <w:b w:val="0"/>
                <w:sz w:val="17"/>
              </w:rPr>
              <w:t>Master of statutory schemes/types</w:t>
            </w:r>
          </w:p>
        </w:tc>
        <w:tc>
          <w:tcPr>
            <w:tcW w:type="dxa" w:w="1800"/>
            <w:vAlign w:val="center"/>
          </w:tcPr>
          <w:p>
            <w:r/>
            <w:r>
              <w:rPr>
                <w:rFonts w:ascii="Aptos" w:hAnsi="Aptos"/>
                <w:b w:val="0"/>
                <w:sz w:val="17"/>
              </w:rPr>
              <w:t>Yes</w:t>
            </w:r>
          </w:p>
        </w:tc>
        <w:tc>
          <w:tcPr>
            <w:tcW w:type="dxa" w:w="3168"/>
            <w:vAlign w:val="center"/>
          </w:tcPr>
          <w:p>
            <w:r/>
            <w:r>
              <w:rPr>
                <w:rFonts w:ascii="Aptos" w:hAnsi="Aptos"/>
                <w:b w:val="0"/>
                <w:sz w:val="17"/>
              </w:rPr>
              <w:t>Examples must come from authoritative sources</w:t>
            </w:r>
          </w:p>
        </w:tc>
      </w:tr>
      <w:tr>
        <w:tc>
          <w:tcPr>
            <w:tcW w:type="dxa" w:w="2376"/>
            <w:vAlign w:val="center"/>
            <w:shd w:fill="EAF2F8"/>
          </w:tcPr>
          <w:p>
            <w:r/>
            <w:r>
              <w:rPr>
                <w:rFonts w:ascii="Aptos" w:hAnsi="Aptos"/>
                <w:b w:val="0"/>
                <w:sz w:val="17"/>
              </w:rPr>
              <w:t>CountryStatutoryRule</w:t>
            </w:r>
          </w:p>
        </w:tc>
        <w:tc>
          <w:tcPr>
            <w:tcW w:type="dxa" w:w="3024"/>
            <w:vAlign w:val="center"/>
            <w:shd w:fill="EAF2F8"/>
          </w:tcPr>
          <w:p>
            <w:r/>
            <w:r>
              <w:rPr>
                <w:rFonts w:ascii="Aptos" w:hAnsi="Aptos"/>
                <w:b w:val="0"/>
                <w:sz w:val="17"/>
              </w:rPr>
              <w:t>Maps jurisdiction to scheme and conditions</w:t>
            </w:r>
          </w:p>
        </w:tc>
        <w:tc>
          <w:tcPr>
            <w:tcW w:type="dxa" w:w="1800"/>
            <w:vAlign w:val="center"/>
            <w:shd w:fill="EAF2F8"/>
          </w:tcPr>
          <w:p>
            <w:r/>
            <w:r>
              <w:rPr>
                <w:rFonts w:ascii="Aptos" w:hAnsi="Aptos"/>
                <w:b w:val="0"/>
                <w:sz w:val="17"/>
              </w:rPr>
              <w:t>Yes</w:t>
            </w:r>
          </w:p>
        </w:tc>
        <w:tc>
          <w:tcPr>
            <w:tcW w:type="dxa" w:w="3168"/>
            <w:vAlign w:val="center"/>
            <w:shd w:fill="EAF2F8"/>
          </w:tcPr>
          <w:p>
            <w:r/>
            <w:r>
              <w:rPr>
                <w:rFonts w:ascii="Aptos" w:hAnsi="Aptos"/>
                <w:b w:val="0"/>
                <w:sz w:val="17"/>
              </w:rPr>
              <w:t>Currently requires complete reviewed rule coverage</w:t>
            </w:r>
          </w:p>
        </w:tc>
      </w:tr>
      <w:tr>
        <w:tc>
          <w:tcPr>
            <w:tcW w:type="dxa" w:w="2376"/>
            <w:vAlign w:val="center"/>
          </w:tcPr>
          <w:p>
            <w:r/>
            <w:r>
              <w:rPr>
                <w:rFonts w:ascii="Aptos" w:hAnsi="Aptos"/>
                <w:b w:val="0"/>
                <w:sz w:val="17"/>
              </w:rPr>
              <w:t>EmployeeStatutoryAccount</w:t>
            </w:r>
          </w:p>
        </w:tc>
        <w:tc>
          <w:tcPr>
            <w:tcW w:type="dxa" w:w="3024"/>
            <w:vAlign w:val="center"/>
          </w:tcPr>
          <w:p>
            <w:r/>
            <w:r>
              <w:rPr>
                <w:rFonts w:ascii="Aptos" w:hAnsi="Aptos"/>
                <w:b w:val="0"/>
                <w:sz w:val="17"/>
              </w:rPr>
              <w:t>Employee-specific account/registration data</w:t>
            </w:r>
          </w:p>
        </w:tc>
        <w:tc>
          <w:tcPr>
            <w:tcW w:type="dxa" w:w="1800"/>
            <w:vAlign w:val="center"/>
          </w:tcPr>
          <w:p>
            <w:r/>
            <w:r>
              <w:rPr>
                <w:rFonts w:ascii="Aptos" w:hAnsi="Aptos"/>
                <w:b w:val="0"/>
                <w:sz w:val="17"/>
              </w:rPr>
              <w:t>No</w:t>
            </w:r>
          </w:p>
        </w:tc>
        <w:tc>
          <w:tcPr>
            <w:tcW w:type="dxa" w:w="3168"/>
            <w:vAlign w:val="center"/>
          </w:tcPr>
          <w:p>
            <w:r/>
            <w:r>
              <w:rPr>
                <w:rFonts w:ascii="Aptos" w:hAnsi="Aptos"/>
                <w:b w:val="0"/>
                <w:sz w:val="17"/>
              </w:rPr>
              <w:t>Created through business workflow</w:t>
            </w:r>
          </w:p>
        </w:tc>
      </w:tr>
      <w:tr>
        <w:tc>
          <w:tcPr>
            <w:tcW w:type="dxa" w:w="2376"/>
            <w:vAlign w:val="center"/>
            <w:shd w:fill="EAF2F8"/>
          </w:tcPr>
          <w:p>
            <w:r/>
            <w:r>
              <w:rPr>
                <w:rFonts w:ascii="Aptos" w:hAnsi="Aptos"/>
                <w:b w:val="0"/>
                <w:sz w:val="17"/>
              </w:rPr>
              <w:t>TenantLocation</w:t>
            </w:r>
          </w:p>
        </w:tc>
        <w:tc>
          <w:tcPr>
            <w:tcW w:type="dxa" w:w="3024"/>
            <w:vAlign w:val="center"/>
            <w:shd w:fill="EAF2F8"/>
          </w:tcPr>
          <w:p>
            <w:r/>
            <w:r>
              <w:rPr>
                <w:rFonts w:ascii="Aptos" w:hAnsi="Aptos"/>
                <w:b w:val="0"/>
                <w:sz w:val="17"/>
              </w:rPr>
              <w:t>Office/work jurisdiction anchor</w:t>
            </w:r>
          </w:p>
        </w:tc>
        <w:tc>
          <w:tcPr>
            <w:tcW w:type="dxa" w:w="1800"/>
            <w:vAlign w:val="center"/>
            <w:shd w:fill="EAF2F8"/>
          </w:tcPr>
          <w:p>
            <w:r/>
            <w:r>
              <w:rPr>
                <w:rFonts w:ascii="Aptos" w:hAnsi="Aptos"/>
                <w:b w:val="0"/>
                <w:sz w:val="17"/>
              </w:rPr>
              <w:t>No master seed</w:t>
            </w:r>
          </w:p>
        </w:tc>
        <w:tc>
          <w:tcPr>
            <w:tcW w:type="dxa" w:w="3168"/>
            <w:vAlign w:val="center"/>
            <w:shd w:fill="EAF2F8"/>
          </w:tcPr>
          <w:p>
            <w:r/>
            <w:r>
              <w:rPr>
                <w:rFonts w:ascii="Aptos" w:hAnsi="Aptos"/>
                <w:b w:val="0"/>
                <w:sz w:val="17"/>
              </w:rPr>
              <w:t>Tenant transaction/configuration</w:t>
            </w:r>
          </w:p>
        </w:tc>
      </w:tr>
      <w:tr>
        <w:tc>
          <w:tcPr>
            <w:tcW w:type="dxa" w:w="2376"/>
            <w:vAlign w:val="center"/>
          </w:tcPr>
          <w:p>
            <w:r/>
            <w:r>
              <w:rPr>
                <w:rFonts w:ascii="Aptos" w:hAnsi="Aptos"/>
                <w:b w:val="0"/>
                <w:sz w:val="17"/>
              </w:rPr>
              <w:t>EmployeeLocationAssignment</w:t>
            </w:r>
          </w:p>
        </w:tc>
        <w:tc>
          <w:tcPr>
            <w:tcW w:type="dxa" w:w="3024"/>
            <w:vAlign w:val="center"/>
          </w:tcPr>
          <w:p>
            <w:r/>
            <w:r>
              <w:rPr>
                <w:rFonts w:ascii="Aptos" w:hAnsi="Aptos"/>
                <w:b w:val="0"/>
                <w:sz w:val="17"/>
              </w:rPr>
              <w:t>Effective employee-to-location mapping</w:t>
            </w:r>
          </w:p>
        </w:tc>
        <w:tc>
          <w:tcPr>
            <w:tcW w:type="dxa" w:w="1800"/>
            <w:vAlign w:val="center"/>
          </w:tcPr>
          <w:p>
            <w:r/>
            <w:r>
              <w:rPr>
                <w:rFonts w:ascii="Aptos" w:hAnsi="Aptos"/>
                <w:b w:val="0"/>
                <w:sz w:val="17"/>
              </w:rPr>
              <w:t>No</w:t>
            </w:r>
          </w:p>
        </w:tc>
        <w:tc>
          <w:tcPr>
            <w:tcW w:type="dxa" w:w="3168"/>
            <w:vAlign w:val="center"/>
          </w:tcPr>
          <w:p>
            <w:r/>
            <w:r>
              <w:rPr>
                <w:rFonts w:ascii="Aptos" w:hAnsi="Aptos"/>
                <w:b w:val="0"/>
                <w:sz w:val="17"/>
              </w:rPr>
              <w:t>Use active primary assignment</w:t>
            </w:r>
          </w:p>
        </w:tc>
      </w:tr>
    </w:tbl>
    <w:p/>
    <w:p>
      <w:r>
        <w:rPr>
          <w:b/>
        </w:rPr>
        <w:t xml:space="preserve">Recommended separation: </w:t>
      </w:r>
      <w:r>
        <w:t>Identity eligibility continues to use Employee.CountryId. Statutory eligibility resolves through the employee's effective employment/work jurisdiction, preferably the active primary work location and ultimately an employing LegalEntity/EmploymentContext where multi-country tenants require it.</w:t>
      </w:r>
    </w:p>
    <w:p>
      <w:pPr>
        <w:pStyle w:val="Heading1"/>
      </w:pPr>
      <w:r>
        <w:t>9. Compliance flow</w:t>
      </w:r>
    </w:p>
    <w:p>
      <w:r>
        <w:t>ComplianceTypeMaster is a catalogue of compliance domains/types. ComplianceRule stores the actual jurisdiction rule configuration, including JSON, priority and effective dates. A type row is not the same as an executable legal rule.</w:t>
      </w:r>
    </w:p>
    <w:p>
      <w:pPr>
        <w:pStyle w:val="CodeBlock"/>
        <w:keepLines/>
      </w:pPr>
      <w:r>
        <w:t>ComplianceTypeMaster</w:t>
        <w:br/>
        <w:t xml:space="preserve">        |</w:t>
        <w:br/>
        <w:t xml:space="preserve">        v</w:t>
        <w:br/>
        <w:t>ComplianceRule</w:t>
        <w:br/>
        <w:t xml:space="preserve">  +-- CountryId</w:t>
        <w:br/>
        <w:t xml:space="preserve">  +-- optional StateId</w:t>
        <w:br/>
        <w:t xml:space="preserve">  +-- optional TenantId override</w:t>
        <w:br/>
        <w:t xml:space="preserve">  +-- RuleJson</w:t>
        <w:br/>
        <w:t xml:space="preserve">  +-- Priority</w:t>
        <w:br/>
        <w:t xml:space="preserve">  +-- EffectiveFrom / EffectiveTo</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92"/>
            <w:shd w:fill="1F4E79"/>
            <w:vAlign w:val="center"/>
          </w:tcPr>
          <w:p>
            <w:r/>
            <w:r>
              <w:rPr>
                <w:rFonts w:ascii="Aptos" w:hAnsi="Aptos"/>
                <w:b/>
                <w:color w:val="FFFFFF"/>
                <w:sz w:val="17"/>
              </w:rPr>
              <w:t>Table</w:t>
            </w:r>
          </w:p>
        </w:tc>
        <w:tc>
          <w:tcPr>
            <w:tcW w:type="dxa" w:w="3600"/>
            <w:shd w:fill="1F4E79"/>
            <w:vAlign w:val="center"/>
          </w:tcPr>
          <w:p>
            <w:r/>
            <w:r>
              <w:rPr>
                <w:rFonts w:ascii="Aptos" w:hAnsi="Aptos"/>
                <w:b/>
                <w:color w:val="FFFFFF"/>
                <w:sz w:val="17"/>
              </w:rPr>
              <w:t>Purpose</w:t>
            </w:r>
          </w:p>
        </w:tc>
        <w:tc>
          <w:tcPr>
            <w:tcW w:type="dxa" w:w="2448"/>
            <w:shd w:fill="1F4E79"/>
            <w:vAlign w:val="center"/>
          </w:tcPr>
          <w:p>
            <w:r/>
            <w:r>
              <w:rPr>
                <w:rFonts w:ascii="Aptos" w:hAnsi="Aptos"/>
                <w:b/>
                <w:color w:val="FFFFFF"/>
                <w:sz w:val="17"/>
              </w:rPr>
              <w:t>Seed/data owner</w:t>
            </w:r>
          </w:p>
        </w:tc>
        <w:tc>
          <w:tcPr>
            <w:tcW w:type="dxa" w:w="3312"/>
            <w:shd w:fill="1F4E79"/>
            <w:vAlign w:val="center"/>
          </w:tcPr>
          <w:p>
            <w:r/>
            <w:r>
              <w:rPr>
                <w:rFonts w:ascii="Aptos" w:hAnsi="Aptos"/>
                <w:b/>
                <w:color w:val="FFFFFF"/>
                <w:sz w:val="17"/>
              </w:rPr>
              <w:t>Current implication</w:t>
            </w:r>
          </w:p>
        </w:tc>
      </w:tr>
      <w:tr>
        <w:tc>
          <w:tcPr>
            <w:tcW w:type="dxa" w:w="2592"/>
            <w:vAlign w:val="center"/>
          </w:tcPr>
          <w:p>
            <w:r/>
            <w:r>
              <w:rPr>
                <w:rFonts w:ascii="Aptos" w:hAnsi="Aptos"/>
                <w:b w:val="0"/>
                <w:sz w:val="17"/>
              </w:rPr>
              <w:t>ComplianceTypeMaster</w:t>
            </w:r>
          </w:p>
        </w:tc>
        <w:tc>
          <w:tcPr>
            <w:tcW w:type="dxa" w:w="3600"/>
            <w:vAlign w:val="center"/>
          </w:tcPr>
          <w:p>
            <w:r/>
            <w:r>
              <w:rPr>
                <w:rFonts w:ascii="Aptos" w:hAnsi="Aptos"/>
                <w:b w:val="0"/>
                <w:sz w:val="17"/>
              </w:rPr>
              <w:t>Stable compliance category catalogue</w:t>
            </w:r>
          </w:p>
        </w:tc>
        <w:tc>
          <w:tcPr>
            <w:tcW w:type="dxa" w:w="2448"/>
            <w:vAlign w:val="center"/>
          </w:tcPr>
          <w:p>
            <w:r/>
            <w:r>
              <w:rPr>
                <w:rFonts w:ascii="Aptos" w:hAnsi="Aptos"/>
                <w:b w:val="0"/>
                <w:sz w:val="17"/>
              </w:rPr>
              <w:t>Controlled seed</w:t>
            </w:r>
          </w:p>
        </w:tc>
        <w:tc>
          <w:tcPr>
            <w:tcW w:type="dxa" w:w="3312"/>
            <w:vAlign w:val="center"/>
          </w:tcPr>
          <w:p>
            <w:r/>
            <w:r>
              <w:rPr>
                <w:rFonts w:ascii="Aptos" w:hAnsi="Aptos"/>
                <w:b w:val="0"/>
                <w:sz w:val="17"/>
              </w:rPr>
              <w:t>Keep; codes require governance</w:t>
            </w:r>
          </w:p>
        </w:tc>
      </w:tr>
      <w:tr>
        <w:tc>
          <w:tcPr>
            <w:tcW w:type="dxa" w:w="2592"/>
            <w:vAlign w:val="center"/>
            <w:shd w:fill="EAF2F8"/>
          </w:tcPr>
          <w:p>
            <w:r/>
            <w:r>
              <w:rPr>
                <w:rFonts w:ascii="Aptos" w:hAnsi="Aptos"/>
                <w:b w:val="0"/>
                <w:sz w:val="17"/>
              </w:rPr>
              <w:t>ComplianceRule</w:t>
            </w:r>
          </w:p>
        </w:tc>
        <w:tc>
          <w:tcPr>
            <w:tcW w:type="dxa" w:w="3600"/>
            <w:vAlign w:val="center"/>
            <w:shd w:fill="EAF2F8"/>
          </w:tcPr>
          <w:p>
            <w:r/>
            <w:r>
              <w:rPr>
                <w:rFonts w:ascii="Aptos" w:hAnsi="Aptos"/>
                <w:b w:val="0"/>
                <w:sz w:val="17"/>
              </w:rPr>
              <w:t>Effective jurisdiction/tenant rule pack</w:t>
            </w:r>
          </w:p>
        </w:tc>
        <w:tc>
          <w:tcPr>
            <w:tcW w:type="dxa" w:w="2448"/>
            <w:vAlign w:val="center"/>
            <w:shd w:fill="EAF2F8"/>
          </w:tcPr>
          <w:p>
            <w:r/>
            <w:r>
              <w:rPr>
                <w:rFonts w:ascii="Aptos" w:hAnsi="Aptos"/>
                <w:b w:val="0"/>
                <w:sz w:val="17"/>
              </w:rPr>
              <w:t>Reviewed regulatory/admin data</w:t>
            </w:r>
          </w:p>
        </w:tc>
        <w:tc>
          <w:tcPr>
            <w:tcW w:type="dxa" w:w="3312"/>
            <w:vAlign w:val="center"/>
            <w:shd w:fill="EAF2F8"/>
          </w:tcPr>
          <w:p>
            <w:r/>
            <w:r>
              <w:rPr>
                <w:rFonts w:ascii="Aptos" w:hAnsi="Aptos"/>
                <w:b w:val="0"/>
                <w:sz w:val="17"/>
              </w:rPr>
              <w:t>Keep; JSON needs schema/version/source governance</w:t>
            </w:r>
          </w:p>
        </w:tc>
      </w:tr>
    </w:tbl>
    <w:p/>
    <w:p>
      <w:r>
        <w:t>The intended precedence is global/default -&gt; country -&gt; state -&gt; tenant override, using effective dates and priority. Regulatory data must be reviewed and maintained; it must not be guessed from a country name.</w:t>
      </w:r>
    </w:p>
    <w:p>
      <w:pPr>
        <w:pStyle w:val="Heading1"/>
      </w:pPr>
      <w:r>
        <w:t>10. Seed-data dependency order</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936"/>
            <w:shd w:fill="1F4E79"/>
            <w:vAlign w:val="center"/>
          </w:tcPr>
          <w:p>
            <w:r/>
            <w:r>
              <w:rPr>
                <w:rFonts w:ascii="Aptos" w:hAnsi="Aptos"/>
                <w:b/>
                <w:color w:val="FFFFFF"/>
                <w:sz w:val="17"/>
              </w:rPr>
              <w:t>Order</w:t>
            </w:r>
          </w:p>
        </w:tc>
        <w:tc>
          <w:tcPr>
            <w:tcW w:type="dxa" w:w="3096"/>
            <w:shd w:fill="1F4E79"/>
            <w:vAlign w:val="center"/>
          </w:tcPr>
          <w:p>
            <w:r/>
            <w:r>
              <w:rPr>
                <w:rFonts w:ascii="Aptos" w:hAnsi="Aptos"/>
                <w:b/>
                <w:color w:val="FFFFFF"/>
                <w:sz w:val="17"/>
              </w:rPr>
              <w:t>Seed group</w:t>
            </w:r>
          </w:p>
        </w:tc>
        <w:tc>
          <w:tcPr>
            <w:tcW w:type="dxa" w:w="7056"/>
            <w:shd w:fill="1F4E79"/>
            <w:vAlign w:val="center"/>
          </w:tcPr>
          <w:p>
            <w:r/>
            <w:r>
              <w:rPr>
                <w:rFonts w:ascii="Aptos" w:hAnsi="Aptos"/>
                <w:b/>
                <w:color w:val="FFFFFF"/>
                <w:sz w:val="17"/>
              </w:rPr>
              <w:t>Dependent tables/flow</w:t>
            </w:r>
          </w:p>
        </w:tc>
      </w:tr>
      <w:tr>
        <w:tc>
          <w:tcPr>
            <w:tcW w:type="dxa" w:w="936"/>
            <w:vAlign w:val="center"/>
          </w:tcPr>
          <w:p>
            <w:r/>
            <w:r>
              <w:rPr>
                <w:rFonts w:ascii="Aptos" w:hAnsi="Aptos"/>
                <w:b w:val="0"/>
                <w:sz w:val="17"/>
              </w:rPr>
              <w:t>1</w:t>
            </w:r>
          </w:p>
        </w:tc>
        <w:tc>
          <w:tcPr>
            <w:tcW w:type="dxa" w:w="3096"/>
            <w:vAlign w:val="center"/>
          </w:tcPr>
          <w:p>
            <w:r/>
            <w:r>
              <w:rPr>
                <w:rFonts w:ascii="Aptos" w:hAnsi="Aptos"/>
                <w:b w:val="0"/>
                <w:sz w:val="17"/>
              </w:rPr>
              <w:t>Country</w:t>
            </w:r>
          </w:p>
        </w:tc>
        <w:tc>
          <w:tcPr>
            <w:tcW w:type="dxa" w:w="7056"/>
            <w:vAlign w:val="center"/>
          </w:tcPr>
          <w:p>
            <w:r/>
            <w:r>
              <w:rPr>
                <w:rFonts w:ascii="Aptos" w:hAnsi="Aptos"/>
                <w:b w:val="0"/>
                <w:sz w:val="17"/>
              </w:rPr>
              <w:t>Parent for State, identity rules, statutory rules and compliance rules</w:t>
            </w:r>
          </w:p>
        </w:tc>
      </w:tr>
      <w:tr>
        <w:tc>
          <w:tcPr>
            <w:tcW w:type="dxa" w:w="936"/>
            <w:vAlign w:val="center"/>
            <w:shd w:fill="EAF2F8"/>
          </w:tcPr>
          <w:p>
            <w:r/>
            <w:r>
              <w:rPr>
                <w:rFonts w:ascii="Aptos" w:hAnsi="Aptos"/>
                <w:b w:val="0"/>
                <w:sz w:val="17"/>
              </w:rPr>
              <w:t>2</w:t>
            </w:r>
          </w:p>
        </w:tc>
        <w:tc>
          <w:tcPr>
            <w:tcW w:type="dxa" w:w="3096"/>
            <w:vAlign w:val="center"/>
            <w:shd w:fill="EAF2F8"/>
          </w:tcPr>
          <w:p>
            <w:r/>
            <w:r>
              <w:rPr>
                <w:rFonts w:ascii="Aptos" w:hAnsi="Aptos"/>
                <w:b w:val="0"/>
                <w:sz w:val="17"/>
              </w:rPr>
              <w:t>State</w:t>
            </w:r>
          </w:p>
        </w:tc>
        <w:tc>
          <w:tcPr>
            <w:tcW w:type="dxa" w:w="7056"/>
            <w:vAlign w:val="center"/>
            <w:shd w:fill="EAF2F8"/>
          </w:tcPr>
          <w:p>
            <w:r/>
            <w:r>
              <w:rPr>
                <w:rFonts w:ascii="Aptos" w:hAnsi="Aptos"/>
                <w:b w:val="0"/>
                <w:sz w:val="17"/>
              </w:rPr>
              <w:t>Depends on Country</w:t>
            </w:r>
          </w:p>
        </w:tc>
      </w:tr>
      <w:tr>
        <w:tc>
          <w:tcPr>
            <w:tcW w:type="dxa" w:w="936"/>
            <w:vAlign w:val="center"/>
          </w:tcPr>
          <w:p>
            <w:r/>
            <w:r>
              <w:rPr>
                <w:rFonts w:ascii="Aptos" w:hAnsi="Aptos"/>
                <w:b w:val="0"/>
                <w:sz w:val="17"/>
              </w:rPr>
              <w:t>3</w:t>
            </w:r>
          </w:p>
        </w:tc>
        <w:tc>
          <w:tcPr>
            <w:tcW w:type="dxa" w:w="3096"/>
            <w:vAlign w:val="center"/>
          </w:tcPr>
          <w:p>
            <w:r/>
            <w:r>
              <w:rPr>
                <w:rFonts w:ascii="Aptos" w:hAnsi="Aptos"/>
                <w:b w:val="0"/>
                <w:sz w:val="17"/>
              </w:rPr>
              <w:t>District</w:t>
            </w:r>
          </w:p>
        </w:tc>
        <w:tc>
          <w:tcPr>
            <w:tcW w:type="dxa" w:w="7056"/>
            <w:vAlign w:val="center"/>
          </w:tcPr>
          <w:p>
            <w:r/>
            <w:r>
              <w:rPr>
                <w:rFonts w:ascii="Aptos" w:hAnsi="Aptos"/>
                <w:b w:val="0"/>
                <w:sz w:val="17"/>
              </w:rPr>
              <w:t>Depends on State</w:t>
            </w:r>
          </w:p>
        </w:tc>
      </w:tr>
      <w:tr>
        <w:tc>
          <w:tcPr>
            <w:tcW w:type="dxa" w:w="936"/>
            <w:vAlign w:val="center"/>
            <w:shd w:fill="EAF2F8"/>
          </w:tcPr>
          <w:p>
            <w:r/>
            <w:r>
              <w:rPr>
                <w:rFonts w:ascii="Aptos" w:hAnsi="Aptos"/>
                <w:b w:val="0"/>
                <w:sz w:val="17"/>
              </w:rPr>
              <w:t>4</w:t>
            </w:r>
          </w:p>
        </w:tc>
        <w:tc>
          <w:tcPr>
            <w:tcW w:type="dxa" w:w="3096"/>
            <w:vAlign w:val="center"/>
            <w:shd w:fill="EAF2F8"/>
          </w:tcPr>
          <w:p>
            <w:r/>
            <w:r>
              <w:rPr>
                <w:rFonts w:ascii="Aptos" w:hAnsi="Aptos"/>
                <w:b w:val="0"/>
                <w:sz w:val="17"/>
              </w:rPr>
              <w:t>Locality</w:t>
            </w:r>
          </w:p>
        </w:tc>
        <w:tc>
          <w:tcPr>
            <w:tcW w:type="dxa" w:w="7056"/>
            <w:vAlign w:val="center"/>
            <w:shd w:fill="EAF2F8"/>
          </w:tcPr>
          <w:p>
            <w:r/>
            <w:r>
              <w:rPr>
                <w:rFonts w:ascii="Aptos" w:hAnsi="Aptos"/>
                <w:b w:val="0"/>
                <w:sz w:val="17"/>
              </w:rPr>
              <w:t>Depends on District</w:t>
            </w:r>
          </w:p>
        </w:tc>
      </w:tr>
      <w:tr>
        <w:tc>
          <w:tcPr>
            <w:tcW w:type="dxa" w:w="936"/>
            <w:vAlign w:val="center"/>
          </w:tcPr>
          <w:p>
            <w:r/>
            <w:r>
              <w:rPr>
                <w:rFonts w:ascii="Aptos" w:hAnsi="Aptos"/>
                <w:b w:val="0"/>
                <w:sz w:val="17"/>
              </w:rPr>
              <w:t>5</w:t>
            </w:r>
          </w:p>
        </w:tc>
        <w:tc>
          <w:tcPr>
            <w:tcW w:type="dxa" w:w="3096"/>
            <w:vAlign w:val="center"/>
          </w:tcPr>
          <w:p>
            <w:r/>
            <w:r>
              <w:rPr>
                <w:rFonts w:ascii="Aptos" w:hAnsi="Aptos"/>
                <w:b w:val="0"/>
                <w:sz w:val="17"/>
              </w:rPr>
              <w:t>IdentityCategory</w:t>
            </w:r>
          </w:p>
        </w:tc>
        <w:tc>
          <w:tcPr>
            <w:tcW w:type="dxa" w:w="7056"/>
            <w:vAlign w:val="center"/>
          </w:tcPr>
          <w:p>
            <w:r/>
            <w:r>
              <w:rPr>
                <w:rFonts w:ascii="Aptos" w:hAnsi="Aptos"/>
                <w:b w:val="0"/>
                <w:sz w:val="17"/>
              </w:rPr>
              <w:t>Parent for IdentityCategoryDocument</w:t>
            </w:r>
          </w:p>
        </w:tc>
      </w:tr>
      <w:tr>
        <w:tc>
          <w:tcPr>
            <w:tcW w:type="dxa" w:w="936"/>
            <w:vAlign w:val="center"/>
            <w:shd w:fill="EAF2F8"/>
          </w:tcPr>
          <w:p>
            <w:r/>
            <w:r>
              <w:rPr>
                <w:rFonts w:ascii="Aptos" w:hAnsi="Aptos"/>
                <w:b w:val="0"/>
                <w:sz w:val="17"/>
              </w:rPr>
              <w:t>6</w:t>
            </w:r>
          </w:p>
        </w:tc>
        <w:tc>
          <w:tcPr>
            <w:tcW w:type="dxa" w:w="3096"/>
            <w:vAlign w:val="center"/>
            <w:shd w:fill="EAF2F8"/>
          </w:tcPr>
          <w:p>
            <w:r/>
            <w:r>
              <w:rPr>
                <w:rFonts w:ascii="Aptos" w:hAnsi="Aptos"/>
                <w:b w:val="0"/>
                <w:sz w:val="17"/>
              </w:rPr>
              <w:t>IdentityCategoryDocument</w:t>
            </w:r>
          </w:p>
        </w:tc>
        <w:tc>
          <w:tcPr>
            <w:tcW w:type="dxa" w:w="7056"/>
            <w:vAlign w:val="center"/>
            <w:shd w:fill="EAF2F8"/>
          </w:tcPr>
          <w:p>
            <w:r/>
            <w:r>
              <w:rPr>
                <w:rFonts w:ascii="Aptos" w:hAnsi="Aptos"/>
                <w:b w:val="0"/>
                <w:sz w:val="17"/>
              </w:rPr>
              <w:t>Depends on IdentityCategory</w:t>
            </w:r>
          </w:p>
        </w:tc>
      </w:tr>
      <w:tr>
        <w:tc>
          <w:tcPr>
            <w:tcW w:type="dxa" w:w="936"/>
            <w:vAlign w:val="center"/>
          </w:tcPr>
          <w:p>
            <w:r/>
            <w:r>
              <w:rPr>
                <w:rFonts w:ascii="Aptos" w:hAnsi="Aptos"/>
                <w:b w:val="0"/>
                <w:sz w:val="17"/>
              </w:rPr>
              <w:t>7</w:t>
            </w:r>
          </w:p>
        </w:tc>
        <w:tc>
          <w:tcPr>
            <w:tcW w:type="dxa" w:w="3096"/>
            <w:vAlign w:val="center"/>
          </w:tcPr>
          <w:p>
            <w:r/>
            <w:r>
              <w:rPr>
                <w:rFonts w:ascii="Aptos" w:hAnsi="Aptos"/>
                <w:b w:val="0"/>
                <w:sz w:val="17"/>
              </w:rPr>
              <w:t>CountryIdentityRule</w:t>
            </w:r>
          </w:p>
        </w:tc>
        <w:tc>
          <w:tcPr>
            <w:tcW w:type="dxa" w:w="7056"/>
            <w:vAlign w:val="center"/>
          </w:tcPr>
          <w:p>
            <w:r/>
            <w:r>
              <w:rPr>
                <w:rFonts w:ascii="Aptos" w:hAnsi="Aptos"/>
                <w:b w:val="0"/>
                <w:sz w:val="17"/>
              </w:rPr>
              <w:t>Depends on Country + IdentityCategoryDocument</w:t>
            </w:r>
          </w:p>
        </w:tc>
      </w:tr>
      <w:tr>
        <w:tc>
          <w:tcPr>
            <w:tcW w:type="dxa" w:w="936"/>
            <w:vAlign w:val="center"/>
            <w:shd w:fill="EAF2F8"/>
          </w:tcPr>
          <w:p>
            <w:r/>
            <w:r>
              <w:rPr>
                <w:rFonts w:ascii="Aptos" w:hAnsi="Aptos"/>
                <w:b w:val="0"/>
                <w:sz w:val="17"/>
              </w:rPr>
              <w:t>8</w:t>
            </w:r>
          </w:p>
        </w:tc>
        <w:tc>
          <w:tcPr>
            <w:tcW w:type="dxa" w:w="3096"/>
            <w:vAlign w:val="center"/>
            <w:shd w:fill="EAF2F8"/>
          </w:tcPr>
          <w:p>
            <w:r/>
            <w:r>
              <w:rPr>
                <w:rFonts w:ascii="Aptos" w:hAnsi="Aptos"/>
                <w:b w:val="0"/>
                <w:sz w:val="17"/>
              </w:rPr>
              <w:t>StatutoryType</w:t>
            </w:r>
          </w:p>
        </w:tc>
        <w:tc>
          <w:tcPr>
            <w:tcW w:type="dxa" w:w="7056"/>
            <w:vAlign w:val="center"/>
            <w:shd w:fill="EAF2F8"/>
          </w:tcPr>
          <w:p>
            <w:r/>
            <w:r>
              <w:rPr>
                <w:rFonts w:ascii="Aptos" w:hAnsi="Aptos"/>
                <w:b w:val="0"/>
                <w:sz w:val="17"/>
              </w:rPr>
              <w:t>Statutory scheme master</w:t>
            </w:r>
          </w:p>
        </w:tc>
      </w:tr>
      <w:tr>
        <w:tc>
          <w:tcPr>
            <w:tcW w:type="dxa" w:w="936"/>
            <w:vAlign w:val="center"/>
          </w:tcPr>
          <w:p>
            <w:r/>
            <w:r>
              <w:rPr>
                <w:rFonts w:ascii="Aptos" w:hAnsi="Aptos"/>
                <w:b w:val="0"/>
                <w:sz w:val="17"/>
              </w:rPr>
              <w:t>9</w:t>
            </w:r>
          </w:p>
        </w:tc>
        <w:tc>
          <w:tcPr>
            <w:tcW w:type="dxa" w:w="3096"/>
            <w:vAlign w:val="center"/>
          </w:tcPr>
          <w:p>
            <w:r/>
            <w:r>
              <w:rPr>
                <w:rFonts w:ascii="Aptos" w:hAnsi="Aptos"/>
                <w:b w:val="0"/>
                <w:sz w:val="17"/>
              </w:rPr>
              <w:t>CountryStatutoryRule</w:t>
            </w:r>
          </w:p>
        </w:tc>
        <w:tc>
          <w:tcPr>
            <w:tcW w:type="dxa" w:w="7056"/>
            <w:vAlign w:val="center"/>
          </w:tcPr>
          <w:p>
            <w:r/>
            <w:r>
              <w:rPr>
                <w:rFonts w:ascii="Aptos" w:hAnsi="Aptos"/>
                <w:b w:val="0"/>
                <w:sz w:val="17"/>
              </w:rPr>
              <w:t>Depends on Country + StatutoryType</w:t>
            </w:r>
          </w:p>
        </w:tc>
      </w:tr>
      <w:tr>
        <w:tc>
          <w:tcPr>
            <w:tcW w:type="dxa" w:w="936"/>
            <w:vAlign w:val="center"/>
            <w:shd w:fill="EAF2F8"/>
          </w:tcPr>
          <w:p>
            <w:r/>
            <w:r>
              <w:rPr>
                <w:rFonts w:ascii="Aptos" w:hAnsi="Aptos"/>
                <w:b w:val="0"/>
                <w:sz w:val="17"/>
              </w:rPr>
              <w:t>10</w:t>
            </w:r>
          </w:p>
        </w:tc>
        <w:tc>
          <w:tcPr>
            <w:tcW w:type="dxa" w:w="3096"/>
            <w:vAlign w:val="center"/>
            <w:shd w:fill="EAF2F8"/>
          </w:tcPr>
          <w:p>
            <w:r/>
            <w:r>
              <w:rPr>
                <w:rFonts w:ascii="Aptos" w:hAnsi="Aptos"/>
                <w:b w:val="0"/>
                <w:sz w:val="17"/>
              </w:rPr>
              <w:t>ComplianceTypeMaster</w:t>
            </w:r>
          </w:p>
        </w:tc>
        <w:tc>
          <w:tcPr>
            <w:tcW w:type="dxa" w:w="7056"/>
            <w:vAlign w:val="center"/>
            <w:shd w:fill="EAF2F8"/>
          </w:tcPr>
          <w:p>
            <w:r/>
            <w:r>
              <w:rPr>
                <w:rFonts w:ascii="Aptos" w:hAnsi="Aptos"/>
                <w:b w:val="0"/>
                <w:sz w:val="17"/>
              </w:rPr>
              <w:t>Compliance category master</w:t>
            </w:r>
          </w:p>
        </w:tc>
      </w:tr>
      <w:tr>
        <w:tc>
          <w:tcPr>
            <w:tcW w:type="dxa" w:w="936"/>
            <w:vAlign w:val="center"/>
          </w:tcPr>
          <w:p>
            <w:r/>
            <w:r>
              <w:rPr>
                <w:rFonts w:ascii="Aptos" w:hAnsi="Aptos"/>
                <w:b w:val="0"/>
                <w:sz w:val="17"/>
              </w:rPr>
              <w:t>11</w:t>
            </w:r>
          </w:p>
        </w:tc>
        <w:tc>
          <w:tcPr>
            <w:tcW w:type="dxa" w:w="3096"/>
            <w:vAlign w:val="center"/>
          </w:tcPr>
          <w:p>
            <w:r/>
            <w:r>
              <w:rPr>
                <w:rFonts w:ascii="Aptos" w:hAnsi="Aptos"/>
                <w:b w:val="0"/>
                <w:sz w:val="17"/>
              </w:rPr>
              <w:t>ComplianceRule</w:t>
            </w:r>
          </w:p>
        </w:tc>
        <w:tc>
          <w:tcPr>
            <w:tcW w:type="dxa" w:w="7056"/>
            <w:vAlign w:val="center"/>
          </w:tcPr>
          <w:p>
            <w:r/>
            <w:r>
              <w:rPr>
                <w:rFonts w:ascii="Aptos" w:hAnsi="Aptos"/>
                <w:b w:val="0"/>
                <w:sz w:val="17"/>
              </w:rPr>
              <w:t>Depends on compliance type and jurisdiction/tenant scope</w:t>
            </w:r>
          </w:p>
        </w:tc>
      </w:tr>
    </w:tbl>
    <w:p/>
    <w:p>
      <w:r>
        <w:t>Employee, EmployeeIdentity, EmployeeStatutoryAccount, TenantLocation and EmployeeLocationAssignment are transaction/configuration tables. They should not be populated as generic master seed data.</w:t>
      </w:r>
    </w:p>
    <w:p>
      <w:pPr>
        <w:pStyle w:val="Heading1"/>
      </w:pPr>
      <w:r>
        <w:t>11. Interpreting the supplied row counts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448"/>
            <w:shd w:fill="1F4E79"/>
            <w:vAlign w:val="center"/>
          </w:tcPr>
          <w:p>
            <w:r/>
            <w:r>
              <w:rPr>
                <w:rFonts w:ascii="Aptos" w:hAnsi="Aptos"/>
                <w:b/>
                <w:color w:val="FFFFFF"/>
                <w:sz w:val="17"/>
              </w:rPr>
              <w:t>Dataset</w:t>
            </w:r>
          </w:p>
        </w:tc>
        <w:tc>
          <w:tcPr>
            <w:tcW w:type="dxa" w:w="1440"/>
            <w:shd w:fill="1F4E79"/>
            <w:vAlign w:val="center"/>
          </w:tcPr>
          <w:p>
            <w:r/>
            <w:r>
              <w:rPr>
                <w:rFonts w:ascii="Aptos" w:hAnsi="Aptos"/>
                <w:b/>
                <w:color w:val="FFFFFF"/>
                <w:sz w:val="17"/>
              </w:rPr>
              <w:t>Supplied count</w:t>
            </w:r>
          </w:p>
        </w:tc>
        <w:tc>
          <w:tcPr>
            <w:tcW w:type="dxa" w:w="7200"/>
            <w:shd w:fill="1F4E79"/>
            <w:vAlign w:val="center"/>
          </w:tcPr>
          <w:p>
            <w:r/>
            <w:r>
              <w:rPr>
                <w:rFonts w:ascii="Aptos" w:hAnsi="Aptos"/>
                <w:b/>
                <w:color w:val="FFFFFF"/>
                <w:sz w:val="17"/>
              </w:rPr>
              <w:t>Interpretation / caution</w:t>
            </w:r>
          </w:p>
        </w:tc>
      </w:tr>
      <w:tr>
        <w:tc>
          <w:tcPr>
            <w:tcW w:type="dxa" w:w="2448"/>
            <w:vAlign w:val="center"/>
          </w:tcPr>
          <w:p>
            <w:r/>
            <w:r>
              <w:rPr>
                <w:rFonts w:ascii="Aptos" w:hAnsi="Aptos"/>
                <w:b w:val="0"/>
                <w:sz w:val="17"/>
              </w:rPr>
              <w:t>Country</w:t>
            </w:r>
          </w:p>
        </w:tc>
        <w:tc>
          <w:tcPr>
            <w:tcW w:type="dxa" w:w="1440"/>
            <w:vAlign w:val="center"/>
          </w:tcPr>
          <w:p>
            <w:r/>
            <w:r>
              <w:rPr>
                <w:rFonts w:ascii="Aptos" w:hAnsi="Aptos"/>
                <w:b w:val="0"/>
                <w:sz w:val="17"/>
              </w:rPr>
              <w:t>249</w:t>
            </w:r>
          </w:p>
        </w:tc>
        <w:tc>
          <w:tcPr>
            <w:tcW w:type="dxa" w:w="7200"/>
            <w:vAlign w:val="center"/>
          </w:tcPr>
          <w:p>
            <w:r/>
            <w:r>
              <w:rPr>
                <w:rFonts w:ascii="Aptos" w:hAnsi="Aptos"/>
                <w:b w:val="0"/>
                <w:sz w:val="17"/>
              </w:rPr>
              <w:t>Expected ISO country catalogue size in the canonical seed</w:t>
            </w:r>
          </w:p>
        </w:tc>
      </w:tr>
      <w:tr>
        <w:tc>
          <w:tcPr>
            <w:tcW w:type="dxa" w:w="2448"/>
            <w:vAlign w:val="center"/>
            <w:shd w:fill="EAF2F8"/>
          </w:tcPr>
          <w:p>
            <w:r/>
            <w:r>
              <w:rPr>
                <w:rFonts w:ascii="Aptos" w:hAnsi="Aptos"/>
                <w:b w:val="0"/>
                <w:sz w:val="17"/>
              </w:rPr>
              <w:t>State</w:t>
            </w:r>
          </w:p>
        </w:tc>
        <w:tc>
          <w:tcPr>
            <w:tcW w:type="dxa" w:w="1440"/>
            <w:vAlign w:val="center"/>
            <w:shd w:fill="EAF2F8"/>
          </w:tcPr>
          <w:p>
            <w:r/>
            <w:r>
              <w:rPr>
                <w:rFonts w:ascii="Aptos" w:hAnsi="Aptos"/>
                <w:b w:val="0"/>
                <w:sz w:val="17"/>
              </w:rPr>
              <w:t>150</w:t>
            </w:r>
          </w:p>
        </w:tc>
        <w:tc>
          <w:tcPr>
            <w:tcW w:type="dxa" w:w="7200"/>
            <w:vAlign w:val="center"/>
            <w:shd w:fill="EAF2F8"/>
          </w:tcPr>
          <w:p>
            <w:r/>
            <w:r>
              <w:rPr>
                <w:rFonts w:ascii="Aptos" w:hAnsi="Aptos"/>
                <w:b w:val="0"/>
                <w:sz w:val="17"/>
              </w:rPr>
              <w:t>Partial hierarchy; cannot represent all subdivisions of 249 countries</w:t>
            </w:r>
          </w:p>
        </w:tc>
      </w:tr>
      <w:tr>
        <w:tc>
          <w:tcPr>
            <w:tcW w:type="dxa" w:w="2448"/>
            <w:vAlign w:val="center"/>
          </w:tcPr>
          <w:p>
            <w:r/>
            <w:r>
              <w:rPr>
                <w:rFonts w:ascii="Aptos" w:hAnsi="Aptos"/>
                <w:b w:val="0"/>
                <w:sz w:val="17"/>
              </w:rPr>
              <w:t>District</w:t>
            </w:r>
          </w:p>
        </w:tc>
        <w:tc>
          <w:tcPr>
            <w:tcW w:type="dxa" w:w="1440"/>
            <w:vAlign w:val="center"/>
          </w:tcPr>
          <w:p>
            <w:r/>
            <w:r>
              <w:rPr>
                <w:rFonts w:ascii="Aptos" w:hAnsi="Aptos"/>
                <w:b w:val="0"/>
                <w:sz w:val="17"/>
              </w:rPr>
              <w:t>12,458</w:t>
            </w:r>
          </w:p>
        </w:tc>
        <w:tc>
          <w:tcPr>
            <w:tcW w:type="dxa" w:w="7200"/>
            <w:vAlign w:val="center"/>
          </w:tcPr>
          <w:p>
            <w:r/>
            <w:r>
              <w:rPr>
                <w:rFonts w:ascii="Aptos" w:hAnsi="Aptos"/>
                <w:b w:val="0"/>
                <w:sz w:val="17"/>
              </w:rPr>
              <w:t>Detailed only for selected countries; verify parent integrity</w:t>
            </w:r>
          </w:p>
        </w:tc>
      </w:tr>
      <w:tr>
        <w:tc>
          <w:tcPr>
            <w:tcW w:type="dxa" w:w="2448"/>
            <w:vAlign w:val="center"/>
            <w:shd w:fill="EAF2F8"/>
          </w:tcPr>
          <w:p>
            <w:r/>
            <w:r>
              <w:rPr>
                <w:rFonts w:ascii="Aptos" w:hAnsi="Aptos"/>
                <w:b w:val="0"/>
                <w:sz w:val="17"/>
              </w:rPr>
              <w:t>City/Locality</w:t>
            </w:r>
          </w:p>
        </w:tc>
        <w:tc>
          <w:tcPr>
            <w:tcW w:type="dxa" w:w="1440"/>
            <w:vAlign w:val="center"/>
            <w:shd w:fill="EAF2F8"/>
          </w:tcPr>
          <w:p>
            <w:r/>
            <w:r>
              <w:rPr>
                <w:rFonts w:ascii="Aptos" w:hAnsi="Aptos"/>
                <w:b w:val="0"/>
                <w:sz w:val="17"/>
              </w:rPr>
              <w:t>231,016</w:t>
            </w:r>
          </w:p>
        </w:tc>
        <w:tc>
          <w:tcPr>
            <w:tcW w:type="dxa" w:w="7200"/>
            <w:vAlign w:val="center"/>
            <w:shd w:fill="EAF2F8"/>
          </w:tcPr>
          <w:p>
            <w:r/>
            <w:r>
              <w:rPr>
                <w:rFonts w:ascii="Aptos" w:hAnsi="Aptos"/>
                <w:b w:val="0"/>
                <w:sz w:val="17"/>
              </w:rPr>
              <w:t>Large locality catalogue; confirm actual table name and hierarchy</w:t>
            </w:r>
          </w:p>
        </w:tc>
      </w:tr>
      <w:tr>
        <w:tc>
          <w:tcPr>
            <w:tcW w:type="dxa" w:w="2448"/>
            <w:vAlign w:val="center"/>
          </w:tcPr>
          <w:p>
            <w:r/>
            <w:r>
              <w:rPr>
                <w:rFonts w:ascii="Aptos" w:hAnsi="Aptos"/>
                <w:b w:val="0"/>
                <w:sz w:val="17"/>
              </w:rPr>
              <w:t>ComplianceTypeMaster</w:t>
            </w:r>
          </w:p>
        </w:tc>
        <w:tc>
          <w:tcPr>
            <w:tcW w:type="dxa" w:w="1440"/>
            <w:vAlign w:val="center"/>
          </w:tcPr>
          <w:p>
            <w:r/>
            <w:r>
              <w:rPr>
                <w:rFonts w:ascii="Aptos" w:hAnsi="Aptos"/>
                <w:b w:val="0"/>
                <w:sz w:val="17"/>
              </w:rPr>
              <w:t>1,018</w:t>
            </w:r>
          </w:p>
        </w:tc>
        <w:tc>
          <w:tcPr>
            <w:tcW w:type="dxa" w:w="7200"/>
            <w:vAlign w:val="center"/>
          </w:tcPr>
          <w:p>
            <w:r/>
            <w:r>
              <w:rPr>
                <w:rFonts w:ascii="Aptos" w:hAnsi="Aptos"/>
                <w:b w:val="0"/>
                <w:sz w:val="17"/>
              </w:rPr>
              <w:t>Catalogue count, not 1,018 executable legal rules</w:t>
            </w:r>
          </w:p>
        </w:tc>
      </w:tr>
      <w:tr>
        <w:tc>
          <w:tcPr>
            <w:tcW w:type="dxa" w:w="2448"/>
            <w:vAlign w:val="center"/>
            <w:shd w:fill="EAF2F8"/>
          </w:tcPr>
          <w:p>
            <w:r/>
            <w:r>
              <w:rPr>
                <w:rFonts w:ascii="Aptos" w:hAnsi="Aptos"/>
                <w:b w:val="0"/>
                <w:sz w:val="17"/>
              </w:rPr>
              <w:t>StatutoryType</w:t>
            </w:r>
          </w:p>
        </w:tc>
        <w:tc>
          <w:tcPr>
            <w:tcW w:type="dxa" w:w="1440"/>
            <w:vAlign w:val="center"/>
            <w:shd w:fill="EAF2F8"/>
          </w:tcPr>
          <w:p>
            <w:r/>
            <w:r>
              <w:rPr>
                <w:rFonts w:ascii="Aptos" w:hAnsi="Aptos"/>
                <w:b w:val="0"/>
                <w:sz w:val="17"/>
              </w:rPr>
              <w:t>22</w:t>
            </w:r>
          </w:p>
        </w:tc>
        <w:tc>
          <w:tcPr>
            <w:tcW w:type="dxa" w:w="7200"/>
            <w:vAlign w:val="center"/>
            <w:shd w:fill="EAF2F8"/>
          </w:tcPr>
          <w:p>
            <w:r/>
            <w:r>
              <w:rPr>
                <w:rFonts w:ascii="Aptos" w:hAnsi="Aptos"/>
                <w:b w:val="0"/>
                <w:sz w:val="17"/>
              </w:rPr>
              <w:t>Scheme masters; country coverage must be reviewed</w:t>
            </w:r>
          </w:p>
        </w:tc>
      </w:tr>
      <w:tr>
        <w:tc>
          <w:tcPr>
            <w:tcW w:type="dxa" w:w="2448"/>
            <w:vAlign w:val="center"/>
          </w:tcPr>
          <w:p>
            <w:r/>
            <w:r>
              <w:rPr>
                <w:rFonts w:ascii="Aptos" w:hAnsi="Aptos"/>
                <w:b w:val="0"/>
                <w:sz w:val="17"/>
              </w:rPr>
              <w:t>CountryIdentityRule</w:t>
            </w:r>
          </w:p>
        </w:tc>
        <w:tc>
          <w:tcPr>
            <w:tcW w:type="dxa" w:w="1440"/>
            <w:vAlign w:val="center"/>
          </w:tcPr>
          <w:p>
            <w:r/>
            <w:r>
              <w:rPr>
                <w:rFonts w:ascii="Aptos" w:hAnsi="Aptos"/>
                <w:b w:val="0"/>
                <w:sz w:val="17"/>
              </w:rPr>
              <w:t>6 (earlier observation)</w:t>
            </w:r>
          </w:p>
        </w:tc>
        <w:tc>
          <w:tcPr>
            <w:tcW w:type="dxa" w:w="7200"/>
            <w:vAlign w:val="center"/>
          </w:tcPr>
          <w:p>
            <w:r/>
            <w:r>
              <w:rPr>
                <w:rFonts w:ascii="Aptos" w:hAnsi="Aptos"/>
                <w:b w:val="0"/>
                <w:sz w:val="17"/>
              </w:rPr>
              <w:t>Incomplete for global launch; later canonical evidence reports broader mappings</w:t>
            </w:r>
          </w:p>
        </w:tc>
      </w:tr>
    </w:tbl>
    <w:p/>
    <w:p>
      <w:r>
        <w:t>Counts are useful verification evidence, but coverage quality depends on codes, parent foreign keys, active flags, uniqueness, authoritative sources and effective dates. A high row count alone does not prove that every country has correct legal or identity requirements.</w:t>
      </w:r>
    </w:p>
    <w:p>
      <w:pPr>
        <w:pStyle w:val="Heading1"/>
      </w:pPr>
      <w:r>
        <w:t>12. End-to-end flows</w:t>
      </w:r>
    </w:p>
    <w:p>
      <w:pPr>
        <w:pStyle w:val="Heading2"/>
      </w:pPr>
      <w:r>
        <w:t>12.1 Employee identity</w:t>
      </w:r>
    </w:p>
    <w:p>
      <w:pPr>
        <w:pStyle w:val="CodeBlock"/>
        <w:keepLines/>
      </w:pPr>
      <w:r>
        <w:t>Employee created -&gt; Employee.CountryId saved</w:t>
        <w:br/>
        <w:t xml:space="preserve">    -&gt; Identity GET reads CountryIdentityRule</w:t>
        <w:br/>
        <w:t xml:space="preserve">    -&gt; document/category masters provide labels</w:t>
        <w:br/>
        <w:t xml:space="preserve">    -&gt; EmployeeIdentity LEFT JOIN supplies saved values</w:t>
        <w:br/>
        <w:t xml:space="preserve">    -&gt; user fills an empty slot</w:t>
        <w:br/>
        <w:t xml:space="preserve">    -&gt; save validates country allow-list</w:t>
        <w:br/>
        <w:t xml:space="preserve">    -&gt; upsert EmployeeIdentity</w:t>
        <w:br/>
        <w:t xml:space="preserve">    -&gt; subsequent GET returns saved value and completion</w:t>
      </w:r>
    </w:p>
    <w:p>
      <w:pPr>
        <w:pStyle w:val="Heading2"/>
      </w:pPr>
      <w:r>
        <w:t>12.2 Statutory account</w:t>
      </w:r>
    </w:p>
    <w:p>
      <w:pPr>
        <w:pStyle w:val="CodeBlock"/>
        <w:keepLines/>
      </w:pPr>
      <w:r>
        <w:t>Employee assigned to primary work location</w:t>
        <w:br/>
        <w:t xml:space="preserve">    -&gt; resolve effective employment jurisdiction</w:t>
        <w:br/>
        <w:t xml:space="preserve">    -&gt; load CountryStatutoryRule</w:t>
        <w:br/>
        <w:t xml:space="preserve">    -&gt; evaluate eligibility/tenant applicability</w:t>
        <w:br/>
        <w:t xml:space="preserve">    -&gt; request the applicable account/contribution information</w:t>
        <w:br/>
        <w:t xml:space="preserve">    -&gt; store employee-specific result in EmployeeStatutoryAccount</w:t>
      </w:r>
    </w:p>
    <w:p>
      <w:pPr>
        <w:pStyle w:val="Heading2"/>
      </w:pPr>
      <w:r>
        <w:t>12.3 Compliance resolution</w:t>
      </w:r>
    </w:p>
    <w:p>
      <w:pPr>
        <w:pStyle w:val="CodeBlock"/>
        <w:keepLines/>
      </w:pPr>
      <w:r>
        <w:t>Business event/date</w:t>
        <w:br/>
        <w:t xml:space="preserve">    -&gt; identify compliance type</w:t>
        <w:br/>
        <w:t xml:space="preserve">    -&gt; resolve country/state/tenant scope</w:t>
        <w:br/>
        <w:t xml:space="preserve">    -&gt; filter active/effective ComplianceRule rows</w:t>
        <w:br/>
        <w:t xml:space="preserve">    -&gt; apply precedence and priority</w:t>
        <w:br/>
        <w:t xml:space="preserve">    -&gt; validate RuleJson schema</w:t>
        <w:br/>
        <w:t xml:space="preserve">    -&gt; module adapter executes the approved rule</w:t>
      </w:r>
    </w:p>
    <w:p>
      <w:pPr>
        <w:pStyle w:val="Heading1"/>
      </w:pPr>
      <w:r>
        <w:t>13. Tables that should be retained</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800"/>
            <w:shd w:fill="1F4E79"/>
            <w:vAlign w:val="center"/>
          </w:tcPr>
          <w:p>
            <w:r/>
            <w:r>
              <w:rPr>
                <w:rFonts w:ascii="Aptos" w:hAnsi="Aptos"/>
                <w:b/>
                <w:color w:val="FFFFFF"/>
                <w:sz w:val="17"/>
              </w:rPr>
              <w:t>Area</w:t>
            </w:r>
          </w:p>
        </w:tc>
        <w:tc>
          <w:tcPr>
            <w:tcW w:type="dxa" w:w="4464"/>
            <w:shd w:fill="1F4E79"/>
            <w:vAlign w:val="center"/>
          </w:tcPr>
          <w:p>
            <w:r/>
            <w:r>
              <w:rPr>
                <w:rFonts w:ascii="Aptos" w:hAnsi="Aptos"/>
                <w:b/>
                <w:color w:val="FFFFFF"/>
                <w:sz w:val="17"/>
              </w:rPr>
              <w:t>Keep</w:t>
            </w:r>
          </w:p>
        </w:tc>
        <w:tc>
          <w:tcPr>
            <w:tcW w:type="dxa" w:w="4824"/>
            <w:shd w:fill="1F4E79"/>
            <w:vAlign w:val="center"/>
          </w:tcPr>
          <w:p>
            <w:r/>
            <w:r>
              <w:rPr>
                <w:rFonts w:ascii="Aptos" w:hAnsi="Aptos"/>
                <w:b/>
                <w:color w:val="FFFFFF"/>
                <w:sz w:val="17"/>
              </w:rPr>
              <w:t>Reason</w:t>
            </w:r>
          </w:p>
        </w:tc>
      </w:tr>
      <w:tr>
        <w:tc>
          <w:tcPr>
            <w:tcW w:type="dxa" w:w="1800"/>
            <w:vAlign w:val="center"/>
          </w:tcPr>
          <w:p>
            <w:r/>
            <w:r>
              <w:rPr>
                <w:rFonts w:ascii="Aptos" w:hAnsi="Aptos"/>
                <w:b w:val="0"/>
                <w:sz w:val="17"/>
              </w:rPr>
              <w:t>Identity</w:t>
            </w:r>
          </w:p>
        </w:tc>
        <w:tc>
          <w:tcPr>
            <w:tcW w:type="dxa" w:w="4464"/>
            <w:vAlign w:val="center"/>
          </w:tcPr>
          <w:p>
            <w:r/>
            <w:r>
              <w:rPr>
                <w:rFonts w:ascii="Aptos" w:hAnsi="Aptos"/>
                <w:b w:val="0"/>
                <w:sz w:val="17"/>
              </w:rPr>
              <w:t>IdentityCategory, IdentityCategoryDocument, CountryIdentityRule, EmployeeIdentity</w:t>
            </w:r>
          </w:p>
        </w:tc>
        <w:tc>
          <w:tcPr>
            <w:tcW w:type="dxa" w:w="4824"/>
            <w:vAlign w:val="center"/>
          </w:tcPr>
          <w:p>
            <w:r/>
            <w:r>
              <w:rPr>
                <w:rFonts w:ascii="Aptos" w:hAnsi="Aptos"/>
                <w:b w:val="0"/>
                <w:sz w:val="17"/>
              </w:rPr>
              <w:t>All participate in current read/save flow</w:t>
            </w:r>
          </w:p>
        </w:tc>
      </w:tr>
      <w:tr>
        <w:tc>
          <w:tcPr>
            <w:tcW w:type="dxa" w:w="1800"/>
            <w:vAlign w:val="center"/>
            <w:shd w:fill="EAF2F8"/>
          </w:tcPr>
          <w:p>
            <w:r/>
            <w:r>
              <w:rPr>
                <w:rFonts w:ascii="Aptos" w:hAnsi="Aptos"/>
                <w:b w:val="0"/>
                <w:sz w:val="17"/>
              </w:rPr>
              <w:t>Geography</w:t>
            </w:r>
          </w:p>
        </w:tc>
        <w:tc>
          <w:tcPr>
            <w:tcW w:type="dxa" w:w="4464"/>
            <w:vAlign w:val="center"/>
            <w:shd w:fill="EAF2F8"/>
          </w:tcPr>
          <w:p>
            <w:r/>
            <w:r>
              <w:rPr>
                <w:rFonts w:ascii="Aptos" w:hAnsi="Aptos"/>
                <w:b w:val="0"/>
                <w:sz w:val="17"/>
              </w:rPr>
              <w:t>Country, State, District, Locality</w:t>
            </w:r>
          </w:p>
        </w:tc>
        <w:tc>
          <w:tcPr>
            <w:tcW w:type="dxa" w:w="4824"/>
            <w:vAlign w:val="center"/>
            <w:shd w:fill="EAF2F8"/>
          </w:tcPr>
          <w:p>
            <w:r/>
            <w:r>
              <w:rPr>
                <w:rFonts w:ascii="Aptos" w:hAnsi="Aptos"/>
                <w:b w:val="0"/>
                <w:sz w:val="17"/>
              </w:rPr>
              <w:t>Required for cascades and jurisdiction/location targeting</w:t>
            </w:r>
          </w:p>
        </w:tc>
      </w:tr>
      <w:tr>
        <w:tc>
          <w:tcPr>
            <w:tcW w:type="dxa" w:w="1800"/>
            <w:vAlign w:val="center"/>
          </w:tcPr>
          <w:p>
            <w:r/>
            <w:r>
              <w:rPr>
                <w:rFonts w:ascii="Aptos" w:hAnsi="Aptos"/>
                <w:b w:val="0"/>
                <w:sz w:val="17"/>
              </w:rPr>
              <w:t>Statutory</w:t>
            </w:r>
          </w:p>
        </w:tc>
        <w:tc>
          <w:tcPr>
            <w:tcW w:type="dxa" w:w="4464"/>
            <w:vAlign w:val="center"/>
          </w:tcPr>
          <w:p>
            <w:r/>
            <w:r>
              <w:rPr>
                <w:rFonts w:ascii="Aptos" w:hAnsi="Aptos"/>
                <w:b w:val="0"/>
                <w:sz w:val="17"/>
              </w:rPr>
              <w:t>StatutoryType, CountryStatutoryRule, EmployeeStatutoryAccount</w:t>
            </w:r>
          </w:p>
        </w:tc>
        <w:tc>
          <w:tcPr>
            <w:tcW w:type="dxa" w:w="4824"/>
            <w:vAlign w:val="center"/>
          </w:tcPr>
          <w:p>
            <w:r/>
            <w:r>
              <w:rPr>
                <w:rFonts w:ascii="Aptos" w:hAnsi="Aptos"/>
                <w:b w:val="0"/>
                <w:sz w:val="17"/>
              </w:rPr>
              <w:t>Foundation for country-driven statutory data</w:t>
            </w:r>
          </w:p>
        </w:tc>
      </w:tr>
      <w:tr>
        <w:tc>
          <w:tcPr>
            <w:tcW w:type="dxa" w:w="1800"/>
            <w:vAlign w:val="center"/>
            <w:shd w:fill="EAF2F8"/>
          </w:tcPr>
          <w:p>
            <w:r/>
            <w:r>
              <w:rPr>
                <w:rFonts w:ascii="Aptos" w:hAnsi="Aptos"/>
                <w:b w:val="0"/>
                <w:sz w:val="17"/>
              </w:rPr>
              <w:t>Compliance</w:t>
            </w:r>
          </w:p>
        </w:tc>
        <w:tc>
          <w:tcPr>
            <w:tcW w:type="dxa" w:w="4464"/>
            <w:vAlign w:val="center"/>
            <w:shd w:fill="EAF2F8"/>
          </w:tcPr>
          <w:p>
            <w:r/>
            <w:r>
              <w:rPr>
                <w:rFonts w:ascii="Aptos" w:hAnsi="Aptos"/>
                <w:b w:val="0"/>
                <w:sz w:val="17"/>
              </w:rPr>
              <w:t>ComplianceTypeMaster, ComplianceRule</w:t>
            </w:r>
          </w:p>
        </w:tc>
        <w:tc>
          <w:tcPr>
            <w:tcW w:type="dxa" w:w="4824"/>
            <w:vAlign w:val="center"/>
            <w:shd w:fill="EAF2F8"/>
          </w:tcPr>
          <w:p>
            <w:r/>
            <w:r>
              <w:rPr>
                <w:rFonts w:ascii="Aptos" w:hAnsi="Aptos"/>
                <w:b w:val="0"/>
                <w:sz w:val="17"/>
              </w:rPr>
              <w:t>Foundation for effective jurisdiction/tenant rules</w:t>
            </w:r>
          </w:p>
        </w:tc>
      </w:tr>
      <w:tr>
        <w:tc>
          <w:tcPr>
            <w:tcW w:type="dxa" w:w="1800"/>
            <w:vAlign w:val="center"/>
          </w:tcPr>
          <w:p>
            <w:r/>
            <w:r>
              <w:rPr>
                <w:rFonts w:ascii="Aptos" w:hAnsi="Aptos"/>
                <w:b w:val="0"/>
                <w:sz w:val="17"/>
              </w:rPr>
              <w:t>Employment location</w:t>
            </w:r>
          </w:p>
        </w:tc>
        <w:tc>
          <w:tcPr>
            <w:tcW w:type="dxa" w:w="4464"/>
            <w:vAlign w:val="center"/>
          </w:tcPr>
          <w:p>
            <w:r/>
            <w:r>
              <w:rPr>
                <w:rFonts w:ascii="Aptos" w:hAnsi="Aptos"/>
                <w:b w:val="0"/>
                <w:sz w:val="17"/>
              </w:rPr>
              <w:t>TenantLocation, EmployeeLocationAssignment</w:t>
            </w:r>
          </w:p>
        </w:tc>
        <w:tc>
          <w:tcPr>
            <w:tcW w:type="dxa" w:w="4824"/>
            <w:vAlign w:val="center"/>
          </w:tcPr>
          <w:p>
            <w:r/>
            <w:r>
              <w:rPr>
                <w:rFonts w:ascii="Aptos" w:hAnsi="Aptos"/>
                <w:b w:val="0"/>
                <w:sz w:val="17"/>
              </w:rPr>
              <w:t>Required to resolve work jurisdiction</w:t>
            </w:r>
          </w:p>
        </w:tc>
      </w:tr>
    </w:tbl>
    <w:p/>
    <w:p>
      <w:r>
        <w:t>No table should be removed merely because it is currently empty. EmployeeIdentity and EmployeeStatutoryAccount are expected to be empty until users submit data; CountryStatutoryRule may be empty because the seed/feature is incomplete, not because the table is unrelated.</w:t>
      </w:r>
    </w:p>
    <w:p>
      <w:pPr>
        <w:pStyle w:val="Heading1"/>
      </w:pPr>
      <w:r>
        <w:t>14. Gaps before a reliable multi-country launch</w:t>
      </w:r>
    </w:p>
    <w:p>
      <w:pPr>
        <w:pStyle w:val="ListBullet"/>
      </w:pPr>
      <w:r>
        <w:t>Separate nationality/citizenship, residential address, work location and employment jurisdiction explicitly.</w:t>
      </w:r>
    </w:p>
    <w:p>
      <w:pPr>
        <w:pStyle w:val="ListBullet"/>
      </w:pPr>
      <w:r>
        <w:t>Add or confirm an effective-dated employment context and employing legal entity for multi-country tenants.</w:t>
      </w:r>
    </w:p>
    <w:p>
      <w:pPr>
        <w:pStyle w:val="ListBullet"/>
      </w:pPr>
      <w:r>
        <w:t>Complete authoritative identity-document mappings and mandatory/optional flags for supported countries.</w:t>
      </w:r>
    </w:p>
    <w:p>
      <w:pPr>
        <w:pStyle w:val="ListBullet"/>
      </w:pPr>
      <w:r>
        <w:t>Add database-level uniqueness for active EmployeeIdentity per employee/document after a duplicate audit.</w:t>
      </w:r>
    </w:p>
    <w:p>
      <w:pPr>
        <w:pStyle w:val="ListBullet"/>
      </w:pPr>
      <w:r>
        <w:t>Complete reviewed CountryStatutoryRule data and statutory APIs/UI before claiming statutory automation.</w:t>
      </w:r>
    </w:p>
    <w:p>
      <w:pPr>
        <w:pStyle w:val="ListBullet"/>
      </w:pPr>
      <w:r>
        <w:t>Version and validate ComplianceRule JSON; retain source/effective-date/audit metadata.</w:t>
      </w:r>
    </w:p>
    <w:p>
      <w:pPr>
        <w:pStyle w:val="ListBullet"/>
      </w:pPr>
      <w:r>
        <w:t>Validate Country -&gt; State -&gt; District -&gt; Locality parent integrity and stable codes.</w:t>
      </w:r>
    </w:p>
    <w:p>
      <w:pPr>
        <w:pStyle w:val="ListBullet"/>
      </w:pPr>
      <w:r>
        <w:t>Provide a resolution preview explaining which rule applied to an employee and why.</w:t>
      </w:r>
    </w:p>
    <w:p>
      <w:pPr>
        <w:pStyle w:val="ListBullet"/>
      </w:pPr>
      <w:r>
        <w:t>Do not hard-code country document names or legal rules in Angular or handlers.</w:t>
      </w:r>
    </w:p>
    <w:p>
      <w:pPr>
        <w:pStyle w:val="Heading1"/>
      </w:pPr>
      <w:r>
        <w:t>15. Final recommended decision</w:t>
      </w:r>
    </w:p>
    <w:p>
      <w:r>
        <w:t>Keep the country-driven identity catalogue design. It correctly allows the UI to display required document slots before employee data exists. Replace the generic Add experience with slot-based Fill/Edit behavior, while preserving the backend allow-list validation and upsert semantics.</w:t>
      </w:r>
    </w:p>
    <w:p>
      <w:r>
        <w:t>For statutory and compliance behavior, do not reuse Employee.CountryId as a universal jurisdiction shortcut. Resolve employment obligations from effective employment/work jurisdiction, and keep identity eligibility tied to the employee's country/nationality field until the domain model provides separate citizenship and residence fields.</w:t>
      </w:r>
    </w:p>
    <w:p>
      <w:pPr>
        <w:pStyle w:val="Heading1"/>
      </w:pPr>
      <w:r>
        <w:t>16. Verified repository references</w:t>
      </w:r>
    </w:p>
    <w:p>
      <w:pPr>
        <w:pStyle w:val="ListBullet"/>
      </w:pPr>
      <w:r>
        <w:t>axionpro.application/DTOS/Employee/BaseEmployee/CreateEmployeeRequestDTO.cs - current employee create fields</w:t>
      </w:r>
    </w:p>
    <w:p>
      <w:pPr>
        <w:pStyle w:val="ListBullet"/>
      </w:pPr>
      <w:r>
        <w:t>axionpro.persistance/Repositories/StoreProcedureRepository.cs - GetIdentityRecordAsync LEFT JOIN flow</w:t>
      </w:r>
    </w:p>
    <w:p>
      <w:pPr>
        <w:pStyle w:val="ListBullet"/>
      </w:pPr>
      <w:r>
        <w:t>axionpro.application/Features/EmployeeCmd/IdentitiesInfo/Handlers/CreateIdentityInfoCommandHandler.cs - validation/upsert persistence</w:t>
      </w:r>
    </w:p>
    <w:p>
      <w:pPr>
        <w:pStyle w:val="ListBullet"/>
      </w:pPr>
      <w:r>
        <w:t>docs/UIdeveloperDoc/EMPLOYEE_COUNTRY_IDENTITY.md - current API, ownership and table contract</w:t>
      </w:r>
    </w:p>
    <w:p>
      <w:pPr>
        <w:pStyle w:val="ListBullet"/>
      </w:pPr>
      <w:r>
        <w:t>docs/testing/employee/identity-table-usage/2026-09-30.md - identity table and dependency audit</w:t>
      </w:r>
    </w:p>
    <w:p>
      <w:pPr>
        <w:pStyle w:val="ListBullet"/>
      </w:pPr>
      <w:r>
        <w:t>database-scripts/production-seed/README.md - canonical seed order and coverage boundary</w:t>
      </w:r>
    </w:p>
    <w:p>
      <w:pPr>
        <w:pStyle w:val="ListBullet"/>
      </w:pPr>
      <w:r>
        <w:t>docs/POLICY_ENGINE_PREREQUISITE_AUDIT.md - geography/jurisdiction and compliance gaps</w:t>
      </w:r>
    </w:p>
    <w:p>
      <w:pPr>
        <w:jc w:val="center"/>
      </w:pPr>
      <w:r>
        <w:rPr>
          <w:i/>
          <w:color w:val="757575"/>
          <w:sz w:val="16"/>
        </w:rPr>
        <w:t>End of document</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57575"/>
        <w:sz w:val="16"/>
      </w:rPr>
      <w:t>AxionPro - Employee country and regulatory data flow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360" w:right="216"/>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Country, Identity, Geography, Statutory and Compliance Flow</dc:title>
  <dc:subject>AxionPro current flow and recommended design</dc:subject>
  <dc:creator>Quecksilber Technologies</dc:creator>
  <cp:keywords>AxionPro, Employee, Identity, Country, Geography, Statutory, Compliance</cp:keywords>
  <dc:description>generated by python-docx</dc:description>
  <cp:lastModifiedBy/>
  <cp:revision>1</cp:revision>
  <dcterms:created xsi:type="dcterms:W3CDTF">2013-12-23T23:15:00Z</dcterms:created>
  <dcterms:modified xsi:type="dcterms:W3CDTF">2013-12-23T23:15:00Z</dcterms:modified>
  <cp:category/>
</cp:coreProperties>
</file>