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0"/>
        </w:rPr>
        <w:t>QUEDERA BEACON</w:t>
      </w:r>
    </w:p>
    <w:p>
      <w:pPr>
        <w:jc w:val="center"/>
      </w:pPr>
      <w:r>
        <w:rPr>
          <w:b/>
          <w:sz w:val="42"/>
        </w:rPr>
        <w:t>Central Products &amp; Subscriptions Hub</w:t>
      </w:r>
    </w:p>
    <w:p>
      <w:pPr>
        <w:jc w:val="center"/>
      </w:pPr>
      <w:r>
        <w:rPr>
          <w:sz w:val="28"/>
        </w:rPr>
        <w:t>Product Requirements Document</w:t>
      </w:r>
    </w:p>
    <w:p/>
    <w:p>
      <w:pPr>
        <w:jc w:val="center"/>
      </w:pPr>
      <w:r>
        <w:rPr>
          <w:b/>
        </w:rPr>
        <w:t>A central customer-facing location for discovering, accessing and managing the QUEDERA portfolio.</w:t>
        <w:br/>
      </w:r>
      <w:r>
        <w:rPr>
          <w:i/>
        </w:rPr>
        <w:t>Pulse  |  Duet  |  Atlas  |  Beacon</w:t>
      </w:r>
    </w:p>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F1F8"/>
          </w:tcPr>
          <w:p>
            <w:r/>
            <w:r>
              <w:rPr>
                <w:rFonts w:ascii="Aptos" w:hAnsi="Aptos"/>
                <w:b/>
                <w:sz w:val="18"/>
              </w:rPr>
              <w:t>Document Control</w:t>
            </w:r>
          </w:p>
        </w:tc>
        <w:tc>
          <w:tcPr>
            <w:tcW w:type="dxa" w:w="5112"/>
            <w:vAlign w:val="center"/>
            <w:shd w:fill="EAF1F8"/>
          </w:tcPr>
          <w:p>
            <w:r/>
            <w:r>
              <w:rPr>
                <w:rFonts w:ascii="Aptos" w:hAnsi="Aptos"/>
                <w:b/>
                <w:sz w:val="18"/>
              </w:rPr>
              <w:t>Value</w:t>
            </w:r>
          </w:p>
        </w:tc>
      </w:tr>
      <w:tr>
        <w:tc>
          <w:tcPr>
            <w:tcW w:type="dxa" w:w="5112"/>
            <w:vAlign w:val="center"/>
          </w:tcPr>
          <w:p>
            <w:r/>
            <w:r>
              <w:rPr>
                <w:rFonts w:ascii="Aptos" w:hAnsi="Aptos"/>
                <w:b w:val="0"/>
                <w:sz w:val="18"/>
              </w:rPr>
              <w:t>Document</w:t>
            </w:r>
          </w:p>
        </w:tc>
        <w:tc>
          <w:tcPr>
            <w:tcW w:type="dxa" w:w="5112"/>
            <w:vAlign w:val="center"/>
          </w:tcPr>
          <w:p>
            <w:r/>
            <w:r>
              <w:rPr>
                <w:rFonts w:ascii="Aptos" w:hAnsi="Aptos"/>
                <w:b w:val="0"/>
                <w:sz w:val="18"/>
              </w:rPr>
              <w:t>BEACON Central Products &amp; Subscriptions</w:t>
            </w:r>
          </w:p>
        </w:tc>
      </w:tr>
      <w:tr>
        <w:tc>
          <w:tcPr>
            <w:tcW w:type="dxa" w:w="5112"/>
            <w:vAlign w:val="center"/>
          </w:tcPr>
          <w:p>
            <w:r/>
            <w:r>
              <w:rPr>
                <w:rFonts w:ascii="Aptos" w:hAnsi="Aptos"/>
                <w:b w:val="0"/>
                <w:sz w:val="18"/>
              </w:rPr>
              <w:t>Version</w:t>
            </w:r>
          </w:p>
        </w:tc>
        <w:tc>
          <w:tcPr>
            <w:tcW w:type="dxa" w:w="5112"/>
            <w:vAlign w:val="center"/>
          </w:tcPr>
          <w:p>
            <w:r/>
            <w:r>
              <w:rPr>
                <w:rFonts w:ascii="Aptos" w:hAnsi="Aptos"/>
                <w:b w:val="0"/>
                <w:sz w:val="18"/>
              </w:rPr>
              <w:t>1.0</w:t>
            </w:r>
          </w:p>
        </w:tc>
      </w:tr>
      <w:tr>
        <w:tc>
          <w:tcPr>
            <w:tcW w:type="dxa" w:w="5112"/>
            <w:vAlign w:val="center"/>
          </w:tcPr>
          <w:p>
            <w:r/>
            <w:r>
              <w:rPr>
                <w:rFonts w:ascii="Aptos" w:hAnsi="Aptos"/>
                <w:b w:val="0"/>
                <w:sz w:val="18"/>
              </w:rPr>
              <w:t>Status</w:t>
            </w:r>
          </w:p>
        </w:tc>
        <w:tc>
          <w:tcPr>
            <w:tcW w:type="dxa" w:w="5112"/>
            <w:vAlign w:val="center"/>
          </w:tcPr>
          <w:p>
            <w:r/>
            <w:r>
              <w:rPr>
                <w:rFonts w:ascii="Aptos" w:hAnsi="Aptos"/>
                <w:b w:val="0"/>
                <w:sz w:val="18"/>
              </w:rPr>
              <w:t>Draft Requirements</w:t>
            </w:r>
          </w:p>
        </w:tc>
      </w:tr>
      <w:tr>
        <w:tc>
          <w:tcPr>
            <w:tcW w:type="dxa" w:w="5112"/>
            <w:vAlign w:val="center"/>
          </w:tcPr>
          <w:p>
            <w:r/>
            <w:r>
              <w:rPr>
                <w:rFonts w:ascii="Aptos" w:hAnsi="Aptos"/>
                <w:b w:val="0"/>
                <w:sz w:val="18"/>
              </w:rPr>
              <w:t>Owner</w:t>
            </w:r>
          </w:p>
        </w:tc>
        <w:tc>
          <w:tcPr>
            <w:tcW w:type="dxa" w:w="5112"/>
            <w:vAlign w:val="center"/>
          </w:tcPr>
          <w:p>
            <w:r/>
            <w:r>
              <w:rPr>
                <w:rFonts w:ascii="Aptos" w:hAnsi="Aptos"/>
                <w:b w:val="0"/>
                <w:sz w:val="18"/>
              </w:rPr>
              <w:t>QUEDERA Product</w:t>
            </w:r>
          </w:p>
        </w:tc>
      </w:tr>
      <w:tr>
        <w:tc>
          <w:tcPr>
            <w:tcW w:type="dxa" w:w="5112"/>
            <w:vAlign w:val="center"/>
          </w:tcPr>
          <w:p>
            <w:r/>
            <w:r>
              <w:rPr>
                <w:rFonts w:ascii="Aptos" w:hAnsi="Aptos"/>
                <w:b w:val="0"/>
                <w:sz w:val="18"/>
              </w:rPr>
              <w:t>Primary Product</w:t>
            </w:r>
          </w:p>
        </w:tc>
        <w:tc>
          <w:tcPr>
            <w:tcW w:type="dxa" w:w="5112"/>
            <w:vAlign w:val="center"/>
          </w:tcPr>
          <w:p>
            <w:r/>
            <w:r>
              <w:rPr>
                <w:rFonts w:ascii="Aptos" w:hAnsi="Aptos"/>
                <w:b w:val="0"/>
                <w:sz w:val="18"/>
              </w:rPr>
              <w:t>QUEDERA Beacon</w:t>
            </w:r>
          </w:p>
        </w:tc>
      </w:tr>
      <w:tr>
        <w:tc>
          <w:tcPr>
            <w:tcW w:type="dxa" w:w="5112"/>
            <w:vAlign w:val="center"/>
          </w:tcPr>
          <w:p>
            <w:r/>
            <w:r>
              <w:rPr>
                <w:rFonts w:ascii="Aptos" w:hAnsi="Aptos"/>
                <w:b w:val="0"/>
                <w:sz w:val="18"/>
              </w:rPr>
              <w:t>Audience</w:t>
            </w:r>
          </w:p>
        </w:tc>
        <w:tc>
          <w:tcPr>
            <w:tcW w:type="dxa" w:w="5112"/>
            <w:vAlign w:val="center"/>
          </w:tcPr>
          <w:p>
            <w:r/>
            <w:r>
              <w:rPr>
                <w:rFonts w:ascii="Aptos" w:hAnsi="Aptos"/>
                <w:b w:val="0"/>
                <w:sz w:val="18"/>
              </w:rPr>
              <w:t>Product, UX, Engineering, Customer Success, Sales</w:t>
            </w:r>
          </w:p>
        </w:tc>
      </w:tr>
    </w:tbl>
    <w:p>
      <w:r>
        <w:br w:type="page"/>
      </w:r>
    </w:p>
    <w:p>
      <w:pPr>
        <w:pStyle w:val="Heading1"/>
      </w:pPr>
      <w:r>
        <w:t>1. Executive Summary</w:t>
      </w:r>
    </w:p>
    <w:p>
      <w:r>
        <w:t>QUEDERA Beacon should evolve from an executive insight and dashboard product into the central customer-facing hub for the complete QUEDERA portfolio. The hub will provide each customer with a single, coherent location to discover the products and capabilities they own, understand subscription status, access reports and dashboards, manage product access, and navigate into the appropriate QUEDERA product.</w:t>
      </w:r>
    </w:p>
    <w:p>
      <w:r>
        <w:t>The experience should retain Beacon as the primary product brand while clearly representing the four QUEDERA products: Pulse, Duet, Atlas and Beacon. Product-specific experiences remain distinct, but customers should not need to understand the underlying product architecture to find what they need.</w:t>
      </w:r>
    </w:p>
    <w:p>
      <w:pPr>
        <w:pStyle w:val="Heading2"/>
      </w:pPr>
      <w:r>
        <w:t>1.1 Product vision</w:t>
      </w:r>
    </w:p>
    <w:p>
      <w:r>
        <w:t>Beacon becomes the customer's QUEDERA control centre: one place to understand what they have, what is active, what requires attention, and where to go next.</w:t>
      </w:r>
    </w:p>
    <w:p>
      <w:pPr>
        <w:pStyle w:val="Heading2"/>
      </w:pPr>
      <w:r>
        <w:t>1.2 Core outcomes</w:t>
      </w:r>
    </w:p>
    <w:p>
      <w:pPr>
        <w:pStyle w:val="ListBullet"/>
      </w:pPr>
      <w:r>
        <w:t>Provide one authenticated entry point to the QUEDERA portfolio.</w:t>
      </w:r>
    </w:p>
    <w:p>
      <w:pPr>
        <w:pStyle w:val="ListBullet"/>
      </w:pPr>
      <w:r>
        <w:t>Give customers a clear view of products, subscriptions, entitlements and renewal dates.</w:t>
      </w:r>
    </w:p>
    <w:p>
      <w:pPr>
        <w:pStyle w:val="ListBullet"/>
      </w:pPr>
      <w:r>
        <w:t>Provide a central catalogue of dashboards, reports and scorecards across all QUEDERA products.</w:t>
      </w:r>
    </w:p>
    <w:p>
      <w:pPr>
        <w:pStyle w:val="ListBullet"/>
      </w:pPr>
      <w:r>
        <w:t>Make product status, service status and key actions visible at a glance.</w:t>
      </w:r>
    </w:p>
    <w:p>
      <w:pPr>
        <w:pStyle w:val="ListBullet"/>
      </w:pPr>
      <w:r>
        <w:t>Support customer administrators in managing users and product access.</w:t>
      </w:r>
    </w:p>
    <w:p>
      <w:pPr>
        <w:pStyle w:val="ListBullet"/>
      </w:pPr>
      <w:r>
        <w:t>Preserve strong product identity while establishing Beacon as the portfolio-level experience.</w:t>
      </w:r>
    </w:p>
    <w:p>
      <w:pPr>
        <w:pStyle w:val="ListBullet"/>
      </w:pPr>
      <w:r>
        <w:t>Create a scalable foundation for future QUEDERA products without redesigning the navigation model.</w:t>
      </w:r>
    </w:p>
    <w:p>
      <w:pPr>
        <w:pStyle w:val="Heading1"/>
      </w:pPr>
      <w:r>
        <w:t>2. Scope</w:t>
      </w:r>
    </w:p>
    <w:p>
      <w:pPr>
        <w:pStyle w:val="Heading2"/>
      </w:pPr>
      <w:r>
        <w:t>2.1 In scope</w:t>
      </w:r>
    </w:p>
    <w:p>
      <w:pPr>
        <w:pStyle w:val="ListBullet"/>
      </w:pPr>
      <w:r>
        <w:t>Customer-level Beacon home/dashboard.</w:t>
      </w:r>
    </w:p>
    <w:p>
      <w:pPr>
        <w:pStyle w:val="ListBullet"/>
      </w:pPr>
      <w:r>
        <w:t>Products and product detail pages.</w:t>
      </w:r>
    </w:p>
    <w:p>
      <w:pPr>
        <w:pStyle w:val="ListBullet"/>
      </w:pPr>
      <w:r>
        <w:t>Subscriptions, plans, licences and entitlement status.</w:t>
      </w:r>
    </w:p>
    <w:p>
      <w:pPr>
        <w:pStyle w:val="ListBullet"/>
      </w:pPr>
      <w:r>
        <w:t>Central Reports &amp; Dashboards library.</w:t>
      </w:r>
    </w:p>
    <w:p>
      <w:pPr>
        <w:pStyle w:val="ListBullet"/>
      </w:pPr>
      <w:r>
        <w:t>Cross-product search and filtering.</w:t>
      </w:r>
    </w:p>
    <w:p>
      <w:pPr>
        <w:pStyle w:val="ListBullet"/>
      </w:pPr>
      <w:r>
        <w:t>Recent, favourite and recommended content.</w:t>
      </w:r>
    </w:p>
    <w:p>
      <w:pPr>
        <w:pStyle w:val="ListBullet"/>
      </w:pPr>
      <w:r>
        <w:t>Customer and user access context.</w:t>
      </w:r>
    </w:p>
    <w:p>
      <w:pPr>
        <w:pStyle w:val="ListBullet"/>
      </w:pPr>
      <w:r>
        <w:t>Notifications and action-required states.</w:t>
      </w:r>
    </w:p>
    <w:p>
      <w:pPr>
        <w:pStyle w:val="ListBullet"/>
      </w:pPr>
      <w:r>
        <w:t>Deep links into Pulse, Duet and Atlas.</w:t>
      </w:r>
    </w:p>
    <w:p>
      <w:pPr>
        <w:pStyle w:val="ListBullet"/>
      </w:pPr>
      <w:r>
        <w:t>Beacon's own dashboards, reports and executive insights.</w:t>
      </w:r>
    </w:p>
    <w:p>
      <w:pPr>
        <w:pStyle w:val="ListBullet"/>
      </w:pPr>
      <w:r>
        <w:t>Role-based visibility and access controls.</w:t>
      </w:r>
    </w:p>
    <w:p>
      <w:pPr>
        <w:pStyle w:val="ListBullet"/>
      </w:pPr>
      <w:r>
        <w:t>Audit-friendly activity and subscription history.</w:t>
      </w:r>
    </w:p>
    <w:p>
      <w:pPr>
        <w:pStyle w:val="Heading2"/>
      </w:pPr>
      <w:r>
        <w:t>2.2 Out of scope for the initial release</w:t>
      </w:r>
    </w:p>
    <w:p>
      <w:pPr>
        <w:pStyle w:val="ListBullet"/>
      </w:pPr>
      <w:r>
        <w:t>Full billing/payment processing.</w:t>
      </w:r>
    </w:p>
    <w:p>
      <w:pPr>
        <w:pStyle w:val="ListBullet"/>
      </w:pPr>
      <w:r>
        <w:t>Replacing the operational functionality of Pulse, Duet or Atlas.</w:t>
      </w:r>
    </w:p>
    <w:p>
      <w:pPr>
        <w:pStyle w:val="ListBullet"/>
      </w:pPr>
      <w:r>
        <w:t>Building a new identity provider.</w:t>
      </w:r>
    </w:p>
    <w:p>
      <w:pPr>
        <w:pStyle w:val="ListBullet"/>
      </w:pPr>
      <w:r>
        <w:t>Full CRM functionality.</w:t>
      </w:r>
    </w:p>
    <w:p>
      <w:pPr>
        <w:pStyle w:val="ListBullet"/>
      </w:pPr>
      <w:r>
        <w:t>Customer contract authoring.</w:t>
      </w:r>
    </w:p>
    <w:p>
      <w:pPr>
        <w:pStyle w:val="ListBullet"/>
      </w:pPr>
      <w:r>
        <w:t>Advanced analytics authoring across every product.</w:t>
      </w:r>
    </w:p>
    <w:p>
      <w:pPr>
        <w:pStyle w:val="Heading1"/>
      </w:pPr>
      <w:r>
        <w:t>3. Proposed Information Architecture</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EAF1F8"/>
          </w:tcPr>
          <w:p>
            <w:r/>
            <w:r>
              <w:rPr>
                <w:rFonts w:ascii="Aptos" w:hAnsi="Aptos"/>
                <w:b/>
                <w:sz w:val="18"/>
              </w:rPr>
              <w:t>Primary area</w:t>
            </w:r>
          </w:p>
        </w:tc>
        <w:tc>
          <w:tcPr>
            <w:tcW w:type="dxa" w:w="3408"/>
            <w:vAlign w:val="center"/>
            <w:shd w:fill="EAF1F8"/>
          </w:tcPr>
          <w:p>
            <w:r/>
            <w:r>
              <w:rPr>
                <w:rFonts w:ascii="Aptos" w:hAnsi="Aptos"/>
                <w:b/>
                <w:sz w:val="18"/>
              </w:rPr>
              <w:t>Purpose</w:t>
            </w:r>
          </w:p>
        </w:tc>
        <w:tc>
          <w:tcPr>
            <w:tcW w:type="dxa" w:w="3408"/>
            <w:vAlign w:val="center"/>
            <w:shd w:fill="EAF1F8"/>
          </w:tcPr>
          <w:p>
            <w:r/>
            <w:r>
              <w:rPr>
                <w:rFonts w:ascii="Aptos" w:hAnsi="Aptos"/>
                <w:b/>
                <w:sz w:val="18"/>
              </w:rPr>
              <w:t>Key content</w:t>
            </w:r>
          </w:p>
        </w:tc>
      </w:tr>
      <w:tr>
        <w:tc>
          <w:tcPr>
            <w:tcW w:type="dxa" w:w="3408"/>
            <w:vAlign w:val="center"/>
          </w:tcPr>
          <w:p>
            <w:r/>
            <w:r>
              <w:rPr>
                <w:rFonts w:ascii="Aptos" w:hAnsi="Aptos"/>
                <w:b w:val="0"/>
                <w:sz w:val="18"/>
              </w:rPr>
              <w:t>Overview</w:t>
            </w:r>
          </w:p>
        </w:tc>
        <w:tc>
          <w:tcPr>
            <w:tcW w:type="dxa" w:w="3408"/>
            <w:vAlign w:val="center"/>
          </w:tcPr>
          <w:p>
            <w:r/>
            <w:r>
              <w:rPr>
                <w:rFonts w:ascii="Aptos" w:hAnsi="Aptos"/>
                <w:b w:val="0"/>
                <w:sz w:val="18"/>
              </w:rPr>
              <w:t>Portfolio-level customer landing page</w:t>
            </w:r>
          </w:p>
        </w:tc>
        <w:tc>
          <w:tcPr>
            <w:tcW w:type="dxa" w:w="3408"/>
            <w:vAlign w:val="center"/>
          </w:tcPr>
          <w:p>
            <w:r/>
            <w:r>
              <w:rPr>
                <w:rFonts w:ascii="Aptos" w:hAnsi="Aptos"/>
                <w:b w:val="0"/>
                <w:sz w:val="18"/>
              </w:rPr>
              <w:t>Portfolio health, actions, product status, subscription summary</w:t>
            </w:r>
          </w:p>
        </w:tc>
      </w:tr>
      <w:tr>
        <w:tc>
          <w:tcPr>
            <w:tcW w:type="dxa" w:w="3408"/>
            <w:vAlign w:val="center"/>
          </w:tcPr>
          <w:p>
            <w:r/>
            <w:r>
              <w:rPr>
                <w:rFonts w:ascii="Aptos" w:hAnsi="Aptos"/>
                <w:b w:val="0"/>
                <w:sz w:val="18"/>
              </w:rPr>
              <w:t>Products</w:t>
            </w:r>
          </w:p>
        </w:tc>
        <w:tc>
          <w:tcPr>
            <w:tcW w:type="dxa" w:w="3408"/>
            <w:vAlign w:val="center"/>
          </w:tcPr>
          <w:p>
            <w:r/>
            <w:r>
              <w:rPr>
                <w:rFonts w:ascii="Aptos" w:hAnsi="Aptos"/>
                <w:b w:val="0"/>
                <w:sz w:val="18"/>
              </w:rPr>
              <w:t>Discover and access products</w:t>
            </w:r>
          </w:p>
        </w:tc>
        <w:tc>
          <w:tcPr>
            <w:tcW w:type="dxa" w:w="3408"/>
            <w:vAlign w:val="center"/>
          </w:tcPr>
          <w:p>
            <w:r/>
            <w:r>
              <w:rPr>
                <w:rFonts w:ascii="Aptos" w:hAnsi="Aptos"/>
                <w:b w:val="0"/>
                <w:sz w:val="18"/>
              </w:rPr>
              <w:t>Pulse, Duet, Atlas, Beacon; capabilities; status; access</w:t>
            </w:r>
          </w:p>
        </w:tc>
      </w:tr>
      <w:tr>
        <w:tc>
          <w:tcPr>
            <w:tcW w:type="dxa" w:w="3408"/>
            <w:vAlign w:val="center"/>
          </w:tcPr>
          <w:p>
            <w:r/>
            <w:r>
              <w:rPr>
                <w:rFonts w:ascii="Aptos" w:hAnsi="Aptos"/>
                <w:b w:val="0"/>
                <w:sz w:val="18"/>
              </w:rPr>
              <w:t>Reports &amp; Dashboards</w:t>
            </w:r>
          </w:p>
        </w:tc>
        <w:tc>
          <w:tcPr>
            <w:tcW w:type="dxa" w:w="3408"/>
            <w:vAlign w:val="center"/>
          </w:tcPr>
          <w:p>
            <w:r/>
            <w:r>
              <w:rPr>
                <w:rFonts w:ascii="Aptos" w:hAnsi="Aptos"/>
                <w:b w:val="0"/>
                <w:sz w:val="18"/>
              </w:rPr>
              <w:t>Central reporting library</w:t>
            </w:r>
          </w:p>
        </w:tc>
        <w:tc>
          <w:tcPr>
            <w:tcW w:type="dxa" w:w="3408"/>
            <w:vAlign w:val="center"/>
          </w:tcPr>
          <w:p>
            <w:r/>
            <w:r>
              <w:rPr>
                <w:rFonts w:ascii="Aptos" w:hAnsi="Aptos"/>
                <w:b w:val="0"/>
                <w:sz w:val="18"/>
              </w:rPr>
              <w:t>Dashboards, reports, scorecards, product filters, favourites</w:t>
            </w:r>
          </w:p>
        </w:tc>
      </w:tr>
      <w:tr>
        <w:tc>
          <w:tcPr>
            <w:tcW w:type="dxa" w:w="3408"/>
            <w:vAlign w:val="center"/>
          </w:tcPr>
          <w:p>
            <w:r/>
            <w:r>
              <w:rPr>
                <w:rFonts w:ascii="Aptos" w:hAnsi="Aptos"/>
                <w:b w:val="0"/>
                <w:sz w:val="18"/>
              </w:rPr>
              <w:t>Subscriptions</w:t>
            </w:r>
          </w:p>
        </w:tc>
        <w:tc>
          <w:tcPr>
            <w:tcW w:type="dxa" w:w="3408"/>
            <w:vAlign w:val="center"/>
          </w:tcPr>
          <w:p>
            <w:r/>
            <w:r>
              <w:rPr>
                <w:rFonts w:ascii="Aptos" w:hAnsi="Aptos"/>
                <w:b w:val="0"/>
                <w:sz w:val="18"/>
              </w:rPr>
              <w:t>Understand commercial/entitlement position</w:t>
            </w:r>
          </w:p>
        </w:tc>
        <w:tc>
          <w:tcPr>
            <w:tcW w:type="dxa" w:w="3408"/>
            <w:vAlign w:val="center"/>
          </w:tcPr>
          <w:p>
            <w:r/>
            <w:r>
              <w:rPr>
                <w:rFonts w:ascii="Aptos" w:hAnsi="Aptos"/>
                <w:b w:val="0"/>
                <w:sz w:val="18"/>
              </w:rPr>
              <w:t>Plan, status, seats, dates, entitlements, renewal</w:t>
            </w:r>
          </w:p>
        </w:tc>
      </w:tr>
      <w:tr>
        <w:tc>
          <w:tcPr>
            <w:tcW w:type="dxa" w:w="3408"/>
            <w:vAlign w:val="center"/>
          </w:tcPr>
          <w:p>
            <w:r/>
            <w:r>
              <w:rPr>
                <w:rFonts w:ascii="Aptos" w:hAnsi="Aptos"/>
                <w:b w:val="0"/>
                <w:sz w:val="18"/>
              </w:rPr>
              <w:t>Insights</w:t>
            </w:r>
          </w:p>
        </w:tc>
        <w:tc>
          <w:tcPr>
            <w:tcW w:type="dxa" w:w="3408"/>
            <w:vAlign w:val="center"/>
          </w:tcPr>
          <w:p>
            <w:r/>
            <w:r>
              <w:rPr>
                <w:rFonts w:ascii="Aptos" w:hAnsi="Aptos"/>
                <w:b w:val="0"/>
                <w:sz w:val="18"/>
              </w:rPr>
              <w:t>Cross-product executive view</w:t>
            </w:r>
          </w:p>
        </w:tc>
        <w:tc>
          <w:tcPr>
            <w:tcW w:type="dxa" w:w="3408"/>
            <w:vAlign w:val="center"/>
          </w:tcPr>
          <w:p>
            <w:r/>
            <w:r>
              <w:rPr>
                <w:rFonts w:ascii="Aptos" w:hAnsi="Aptos"/>
                <w:b w:val="0"/>
                <w:sz w:val="18"/>
              </w:rPr>
              <w:t>KPIs, trends, risks, recommendations</w:t>
            </w:r>
          </w:p>
        </w:tc>
      </w:tr>
      <w:tr>
        <w:tc>
          <w:tcPr>
            <w:tcW w:type="dxa" w:w="3408"/>
            <w:vAlign w:val="center"/>
          </w:tcPr>
          <w:p>
            <w:r/>
            <w:r>
              <w:rPr>
                <w:rFonts w:ascii="Aptos" w:hAnsi="Aptos"/>
                <w:b w:val="0"/>
                <w:sz w:val="18"/>
              </w:rPr>
              <w:t>Administration</w:t>
            </w:r>
          </w:p>
        </w:tc>
        <w:tc>
          <w:tcPr>
            <w:tcW w:type="dxa" w:w="3408"/>
            <w:vAlign w:val="center"/>
          </w:tcPr>
          <w:p>
            <w:r/>
            <w:r>
              <w:rPr>
                <w:rFonts w:ascii="Aptos" w:hAnsi="Aptos"/>
                <w:b w:val="0"/>
                <w:sz w:val="18"/>
              </w:rPr>
              <w:t>Customer administration</w:t>
            </w:r>
          </w:p>
        </w:tc>
        <w:tc>
          <w:tcPr>
            <w:tcW w:type="dxa" w:w="3408"/>
            <w:vAlign w:val="center"/>
          </w:tcPr>
          <w:p>
            <w:r/>
            <w:r>
              <w:rPr>
                <w:rFonts w:ascii="Aptos" w:hAnsi="Aptos"/>
                <w:b w:val="0"/>
                <w:sz w:val="18"/>
              </w:rPr>
              <w:t>Users, roles, product access, groups, audit</w:t>
            </w:r>
          </w:p>
        </w:tc>
      </w:tr>
      <w:tr>
        <w:tc>
          <w:tcPr>
            <w:tcW w:type="dxa" w:w="3408"/>
            <w:vAlign w:val="center"/>
          </w:tcPr>
          <w:p>
            <w:r/>
            <w:r>
              <w:rPr>
                <w:rFonts w:ascii="Aptos" w:hAnsi="Aptos"/>
                <w:b w:val="0"/>
                <w:sz w:val="18"/>
              </w:rPr>
              <w:t>Settings</w:t>
            </w:r>
          </w:p>
        </w:tc>
        <w:tc>
          <w:tcPr>
            <w:tcW w:type="dxa" w:w="3408"/>
            <w:vAlign w:val="center"/>
          </w:tcPr>
          <w:p>
            <w:r/>
            <w:r>
              <w:rPr>
                <w:rFonts w:ascii="Aptos" w:hAnsi="Aptos"/>
                <w:b w:val="0"/>
                <w:sz w:val="18"/>
              </w:rPr>
              <w:t>Customer preferences</w:t>
            </w:r>
          </w:p>
        </w:tc>
        <w:tc>
          <w:tcPr>
            <w:tcW w:type="dxa" w:w="3408"/>
            <w:vAlign w:val="center"/>
          </w:tcPr>
          <w:p>
            <w:r/>
            <w:r>
              <w:rPr>
                <w:rFonts w:ascii="Aptos" w:hAnsi="Aptos"/>
                <w:b w:val="0"/>
                <w:sz w:val="18"/>
              </w:rPr>
              <w:t>Notifications, profile, display and organisation settings</w:t>
            </w:r>
          </w:p>
        </w:tc>
      </w:tr>
    </w:tbl>
    <w:p>
      <w:pPr>
        <w:pStyle w:val="Heading1"/>
      </w:pPr>
      <w:r>
        <w:t>4. Branding &amp; Product Architecture</w:t>
      </w:r>
    </w:p>
    <w:p>
      <w:r>
        <w:t>Beacon should be the umbrella experience, but each product must retain its own product identity. The interface should use QUEDERA as the master brand and the established product names as first-class product brands.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F1F8"/>
          </w:tcPr>
          <w:p>
            <w:r/>
            <w:r>
              <w:rPr>
                <w:rFonts w:ascii="Aptos" w:hAnsi="Aptos"/>
                <w:b/>
                <w:sz w:val="18"/>
              </w:rPr>
              <w:t>Brand layer</w:t>
            </w:r>
          </w:p>
        </w:tc>
        <w:tc>
          <w:tcPr>
            <w:tcW w:type="dxa" w:w="5112"/>
            <w:vAlign w:val="center"/>
            <w:shd w:fill="EAF1F8"/>
          </w:tcPr>
          <w:p>
            <w:r/>
            <w:r>
              <w:rPr>
                <w:rFonts w:ascii="Aptos" w:hAnsi="Aptos"/>
                <w:b/>
                <w:sz w:val="18"/>
              </w:rPr>
              <w:t>Requirement</w:t>
            </w:r>
          </w:p>
        </w:tc>
      </w:tr>
      <w:tr>
        <w:tc>
          <w:tcPr>
            <w:tcW w:type="dxa" w:w="5112"/>
            <w:vAlign w:val="center"/>
          </w:tcPr>
          <w:p>
            <w:r/>
            <w:r>
              <w:rPr>
                <w:rFonts w:ascii="Aptos" w:hAnsi="Aptos"/>
                <w:b w:val="0"/>
                <w:sz w:val="18"/>
              </w:rPr>
              <w:t>Master brand</w:t>
            </w:r>
          </w:p>
        </w:tc>
        <w:tc>
          <w:tcPr>
            <w:tcW w:type="dxa" w:w="5112"/>
            <w:vAlign w:val="center"/>
          </w:tcPr>
          <w:p>
            <w:r/>
            <w:r>
              <w:rPr>
                <w:rFonts w:ascii="Aptos" w:hAnsi="Aptos"/>
                <w:b w:val="0"/>
                <w:sz w:val="18"/>
              </w:rPr>
              <w:t>QUEDERA branding remains persistent in global navigation and authenticated shell.</w:t>
            </w:r>
          </w:p>
        </w:tc>
      </w:tr>
      <w:tr>
        <w:tc>
          <w:tcPr>
            <w:tcW w:type="dxa" w:w="5112"/>
            <w:vAlign w:val="center"/>
          </w:tcPr>
          <w:p>
            <w:r/>
            <w:r>
              <w:rPr>
                <w:rFonts w:ascii="Aptos" w:hAnsi="Aptos"/>
                <w:b w:val="0"/>
                <w:sz w:val="18"/>
              </w:rPr>
              <w:t>Hub brand</w:t>
            </w:r>
          </w:p>
        </w:tc>
        <w:tc>
          <w:tcPr>
            <w:tcW w:type="dxa" w:w="5112"/>
            <w:vAlign w:val="center"/>
          </w:tcPr>
          <w:p>
            <w:r/>
            <w:r>
              <w:rPr>
                <w:rFonts w:ascii="Aptos" w:hAnsi="Aptos"/>
                <w:b w:val="0"/>
                <w:sz w:val="18"/>
              </w:rPr>
              <w:t>BEACON is positioned as the central intelligence and portfolio hub.</w:t>
            </w:r>
          </w:p>
        </w:tc>
      </w:tr>
      <w:tr>
        <w:tc>
          <w:tcPr>
            <w:tcW w:type="dxa" w:w="5112"/>
            <w:vAlign w:val="center"/>
          </w:tcPr>
          <w:p>
            <w:r/>
            <w:r>
              <w:rPr>
                <w:rFonts w:ascii="Aptos" w:hAnsi="Aptos"/>
                <w:b w:val="0"/>
                <w:sz w:val="18"/>
              </w:rPr>
              <w:t>Pulse</w:t>
            </w:r>
          </w:p>
        </w:tc>
        <w:tc>
          <w:tcPr>
            <w:tcW w:type="dxa" w:w="5112"/>
            <w:vAlign w:val="center"/>
          </w:tcPr>
          <w:p>
            <w:r/>
            <w:r>
              <w:rPr>
                <w:rFonts w:ascii="Aptos" w:hAnsi="Aptos"/>
                <w:b w:val="0"/>
                <w:sz w:val="18"/>
              </w:rPr>
              <w:t>Retain QUEDERA Pulse identity for ITSM maturity and continual improvement.</w:t>
            </w:r>
          </w:p>
        </w:tc>
      </w:tr>
      <w:tr>
        <w:tc>
          <w:tcPr>
            <w:tcW w:type="dxa" w:w="5112"/>
            <w:vAlign w:val="center"/>
          </w:tcPr>
          <w:p>
            <w:r/>
            <w:r>
              <w:rPr>
                <w:rFonts w:ascii="Aptos" w:hAnsi="Aptos"/>
                <w:b w:val="0"/>
                <w:sz w:val="18"/>
              </w:rPr>
              <w:t>Duet</w:t>
            </w:r>
          </w:p>
        </w:tc>
        <w:tc>
          <w:tcPr>
            <w:tcW w:type="dxa" w:w="5112"/>
            <w:vAlign w:val="center"/>
          </w:tcPr>
          <w:p>
            <w:r/>
            <w:r>
              <w:rPr>
                <w:rFonts w:ascii="Aptos" w:hAnsi="Aptos"/>
                <w:b w:val="0"/>
                <w:sz w:val="18"/>
              </w:rPr>
              <w:t>Retain QUEDERA Duet identity for structured service transition.</w:t>
            </w:r>
          </w:p>
        </w:tc>
      </w:tr>
      <w:tr>
        <w:tc>
          <w:tcPr>
            <w:tcW w:type="dxa" w:w="5112"/>
            <w:vAlign w:val="center"/>
          </w:tcPr>
          <w:p>
            <w:r/>
            <w:r>
              <w:rPr>
                <w:rFonts w:ascii="Aptos" w:hAnsi="Aptos"/>
                <w:b w:val="0"/>
                <w:sz w:val="18"/>
              </w:rPr>
              <w:t>Atlas</w:t>
            </w:r>
          </w:p>
        </w:tc>
        <w:tc>
          <w:tcPr>
            <w:tcW w:type="dxa" w:w="5112"/>
            <w:vAlign w:val="center"/>
          </w:tcPr>
          <w:p>
            <w:r/>
            <w:r>
              <w:rPr>
                <w:rFonts w:ascii="Aptos" w:hAnsi="Aptos"/>
                <w:b w:val="0"/>
                <w:sz w:val="18"/>
              </w:rPr>
              <w:t>Retain QUEDERA Atlas identity for SaCM/CMDB discovery and validation.</w:t>
            </w:r>
          </w:p>
        </w:tc>
      </w:tr>
      <w:tr>
        <w:tc>
          <w:tcPr>
            <w:tcW w:type="dxa" w:w="5112"/>
            <w:vAlign w:val="center"/>
          </w:tcPr>
          <w:p>
            <w:r/>
            <w:r>
              <w:rPr>
                <w:rFonts w:ascii="Aptos" w:hAnsi="Aptos"/>
                <w:b w:val="0"/>
                <w:sz w:val="18"/>
              </w:rPr>
              <w:t>Beacon</w:t>
            </w:r>
          </w:p>
        </w:tc>
        <w:tc>
          <w:tcPr>
            <w:tcW w:type="dxa" w:w="5112"/>
            <w:vAlign w:val="center"/>
          </w:tcPr>
          <w:p>
            <w:r/>
            <w:r>
              <w:rPr>
                <w:rFonts w:ascii="Aptos" w:hAnsi="Aptos"/>
                <w:b w:val="0"/>
                <w:sz w:val="18"/>
              </w:rPr>
              <w:t>Retain QUEDERA Beacon identity for executive dashboards and actionable insights.</w:t>
            </w:r>
          </w:p>
        </w:tc>
      </w:tr>
      <w:tr>
        <w:tc>
          <w:tcPr>
            <w:tcW w:type="dxa" w:w="5112"/>
            <w:vAlign w:val="center"/>
          </w:tcPr>
          <w:p>
            <w:r/>
            <w:r>
              <w:rPr>
                <w:rFonts w:ascii="Aptos" w:hAnsi="Aptos"/>
                <w:b w:val="0"/>
                <w:sz w:val="18"/>
              </w:rPr>
              <w:t>Visual system</w:t>
            </w:r>
          </w:p>
        </w:tc>
        <w:tc>
          <w:tcPr>
            <w:tcW w:type="dxa" w:w="5112"/>
            <w:vAlign w:val="center"/>
          </w:tcPr>
          <w:p>
            <w:r/>
            <w:r>
              <w:rPr>
                <w:rFonts w:ascii="Aptos" w:hAnsi="Aptos"/>
                <w:b w:val="0"/>
                <w:sz w:val="18"/>
              </w:rPr>
              <w:t>Shared typography, spacing, accessibility, components and interaction patterns; product-specific accent/iconography where appropriate.</w:t>
            </w:r>
          </w:p>
        </w:tc>
      </w:tr>
    </w:tbl>
    <w:p>
      <w:pPr>
        <w:pStyle w:val="Heading2"/>
      </w:pPr>
      <w:r>
        <w:t>4.1 Recommended brand hierarchy</w:t>
      </w:r>
    </w:p>
    <w:p>
      <w:r>
        <w:t>QUEDERA → BEACON → Product Portfolio → Product → Capability → Report/Dashboard</w:t>
      </w:r>
    </w:p>
    <w:p>
      <w:r>
        <w:t>This hierarchy should be visible in page titles, breadcrumbs and product cards without creating unnecessary navigation depth.</w:t>
      </w:r>
    </w:p>
    <w:p>
      <w:pPr>
        <w:pStyle w:val="Heading1"/>
      </w:pPr>
      <w:r>
        <w:t>5. Users &amp; Roles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EAF1F8"/>
          </w:tcPr>
          <w:p>
            <w:r/>
            <w:r>
              <w:rPr>
                <w:rFonts w:ascii="Aptos" w:hAnsi="Aptos"/>
                <w:b/>
                <w:sz w:val="18"/>
              </w:rPr>
              <w:t>Role</w:t>
            </w:r>
          </w:p>
        </w:tc>
        <w:tc>
          <w:tcPr>
            <w:tcW w:type="dxa" w:w="3408"/>
            <w:vAlign w:val="center"/>
            <w:shd w:fill="EAF1F8"/>
          </w:tcPr>
          <w:p>
            <w:r/>
            <w:r>
              <w:rPr>
                <w:rFonts w:ascii="Aptos" w:hAnsi="Aptos"/>
                <w:b/>
                <w:sz w:val="18"/>
              </w:rPr>
              <w:t>Primary needs</w:t>
            </w:r>
          </w:p>
        </w:tc>
        <w:tc>
          <w:tcPr>
            <w:tcW w:type="dxa" w:w="3408"/>
            <w:vAlign w:val="center"/>
            <w:shd w:fill="EAF1F8"/>
          </w:tcPr>
          <w:p>
            <w:r/>
            <w:r>
              <w:rPr>
                <w:rFonts w:ascii="Aptos" w:hAnsi="Aptos"/>
                <w:b/>
                <w:sz w:val="18"/>
              </w:rPr>
              <w:t>Typical permissions</w:t>
            </w:r>
          </w:p>
        </w:tc>
      </w:tr>
      <w:tr>
        <w:tc>
          <w:tcPr>
            <w:tcW w:type="dxa" w:w="3408"/>
            <w:vAlign w:val="center"/>
          </w:tcPr>
          <w:p>
            <w:r/>
            <w:r>
              <w:rPr>
                <w:rFonts w:ascii="Aptos" w:hAnsi="Aptos"/>
                <w:b w:val="0"/>
                <w:sz w:val="18"/>
              </w:rPr>
              <w:t>Executive</w:t>
            </w:r>
          </w:p>
        </w:tc>
        <w:tc>
          <w:tcPr>
            <w:tcW w:type="dxa" w:w="3408"/>
            <w:vAlign w:val="center"/>
          </w:tcPr>
          <w:p>
            <w:r/>
            <w:r>
              <w:rPr>
                <w:rFonts w:ascii="Aptos" w:hAnsi="Aptos"/>
                <w:b w:val="0"/>
                <w:sz w:val="18"/>
              </w:rPr>
              <w:t>High-level insight, risk, performance and strategic dashboards</w:t>
            </w:r>
          </w:p>
        </w:tc>
        <w:tc>
          <w:tcPr>
            <w:tcW w:type="dxa" w:w="3408"/>
            <w:vAlign w:val="center"/>
          </w:tcPr>
          <w:p>
            <w:r/>
            <w:r>
              <w:rPr>
                <w:rFonts w:ascii="Aptos" w:hAnsi="Aptos"/>
                <w:b w:val="0"/>
                <w:sz w:val="18"/>
              </w:rPr>
              <w:t>View assigned products/content</w:t>
            </w:r>
          </w:p>
        </w:tc>
      </w:tr>
      <w:tr>
        <w:tc>
          <w:tcPr>
            <w:tcW w:type="dxa" w:w="3408"/>
            <w:vAlign w:val="center"/>
          </w:tcPr>
          <w:p>
            <w:r/>
            <w:r>
              <w:rPr>
                <w:rFonts w:ascii="Aptos" w:hAnsi="Aptos"/>
                <w:b w:val="0"/>
                <w:sz w:val="18"/>
              </w:rPr>
              <w:t>Service Manager</w:t>
            </w:r>
          </w:p>
        </w:tc>
        <w:tc>
          <w:tcPr>
            <w:tcW w:type="dxa" w:w="3408"/>
            <w:vAlign w:val="center"/>
          </w:tcPr>
          <w:p>
            <w:r/>
            <w:r>
              <w:rPr>
                <w:rFonts w:ascii="Aptos" w:hAnsi="Aptos"/>
                <w:b w:val="0"/>
                <w:sz w:val="18"/>
              </w:rPr>
              <w:t>ITSM, transition, CMDB and operational reports</w:t>
            </w:r>
          </w:p>
        </w:tc>
        <w:tc>
          <w:tcPr>
            <w:tcW w:type="dxa" w:w="3408"/>
            <w:vAlign w:val="center"/>
          </w:tcPr>
          <w:p>
            <w:r/>
            <w:r>
              <w:rPr>
                <w:rFonts w:ascii="Aptos" w:hAnsi="Aptos"/>
                <w:b w:val="0"/>
                <w:sz w:val="18"/>
              </w:rPr>
              <w:t>View; possibly contribute depending on product</w:t>
            </w:r>
          </w:p>
        </w:tc>
      </w:tr>
      <w:tr>
        <w:tc>
          <w:tcPr>
            <w:tcW w:type="dxa" w:w="3408"/>
            <w:vAlign w:val="center"/>
          </w:tcPr>
          <w:p>
            <w:r/>
            <w:r>
              <w:rPr>
                <w:rFonts w:ascii="Aptos" w:hAnsi="Aptos"/>
                <w:b w:val="0"/>
                <w:sz w:val="18"/>
              </w:rPr>
              <w:t>Product/Platform Owner</w:t>
            </w:r>
          </w:p>
        </w:tc>
        <w:tc>
          <w:tcPr>
            <w:tcW w:type="dxa" w:w="3408"/>
            <w:vAlign w:val="center"/>
          </w:tcPr>
          <w:p>
            <w:r/>
            <w:r>
              <w:rPr>
                <w:rFonts w:ascii="Aptos" w:hAnsi="Aptos"/>
                <w:b w:val="0"/>
                <w:sz w:val="18"/>
              </w:rPr>
              <w:t>Product status, adoption and data quality</w:t>
            </w:r>
          </w:p>
        </w:tc>
        <w:tc>
          <w:tcPr>
            <w:tcW w:type="dxa" w:w="3408"/>
            <w:vAlign w:val="center"/>
          </w:tcPr>
          <w:p>
            <w:r/>
            <w:r>
              <w:rPr>
                <w:rFonts w:ascii="Aptos" w:hAnsi="Aptos"/>
                <w:b w:val="0"/>
                <w:sz w:val="18"/>
              </w:rPr>
              <w:t>View and manage relevant product content</w:t>
            </w:r>
          </w:p>
        </w:tc>
      </w:tr>
      <w:tr>
        <w:tc>
          <w:tcPr>
            <w:tcW w:type="dxa" w:w="3408"/>
            <w:vAlign w:val="center"/>
          </w:tcPr>
          <w:p>
            <w:r/>
            <w:r>
              <w:rPr>
                <w:rFonts w:ascii="Aptos" w:hAnsi="Aptos"/>
                <w:b w:val="0"/>
                <w:sz w:val="18"/>
              </w:rPr>
              <w:t>Customer Administrator</w:t>
            </w:r>
          </w:p>
        </w:tc>
        <w:tc>
          <w:tcPr>
            <w:tcW w:type="dxa" w:w="3408"/>
            <w:vAlign w:val="center"/>
          </w:tcPr>
          <w:p>
            <w:r/>
            <w:r>
              <w:rPr>
                <w:rFonts w:ascii="Aptos" w:hAnsi="Aptos"/>
                <w:b w:val="0"/>
                <w:sz w:val="18"/>
              </w:rPr>
              <w:t>Users, roles, subscriptions and access</w:t>
            </w:r>
          </w:p>
        </w:tc>
        <w:tc>
          <w:tcPr>
            <w:tcW w:type="dxa" w:w="3408"/>
            <w:vAlign w:val="center"/>
          </w:tcPr>
          <w:p>
            <w:r/>
            <w:r>
              <w:rPr>
                <w:rFonts w:ascii="Aptos" w:hAnsi="Aptos"/>
                <w:b w:val="0"/>
                <w:sz w:val="18"/>
              </w:rPr>
              <w:t>Manage users/access; view subscription information</w:t>
            </w:r>
          </w:p>
        </w:tc>
      </w:tr>
      <w:tr>
        <w:tc>
          <w:tcPr>
            <w:tcW w:type="dxa" w:w="3408"/>
            <w:vAlign w:val="center"/>
          </w:tcPr>
          <w:p>
            <w:r/>
            <w:r>
              <w:rPr>
                <w:rFonts w:ascii="Aptos" w:hAnsi="Aptos"/>
                <w:b w:val="0"/>
                <w:sz w:val="18"/>
              </w:rPr>
              <w:t>QUEDERA Consultant</w:t>
            </w:r>
          </w:p>
        </w:tc>
        <w:tc>
          <w:tcPr>
            <w:tcW w:type="dxa" w:w="3408"/>
            <w:vAlign w:val="center"/>
          </w:tcPr>
          <w:p>
            <w:r/>
            <w:r>
              <w:rPr>
                <w:rFonts w:ascii="Aptos" w:hAnsi="Aptos"/>
                <w:b w:val="0"/>
                <w:sz w:val="18"/>
              </w:rPr>
              <w:t>Deliver services and review customer outcomes</w:t>
            </w:r>
          </w:p>
        </w:tc>
        <w:tc>
          <w:tcPr>
            <w:tcW w:type="dxa" w:w="3408"/>
            <w:vAlign w:val="center"/>
          </w:tcPr>
          <w:p>
            <w:r/>
            <w:r>
              <w:rPr>
                <w:rFonts w:ascii="Aptos" w:hAnsi="Aptos"/>
                <w:b w:val="0"/>
                <w:sz w:val="18"/>
              </w:rPr>
              <w:t>Scoped customer/product access</w:t>
            </w:r>
          </w:p>
        </w:tc>
      </w:tr>
    </w:tbl>
    <w:p>
      <w:pPr>
        <w:pStyle w:val="Heading1"/>
      </w:pPr>
      <w:r>
        <w:t>6. Functional Requirements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EAF1F8"/>
          </w:tcPr>
          <w:p>
            <w:r/>
            <w:r>
              <w:rPr>
                <w:rFonts w:ascii="Aptos" w:hAnsi="Aptos"/>
                <w:b/>
                <w:sz w:val="18"/>
              </w:rPr>
              <w:t>ID</w:t>
            </w:r>
          </w:p>
        </w:tc>
        <w:tc>
          <w:tcPr>
            <w:tcW w:type="dxa" w:w="2556"/>
            <w:vAlign w:val="center"/>
            <w:shd w:fill="EAF1F8"/>
          </w:tcPr>
          <w:p>
            <w:r/>
            <w:r>
              <w:rPr>
                <w:rFonts w:ascii="Aptos" w:hAnsi="Aptos"/>
                <w:b/>
                <w:sz w:val="18"/>
              </w:rPr>
              <w:t>Area</w:t>
            </w:r>
          </w:p>
        </w:tc>
        <w:tc>
          <w:tcPr>
            <w:tcW w:type="dxa" w:w="2556"/>
            <w:vAlign w:val="center"/>
            <w:shd w:fill="EAF1F8"/>
          </w:tcPr>
          <w:p>
            <w:r/>
            <w:r>
              <w:rPr>
                <w:rFonts w:ascii="Aptos" w:hAnsi="Aptos"/>
                <w:b/>
                <w:sz w:val="18"/>
              </w:rPr>
              <w:t>Requirement</w:t>
            </w:r>
          </w:p>
        </w:tc>
        <w:tc>
          <w:tcPr>
            <w:tcW w:type="dxa" w:w="2556"/>
            <w:vAlign w:val="center"/>
            <w:shd w:fill="EAF1F8"/>
          </w:tcPr>
          <w:p>
            <w:r/>
            <w:r>
              <w:rPr>
                <w:rFonts w:ascii="Aptos" w:hAnsi="Aptos"/>
                <w:b/>
                <w:sz w:val="18"/>
              </w:rPr>
              <w:t>Priority</w:t>
            </w:r>
          </w:p>
        </w:tc>
      </w:tr>
      <w:tr>
        <w:tc>
          <w:tcPr>
            <w:tcW w:type="dxa" w:w="2556"/>
            <w:vAlign w:val="center"/>
          </w:tcPr>
          <w:p>
            <w:r/>
            <w:r>
              <w:rPr>
                <w:rFonts w:ascii="Aptos" w:hAnsi="Aptos"/>
                <w:b w:val="0"/>
                <w:sz w:val="18"/>
              </w:rPr>
              <w:t>FR-001</w:t>
            </w:r>
          </w:p>
        </w:tc>
        <w:tc>
          <w:tcPr>
            <w:tcW w:type="dxa" w:w="2556"/>
            <w:vAlign w:val="center"/>
          </w:tcPr>
          <w:p>
            <w:r/>
            <w:r>
              <w:rPr>
                <w:rFonts w:ascii="Aptos" w:hAnsi="Aptos"/>
                <w:b w:val="0"/>
                <w:sz w:val="18"/>
              </w:rPr>
              <w:t>Customer Context</w:t>
            </w:r>
          </w:p>
        </w:tc>
        <w:tc>
          <w:tcPr>
            <w:tcW w:type="dxa" w:w="2556"/>
            <w:vAlign w:val="center"/>
          </w:tcPr>
          <w:p>
            <w:r/>
            <w:r>
              <w:rPr>
                <w:rFonts w:ascii="Aptos" w:hAnsi="Aptos"/>
                <w:b w:val="0"/>
                <w:sz w:val="18"/>
              </w:rPr>
              <w:t>Beacon shall identify the active customer/organisation and display it prominently in the authenticated shell.</w:t>
            </w:r>
          </w:p>
        </w:tc>
        <w:tc>
          <w:tcPr>
            <w:tcW w:type="dxa" w:w="2556"/>
            <w:vAlign w:val="center"/>
          </w:tcPr>
          <w:p>
            <w:r/>
            <w:r>
              <w:rPr>
                <w:rFonts w:ascii="Aptos" w:hAnsi="Aptos"/>
                <w:b w:val="0"/>
                <w:sz w:val="18"/>
              </w:rPr>
              <w:t>Must</w:t>
            </w:r>
          </w:p>
        </w:tc>
      </w:tr>
      <w:tr>
        <w:tc>
          <w:tcPr>
            <w:tcW w:type="dxa" w:w="2556"/>
            <w:vAlign w:val="center"/>
          </w:tcPr>
          <w:p>
            <w:r/>
            <w:r>
              <w:rPr>
                <w:rFonts w:ascii="Aptos" w:hAnsi="Aptos"/>
                <w:b w:val="0"/>
                <w:sz w:val="18"/>
              </w:rPr>
              <w:t>FR-002</w:t>
            </w:r>
          </w:p>
        </w:tc>
        <w:tc>
          <w:tcPr>
            <w:tcW w:type="dxa" w:w="2556"/>
            <w:vAlign w:val="center"/>
          </w:tcPr>
          <w:p>
            <w:r/>
            <w:r>
              <w:rPr>
                <w:rFonts w:ascii="Aptos" w:hAnsi="Aptos"/>
                <w:b w:val="0"/>
                <w:sz w:val="18"/>
              </w:rPr>
              <w:t>Portfolio Overview</w:t>
            </w:r>
          </w:p>
        </w:tc>
        <w:tc>
          <w:tcPr>
            <w:tcW w:type="dxa" w:w="2556"/>
            <w:vAlign w:val="center"/>
          </w:tcPr>
          <w:p>
            <w:r/>
            <w:r>
              <w:rPr>
                <w:rFonts w:ascii="Aptos" w:hAnsi="Aptos"/>
                <w:b w:val="0"/>
                <w:sz w:val="18"/>
              </w:rPr>
              <w:t>Beacon shall display all products available to the customer, including products not currently subscribed to where discovery is permitted.</w:t>
            </w:r>
          </w:p>
        </w:tc>
        <w:tc>
          <w:tcPr>
            <w:tcW w:type="dxa" w:w="2556"/>
            <w:vAlign w:val="center"/>
          </w:tcPr>
          <w:p>
            <w:r/>
            <w:r>
              <w:rPr>
                <w:rFonts w:ascii="Aptos" w:hAnsi="Aptos"/>
                <w:b w:val="0"/>
                <w:sz w:val="18"/>
              </w:rPr>
              <w:t>Must</w:t>
            </w:r>
          </w:p>
        </w:tc>
      </w:tr>
      <w:tr>
        <w:tc>
          <w:tcPr>
            <w:tcW w:type="dxa" w:w="2556"/>
            <w:vAlign w:val="center"/>
          </w:tcPr>
          <w:p>
            <w:r/>
            <w:r>
              <w:rPr>
                <w:rFonts w:ascii="Aptos" w:hAnsi="Aptos"/>
                <w:b w:val="0"/>
                <w:sz w:val="18"/>
              </w:rPr>
              <w:t>FR-003</w:t>
            </w:r>
          </w:p>
        </w:tc>
        <w:tc>
          <w:tcPr>
            <w:tcW w:type="dxa" w:w="2556"/>
            <w:vAlign w:val="center"/>
          </w:tcPr>
          <w:p>
            <w:r/>
            <w:r>
              <w:rPr>
                <w:rFonts w:ascii="Aptos" w:hAnsi="Aptos"/>
                <w:b w:val="0"/>
                <w:sz w:val="18"/>
              </w:rPr>
              <w:t>Product Status</w:t>
            </w:r>
          </w:p>
        </w:tc>
        <w:tc>
          <w:tcPr>
            <w:tcW w:type="dxa" w:w="2556"/>
            <w:vAlign w:val="center"/>
          </w:tcPr>
          <w:p>
            <w:r/>
            <w:r>
              <w:rPr>
                <w:rFonts w:ascii="Aptos" w:hAnsi="Aptos"/>
                <w:b w:val="0"/>
                <w:sz w:val="18"/>
              </w:rPr>
              <w:t>Each product card shall show subscription/access state such as Active, Trial, Expiring, Suspended or Not Subscribed.</w:t>
            </w:r>
          </w:p>
        </w:tc>
        <w:tc>
          <w:tcPr>
            <w:tcW w:type="dxa" w:w="2556"/>
            <w:vAlign w:val="center"/>
          </w:tcPr>
          <w:p>
            <w:r/>
            <w:r>
              <w:rPr>
                <w:rFonts w:ascii="Aptos" w:hAnsi="Aptos"/>
                <w:b w:val="0"/>
                <w:sz w:val="18"/>
              </w:rPr>
              <w:t>Must</w:t>
            </w:r>
          </w:p>
        </w:tc>
      </w:tr>
      <w:tr>
        <w:tc>
          <w:tcPr>
            <w:tcW w:type="dxa" w:w="2556"/>
            <w:vAlign w:val="center"/>
          </w:tcPr>
          <w:p>
            <w:r/>
            <w:r>
              <w:rPr>
                <w:rFonts w:ascii="Aptos" w:hAnsi="Aptos"/>
                <w:b w:val="0"/>
                <w:sz w:val="18"/>
              </w:rPr>
              <w:t>FR-004</w:t>
            </w:r>
          </w:p>
        </w:tc>
        <w:tc>
          <w:tcPr>
            <w:tcW w:type="dxa" w:w="2556"/>
            <w:vAlign w:val="center"/>
          </w:tcPr>
          <w:p>
            <w:r/>
            <w:r>
              <w:rPr>
                <w:rFonts w:ascii="Aptos" w:hAnsi="Aptos"/>
                <w:b w:val="0"/>
                <w:sz w:val="18"/>
              </w:rPr>
              <w:t>Product Access</w:t>
            </w:r>
          </w:p>
        </w:tc>
        <w:tc>
          <w:tcPr>
            <w:tcW w:type="dxa" w:w="2556"/>
            <w:vAlign w:val="center"/>
          </w:tcPr>
          <w:p>
            <w:r/>
            <w:r>
              <w:rPr>
                <w:rFonts w:ascii="Aptos" w:hAnsi="Aptos"/>
                <w:b w:val="0"/>
                <w:sz w:val="18"/>
              </w:rPr>
              <w:t>Users shall be able to launch a product directly from its Beacon product card or detail page when entitled.</w:t>
            </w:r>
          </w:p>
        </w:tc>
        <w:tc>
          <w:tcPr>
            <w:tcW w:type="dxa" w:w="2556"/>
            <w:vAlign w:val="center"/>
          </w:tcPr>
          <w:p>
            <w:r/>
            <w:r>
              <w:rPr>
                <w:rFonts w:ascii="Aptos" w:hAnsi="Aptos"/>
                <w:b w:val="0"/>
                <w:sz w:val="18"/>
              </w:rPr>
              <w:t>Must</w:t>
            </w:r>
          </w:p>
        </w:tc>
      </w:tr>
      <w:tr>
        <w:tc>
          <w:tcPr>
            <w:tcW w:type="dxa" w:w="2556"/>
            <w:vAlign w:val="center"/>
          </w:tcPr>
          <w:p>
            <w:r/>
            <w:r>
              <w:rPr>
                <w:rFonts w:ascii="Aptos" w:hAnsi="Aptos"/>
                <w:b w:val="0"/>
                <w:sz w:val="18"/>
              </w:rPr>
              <w:t>FR-005</w:t>
            </w:r>
          </w:p>
        </w:tc>
        <w:tc>
          <w:tcPr>
            <w:tcW w:type="dxa" w:w="2556"/>
            <w:vAlign w:val="center"/>
          </w:tcPr>
          <w:p>
            <w:r/>
            <w:r>
              <w:rPr>
                <w:rFonts w:ascii="Aptos" w:hAnsi="Aptos"/>
                <w:b w:val="0"/>
                <w:sz w:val="18"/>
              </w:rPr>
              <w:t>Product Detail</w:t>
            </w:r>
          </w:p>
        </w:tc>
        <w:tc>
          <w:tcPr>
            <w:tcW w:type="dxa" w:w="2556"/>
            <w:vAlign w:val="center"/>
          </w:tcPr>
          <w:p>
            <w:r/>
            <w:r>
              <w:rPr>
                <w:rFonts w:ascii="Aptos" w:hAnsi="Aptos"/>
                <w:b w:val="0"/>
                <w:sz w:val="18"/>
              </w:rPr>
              <w:t>Each product shall have a standard detail view containing description, capabilities, subscription status, users/access and relevant content.</w:t>
            </w:r>
          </w:p>
        </w:tc>
        <w:tc>
          <w:tcPr>
            <w:tcW w:type="dxa" w:w="2556"/>
            <w:vAlign w:val="center"/>
          </w:tcPr>
          <w:p>
            <w:r/>
            <w:r>
              <w:rPr>
                <w:rFonts w:ascii="Aptos" w:hAnsi="Aptos"/>
                <w:b w:val="0"/>
                <w:sz w:val="18"/>
              </w:rPr>
              <w:t>Must</w:t>
            </w:r>
          </w:p>
        </w:tc>
      </w:tr>
      <w:tr>
        <w:tc>
          <w:tcPr>
            <w:tcW w:type="dxa" w:w="2556"/>
            <w:vAlign w:val="center"/>
          </w:tcPr>
          <w:p>
            <w:r/>
            <w:r>
              <w:rPr>
                <w:rFonts w:ascii="Aptos" w:hAnsi="Aptos"/>
                <w:b w:val="0"/>
                <w:sz w:val="18"/>
              </w:rPr>
              <w:t>FR-006</w:t>
            </w:r>
          </w:p>
        </w:tc>
        <w:tc>
          <w:tcPr>
            <w:tcW w:type="dxa" w:w="2556"/>
            <w:vAlign w:val="center"/>
          </w:tcPr>
          <w:p>
            <w:r/>
            <w:r>
              <w:rPr>
                <w:rFonts w:ascii="Aptos" w:hAnsi="Aptos"/>
                <w:b w:val="0"/>
                <w:sz w:val="18"/>
              </w:rPr>
              <w:t>Subscriptions</w:t>
            </w:r>
          </w:p>
        </w:tc>
        <w:tc>
          <w:tcPr>
            <w:tcW w:type="dxa" w:w="2556"/>
            <w:vAlign w:val="center"/>
          </w:tcPr>
          <w:p>
            <w:r/>
            <w:r>
              <w:rPr>
                <w:rFonts w:ascii="Aptos" w:hAnsi="Aptos"/>
                <w:b w:val="0"/>
                <w:sz w:val="18"/>
              </w:rPr>
              <w:t>Beacon shall provide a consolidated view of subscriptions across Pulse, Duet, Atlas and Beacon.</w:t>
            </w:r>
          </w:p>
        </w:tc>
        <w:tc>
          <w:tcPr>
            <w:tcW w:type="dxa" w:w="2556"/>
            <w:vAlign w:val="center"/>
          </w:tcPr>
          <w:p>
            <w:r/>
            <w:r>
              <w:rPr>
                <w:rFonts w:ascii="Aptos" w:hAnsi="Aptos"/>
                <w:b w:val="0"/>
                <w:sz w:val="18"/>
              </w:rPr>
              <w:t>Must</w:t>
            </w:r>
          </w:p>
        </w:tc>
      </w:tr>
      <w:tr>
        <w:tc>
          <w:tcPr>
            <w:tcW w:type="dxa" w:w="2556"/>
            <w:vAlign w:val="center"/>
          </w:tcPr>
          <w:p>
            <w:r/>
            <w:r>
              <w:rPr>
                <w:rFonts w:ascii="Aptos" w:hAnsi="Aptos"/>
                <w:b w:val="0"/>
                <w:sz w:val="18"/>
              </w:rPr>
              <w:t>FR-007</w:t>
            </w:r>
          </w:p>
        </w:tc>
        <w:tc>
          <w:tcPr>
            <w:tcW w:type="dxa" w:w="2556"/>
            <w:vAlign w:val="center"/>
          </w:tcPr>
          <w:p>
            <w:r/>
            <w:r>
              <w:rPr>
                <w:rFonts w:ascii="Aptos" w:hAnsi="Aptos"/>
                <w:b w:val="0"/>
                <w:sz w:val="18"/>
              </w:rPr>
              <w:t>Subscription Dates</w:t>
            </w:r>
          </w:p>
        </w:tc>
        <w:tc>
          <w:tcPr>
            <w:tcW w:type="dxa" w:w="2556"/>
            <w:vAlign w:val="center"/>
          </w:tcPr>
          <w:p>
            <w:r/>
            <w:r>
              <w:rPr>
                <w:rFonts w:ascii="Aptos" w:hAnsi="Aptos"/>
                <w:b w:val="0"/>
                <w:sz w:val="18"/>
              </w:rPr>
              <w:t>Beacon shall display plan start/end dates, renewal dates and relevant status indicators where data is available.</w:t>
            </w:r>
          </w:p>
        </w:tc>
        <w:tc>
          <w:tcPr>
            <w:tcW w:type="dxa" w:w="2556"/>
            <w:vAlign w:val="center"/>
          </w:tcPr>
          <w:p>
            <w:r/>
            <w:r>
              <w:rPr>
                <w:rFonts w:ascii="Aptos" w:hAnsi="Aptos"/>
                <w:b w:val="0"/>
                <w:sz w:val="18"/>
              </w:rPr>
              <w:t>Must</w:t>
            </w:r>
          </w:p>
        </w:tc>
      </w:tr>
      <w:tr>
        <w:tc>
          <w:tcPr>
            <w:tcW w:type="dxa" w:w="2556"/>
            <w:vAlign w:val="center"/>
          </w:tcPr>
          <w:p>
            <w:r/>
            <w:r>
              <w:rPr>
                <w:rFonts w:ascii="Aptos" w:hAnsi="Aptos"/>
                <w:b w:val="0"/>
                <w:sz w:val="18"/>
              </w:rPr>
              <w:t>FR-008</w:t>
            </w:r>
          </w:p>
        </w:tc>
        <w:tc>
          <w:tcPr>
            <w:tcW w:type="dxa" w:w="2556"/>
            <w:vAlign w:val="center"/>
          </w:tcPr>
          <w:p>
            <w:r/>
            <w:r>
              <w:rPr>
                <w:rFonts w:ascii="Aptos" w:hAnsi="Aptos"/>
                <w:b w:val="0"/>
                <w:sz w:val="18"/>
              </w:rPr>
              <w:t>Entitlements</w:t>
            </w:r>
          </w:p>
        </w:tc>
        <w:tc>
          <w:tcPr>
            <w:tcW w:type="dxa" w:w="2556"/>
            <w:vAlign w:val="center"/>
          </w:tcPr>
          <w:p>
            <w:r/>
            <w:r>
              <w:rPr>
                <w:rFonts w:ascii="Aptos" w:hAnsi="Aptos"/>
                <w:b w:val="0"/>
                <w:sz w:val="18"/>
              </w:rPr>
              <w:t>Beacon shall show product entitlements such as modules, environments, seats or usage allowances where applicable.</w:t>
            </w:r>
          </w:p>
        </w:tc>
        <w:tc>
          <w:tcPr>
            <w:tcW w:type="dxa" w:w="2556"/>
            <w:vAlign w:val="center"/>
          </w:tcPr>
          <w:p>
            <w:r/>
            <w:r>
              <w:rPr>
                <w:rFonts w:ascii="Aptos" w:hAnsi="Aptos"/>
                <w:b w:val="0"/>
                <w:sz w:val="18"/>
              </w:rPr>
              <w:t>Should</w:t>
            </w:r>
          </w:p>
        </w:tc>
      </w:tr>
      <w:tr>
        <w:tc>
          <w:tcPr>
            <w:tcW w:type="dxa" w:w="2556"/>
            <w:vAlign w:val="center"/>
          </w:tcPr>
          <w:p>
            <w:r/>
            <w:r>
              <w:rPr>
                <w:rFonts w:ascii="Aptos" w:hAnsi="Aptos"/>
                <w:b w:val="0"/>
                <w:sz w:val="18"/>
              </w:rPr>
              <w:t>FR-009</w:t>
            </w:r>
          </w:p>
        </w:tc>
        <w:tc>
          <w:tcPr>
            <w:tcW w:type="dxa" w:w="2556"/>
            <w:vAlign w:val="center"/>
          </w:tcPr>
          <w:p>
            <w:r/>
            <w:r>
              <w:rPr>
                <w:rFonts w:ascii="Aptos" w:hAnsi="Aptos"/>
                <w:b w:val="0"/>
                <w:sz w:val="18"/>
              </w:rPr>
              <w:t>Reports Library</w:t>
            </w:r>
          </w:p>
        </w:tc>
        <w:tc>
          <w:tcPr>
            <w:tcW w:type="dxa" w:w="2556"/>
            <w:vAlign w:val="center"/>
          </w:tcPr>
          <w:p>
            <w:r/>
            <w:r>
              <w:rPr>
                <w:rFonts w:ascii="Aptos" w:hAnsi="Aptos"/>
                <w:b w:val="0"/>
                <w:sz w:val="18"/>
              </w:rPr>
              <w:t>Beacon shall provide a central searchable library of reports, dashboards and scorecards across all QUEDERA products.</w:t>
            </w:r>
          </w:p>
        </w:tc>
        <w:tc>
          <w:tcPr>
            <w:tcW w:type="dxa" w:w="2556"/>
            <w:vAlign w:val="center"/>
          </w:tcPr>
          <w:p>
            <w:r/>
            <w:r>
              <w:rPr>
                <w:rFonts w:ascii="Aptos" w:hAnsi="Aptos"/>
                <w:b w:val="0"/>
                <w:sz w:val="18"/>
              </w:rPr>
              <w:t>Must</w:t>
            </w:r>
          </w:p>
        </w:tc>
      </w:tr>
      <w:tr>
        <w:tc>
          <w:tcPr>
            <w:tcW w:type="dxa" w:w="2556"/>
            <w:vAlign w:val="center"/>
          </w:tcPr>
          <w:p>
            <w:r/>
            <w:r>
              <w:rPr>
                <w:rFonts w:ascii="Aptos" w:hAnsi="Aptos"/>
                <w:b w:val="0"/>
                <w:sz w:val="18"/>
              </w:rPr>
              <w:t>FR-010</w:t>
            </w:r>
          </w:p>
        </w:tc>
        <w:tc>
          <w:tcPr>
            <w:tcW w:type="dxa" w:w="2556"/>
            <w:vAlign w:val="center"/>
          </w:tcPr>
          <w:p>
            <w:r/>
            <w:r>
              <w:rPr>
                <w:rFonts w:ascii="Aptos" w:hAnsi="Aptos"/>
                <w:b w:val="0"/>
                <w:sz w:val="18"/>
              </w:rPr>
              <w:t>Filtering</w:t>
            </w:r>
          </w:p>
        </w:tc>
        <w:tc>
          <w:tcPr>
            <w:tcW w:type="dxa" w:w="2556"/>
            <w:vAlign w:val="center"/>
          </w:tcPr>
          <w:p>
            <w:r/>
            <w:r>
              <w:rPr>
                <w:rFonts w:ascii="Aptos" w:hAnsi="Aptos"/>
                <w:b w:val="0"/>
                <w:sz w:val="18"/>
              </w:rPr>
              <w:t>Users shall be able to filter reporting content by product, type, status, owner and date where applicable.</w:t>
            </w:r>
          </w:p>
        </w:tc>
        <w:tc>
          <w:tcPr>
            <w:tcW w:type="dxa" w:w="2556"/>
            <w:vAlign w:val="center"/>
          </w:tcPr>
          <w:p>
            <w:r/>
            <w:r>
              <w:rPr>
                <w:rFonts w:ascii="Aptos" w:hAnsi="Aptos"/>
                <w:b w:val="0"/>
                <w:sz w:val="18"/>
              </w:rPr>
              <w:t>Must</w:t>
            </w:r>
          </w:p>
        </w:tc>
      </w:tr>
      <w:tr>
        <w:tc>
          <w:tcPr>
            <w:tcW w:type="dxa" w:w="2556"/>
            <w:vAlign w:val="center"/>
          </w:tcPr>
          <w:p>
            <w:r/>
            <w:r>
              <w:rPr>
                <w:rFonts w:ascii="Aptos" w:hAnsi="Aptos"/>
                <w:b w:val="0"/>
                <w:sz w:val="18"/>
              </w:rPr>
              <w:t>FR-011</w:t>
            </w:r>
          </w:p>
        </w:tc>
        <w:tc>
          <w:tcPr>
            <w:tcW w:type="dxa" w:w="2556"/>
            <w:vAlign w:val="center"/>
          </w:tcPr>
          <w:p>
            <w:r/>
            <w:r>
              <w:rPr>
                <w:rFonts w:ascii="Aptos" w:hAnsi="Aptos"/>
                <w:b w:val="0"/>
                <w:sz w:val="18"/>
              </w:rPr>
              <w:t>Search</w:t>
            </w:r>
          </w:p>
        </w:tc>
        <w:tc>
          <w:tcPr>
            <w:tcW w:type="dxa" w:w="2556"/>
            <w:vAlign w:val="center"/>
          </w:tcPr>
          <w:p>
            <w:r/>
            <w:r>
              <w:rPr>
                <w:rFonts w:ascii="Aptos" w:hAnsi="Aptos"/>
                <w:b w:val="0"/>
                <w:sz w:val="18"/>
              </w:rPr>
              <w:t>Users shall be able to search report/dashboard title, description, product and relevant metadata.</w:t>
            </w:r>
          </w:p>
        </w:tc>
        <w:tc>
          <w:tcPr>
            <w:tcW w:type="dxa" w:w="2556"/>
            <w:vAlign w:val="center"/>
          </w:tcPr>
          <w:p>
            <w:r/>
            <w:r>
              <w:rPr>
                <w:rFonts w:ascii="Aptos" w:hAnsi="Aptos"/>
                <w:b w:val="0"/>
                <w:sz w:val="18"/>
              </w:rPr>
              <w:t>Must</w:t>
            </w:r>
          </w:p>
        </w:tc>
      </w:tr>
      <w:tr>
        <w:tc>
          <w:tcPr>
            <w:tcW w:type="dxa" w:w="2556"/>
            <w:vAlign w:val="center"/>
          </w:tcPr>
          <w:p>
            <w:r/>
            <w:r>
              <w:rPr>
                <w:rFonts w:ascii="Aptos" w:hAnsi="Aptos"/>
                <w:b w:val="0"/>
                <w:sz w:val="18"/>
              </w:rPr>
              <w:t>FR-012</w:t>
            </w:r>
          </w:p>
        </w:tc>
        <w:tc>
          <w:tcPr>
            <w:tcW w:type="dxa" w:w="2556"/>
            <w:vAlign w:val="center"/>
          </w:tcPr>
          <w:p>
            <w:r/>
            <w:r>
              <w:rPr>
                <w:rFonts w:ascii="Aptos" w:hAnsi="Aptos"/>
                <w:b w:val="0"/>
                <w:sz w:val="18"/>
              </w:rPr>
              <w:t>Favourites</w:t>
            </w:r>
          </w:p>
        </w:tc>
        <w:tc>
          <w:tcPr>
            <w:tcW w:type="dxa" w:w="2556"/>
            <w:vAlign w:val="center"/>
          </w:tcPr>
          <w:p>
            <w:r/>
            <w:r>
              <w:rPr>
                <w:rFonts w:ascii="Aptos" w:hAnsi="Aptos"/>
                <w:b w:val="0"/>
                <w:sz w:val="18"/>
              </w:rPr>
              <w:t>Users shall be able to favourite products, dashboards and reports.</w:t>
            </w:r>
          </w:p>
        </w:tc>
        <w:tc>
          <w:tcPr>
            <w:tcW w:type="dxa" w:w="2556"/>
            <w:vAlign w:val="center"/>
          </w:tcPr>
          <w:p>
            <w:r/>
            <w:r>
              <w:rPr>
                <w:rFonts w:ascii="Aptos" w:hAnsi="Aptos"/>
                <w:b w:val="0"/>
                <w:sz w:val="18"/>
              </w:rPr>
              <w:t>Should</w:t>
            </w:r>
          </w:p>
        </w:tc>
      </w:tr>
      <w:tr>
        <w:tc>
          <w:tcPr>
            <w:tcW w:type="dxa" w:w="2556"/>
            <w:vAlign w:val="center"/>
          </w:tcPr>
          <w:p>
            <w:r/>
            <w:r>
              <w:rPr>
                <w:rFonts w:ascii="Aptos" w:hAnsi="Aptos"/>
                <w:b w:val="0"/>
                <w:sz w:val="18"/>
              </w:rPr>
              <w:t>FR-013</w:t>
            </w:r>
          </w:p>
        </w:tc>
        <w:tc>
          <w:tcPr>
            <w:tcW w:type="dxa" w:w="2556"/>
            <w:vAlign w:val="center"/>
          </w:tcPr>
          <w:p>
            <w:r/>
            <w:r>
              <w:rPr>
                <w:rFonts w:ascii="Aptos" w:hAnsi="Aptos"/>
                <w:b w:val="0"/>
                <w:sz w:val="18"/>
              </w:rPr>
              <w:t>Recently Viewed</w:t>
            </w:r>
          </w:p>
        </w:tc>
        <w:tc>
          <w:tcPr>
            <w:tcW w:type="dxa" w:w="2556"/>
            <w:vAlign w:val="center"/>
          </w:tcPr>
          <w:p>
            <w:r/>
            <w:r>
              <w:rPr>
                <w:rFonts w:ascii="Aptos" w:hAnsi="Aptos"/>
                <w:b w:val="0"/>
                <w:sz w:val="18"/>
              </w:rPr>
              <w:t>Beacon shall show recently accessed content for the current user.</w:t>
            </w:r>
          </w:p>
        </w:tc>
        <w:tc>
          <w:tcPr>
            <w:tcW w:type="dxa" w:w="2556"/>
            <w:vAlign w:val="center"/>
          </w:tcPr>
          <w:p>
            <w:r/>
            <w:r>
              <w:rPr>
                <w:rFonts w:ascii="Aptos" w:hAnsi="Aptos"/>
                <w:b w:val="0"/>
                <w:sz w:val="18"/>
              </w:rPr>
              <w:t>Should</w:t>
            </w:r>
          </w:p>
        </w:tc>
      </w:tr>
      <w:tr>
        <w:tc>
          <w:tcPr>
            <w:tcW w:type="dxa" w:w="2556"/>
            <w:vAlign w:val="center"/>
          </w:tcPr>
          <w:p>
            <w:r/>
            <w:r>
              <w:rPr>
                <w:rFonts w:ascii="Aptos" w:hAnsi="Aptos"/>
                <w:b w:val="0"/>
                <w:sz w:val="18"/>
              </w:rPr>
              <w:t>FR-014</w:t>
            </w:r>
          </w:p>
        </w:tc>
        <w:tc>
          <w:tcPr>
            <w:tcW w:type="dxa" w:w="2556"/>
            <w:vAlign w:val="center"/>
          </w:tcPr>
          <w:p>
            <w:r/>
            <w:r>
              <w:rPr>
                <w:rFonts w:ascii="Aptos" w:hAnsi="Aptos"/>
                <w:b w:val="0"/>
                <w:sz w:val="18"/>
              </w:rPr>
              <w:t>Deep Linking</w:t>
            </w:r>
          </w:p>
        </w:tc>
        <w:tc>
          <w:tcPr>
            <w:tcW w:type="dxa" w:w="2556"/>
            <w:vAlign w:val="center"/>
          </w:tcPr>
          <w:p>
            <w:r/>
            <w:r>
              <w:rPr>
                <w:rFonts w:ascii="Aptos" w:hAnsi="Aptos"/>
                <w:b w:val="0"/>
                <w:sz w:val="18"/>
              </w:rPr>
              <w:t>Beacon shall support deep links into the originating product while preserving customer context.</w:t>
            </w:r>
          </w:p>
        </w:tc>
        <w:tc>
          <w:tcPr>
            <w:tcW w:type="dxa" w:w="2556"/>
            <w:vAlign w:val="center"/>
          </w:tcPr>
          <w:p>
            <w:r/>
            <w:r>
              <w:rPr>
                <w:rFonts w:ascii="Aptos" w:hAnsi="Aptos"/>
                <w:b w:val="0"/>
                <w:sz w:val="18"/>
              </w:rPr>
              <w:t>Must</w:t>
            </w:r>
          </w:p>
        </w:tc>
      </w:tr>
      <w:tr>
        <w:tc>
          <w:tcPr>
            <w:tcW w:type="dxa" w:w="2556"/>
            <w:vAlign w:val="center"/>
          </w:tcPr>
          <w:p>
            <w:r/>
            <w:r>
              <w:rPr>
                <w:rFonts w:ascii="Aptos" w:hAnsi="Aptos"/>
                <w:b w:val="0"/>
                <w:sz w:val="18"/>
              </w:rPr>
              <w:t>FR-015</w:t>
            </w:r>
          </w:p>
        </w:tc>
        <w:tc>
          <w:tcPr>
            <w:tcW w:type="dxa" w:w="2556"/>
            <w:vAlign w:val="center"/>
          </w:tcPr>
          <w:p>
            <w:r/>
            <w:r>
              <w:rPr>
                <w:rFonts w:ascii="Aptos" w:hAnsi="Aptos"/>
                <w:b w:val="0"/>
                <w:sz w:val="18"/>
              </w:rPr>
              <w:t>Cross-Product Insights</w:t>
            </w:r>
          </w:p>
        </w:tc>
        <w:tc>
          <w:tcPr>
            <w:tcW w:type="dxa" w:w="2556"/>
            <w:vAlign w:val="center"/>
          </w:tcPr>
          <w:p>
            <w:r/>
            <w:r>
              <w:rPr>
                <w:rFonts w:ascii="Aptos" w:hAnsi="Aptos"/>
                <w:b w:val="0"/>
                <w:sz w:val="18"/>
              </w:rPr>
              <w:t>Beacon shall surface selected executive insights across the portfolio without duplicating the full product experience.</w:t>
            </w:r>
          </w:p>
        </w:tc>
        <w:tc>
          <w:tcPr>
            <w:tcW w:type="dxa" w:w="2556"/>
            <w:vAlign w:val="center"/>
          </w:tcPr>
          <w:p>
            <w:r/>
            <w:r>
              <w:rPr>
                <w:rFonts w:ascii="Aptos" w:hAnsi="Aptos"/>
                <w:b w:val="0"/>
                <w:sz w:val="18"/>
              </w:rPr>
              <w:t>Should</w:t>
            </w:r>
          </w:p>
        </w:tc>
      </w:tr>
      <w:tr>
        <w:tc>
          <w:tcPr>
            <w:tcW w:type="dxa" w:w="2556"/>
            <w:vAlign w:val="center"/>
          </w:tcPr>
          <w:p>
            <w:r/>
            <w:r>
              <w:rPr>
                <w:rFonts w:ascii="Aptos" w:hAnsi="Aptos"/>
                <w:b w:val="0"/>
                <w:sz w:val="18"/>
              </w:rPr>
              <w:t>FR-016</w:t>
            </w:r>
          </w:p>
        </w:tc>
        <w:tc>
          <w:tcPr>
            <w:tcW w:type="dxa" w:w="2556"/>
            <w:vAlign w:val="center"/>
          </w:tcPr>
          <w:p>
            <w:r/>
            <w:r>
              <w:rPr>
                <w:rFonts w:ascii="Aptos" w:hAnsi="Aptos"/>
                <w:b w:val="0"/>
                <w:sz w:val="18"/>
              </w:rPr>
              <w:t>Notifications</w:t>
            </w:r>
          </w:p>
        </w:tc>
        <w:tc>
          <w:tcPr>
            <w:tcW w:type="dxa" w:w="2556"/>
            <w:vAlign w:val="center"/>
          </w:tcPr>
          <w:p>
            <w:r/>
            <w:r>
              <w:rPr>
                <w:rFonts w:ascii="Aptos" w:hAnsi="Aptos"/>
                <w:b w:val="0"/>
                <w:sz w:val="18"/>
              </w:rPr>
              <w:t>Beacon shall present actionable notifications relating to subscriptions, access, product status and important reports.</w:t>
            </w:r>
          </w:p>
        </w:tc>
        <w:tc>
          <w:tcPr>
            <w:tcW w:type="dxa" w:w="2556"/>
            <w:vAlign w:val="center"/>
          </w:tcPr>
          <w:p>
            <w:r/>
            <w:r>
              <w:rPr>
                <w:rFonts w:ascii="Aptos" w:hAnsi="Aptos"/>
                <w:b w:val="0"/>
                <w:sz w:val="18"/>
              </w:rPr>
              <w:t>Should</w:t>
            </w:r>
          </w:p>
        </w:tc>
      </w:tr>
      <w:tr>
        <w:tc>
          <w:tcPr>
            <w:tcW w:type="dxa" w:w="2556"/>
            <w:vAlign w:val="center"/>
          </w:tcPr>
          <w:p>
            <w:r/>
            <w:r>
              <w:rPr>
                <w:rFonts w:ascii="Aptos" w:hAnsi="Aptos"/>
                <w:b w:val="0"/>
                <w:sz w:val="18"/>
              </w:rPr>
              <w:t>FR-017</w:t>
            </w:r>
          </w:p>
        </w:tc>
        <w:tc>
          <w:tcPr>
            <w:tcW w:type="dxa" w:w="2556"/>
            <w:vAlign w:val="center"/>
          </w:tcPr>
          <w:p>
            <w:r/>
            <w:r>
              <w:rPr>
                <w:rFonts w:ascii="Aptos" w:hAnsi="Aptos"/>
                <w:b w:val="0"/>
                <w:sz w:val="18"/>
              </w:rPr>
              <w:t>Administration</w:t>
            </w:r>
          </w:p>
        </w:tc>
        <w:tc>
          <w:tcPr>
            <w:tcW w:type="dxa" w:w="2556"/>
            <w:vAlign w:val="center"/>
          </w:tcPr>
          <w:p>
            <w:r/>
            <w:r>
              <w:rPr>
                <w:rFonts w:ascii="Aptos" w:hAnsi="Aptos"/>
                <w:b w:val="0"/>
                <w:sz w:val="18"/>
              </w:rPr>
              <w:t>Authorised customer administrators shall be able to manage user access to products and content.</w:t>
            </w:r>
          </w:p>
        </w:tc>
        <w:tc>
          <w:tcPr>
            <w:tcW w:type="dxa" w:w="2556"/>
            <w:vAlign w:val="center"/>
          </w:tcPr>
          <w:p>
            <w:r/>
            <w:r>
              <w:rPr>
                <w:rFonts w:ascii="Aptos" w:hAnsi="Aptos"/>
                <w:b w:val="0"/>
                <w:sz w:val="18"/>
              </w:rPr>
              <w:t>Must</w:t>
            </w:r>
          </w:p>
        </w:tc>
      </w:tr>
      <w:tr>
        <w:tc>
          <w:tcPr>
            <w:tcW w:type="dxa" w:w="2556"/>
            <w:vAlign w:val="center"/>
          </w:tcPr>
          <w:p>
            <w:r/>
            <w:r>
              <w:rPr>
                <w:rFonts w:ascii="Aptos" w:hAnsi="Aptos"/>
                <w:b w:val="0"/>
                <w:sz w:val="18"/>
              </w:rPr>
              <w:t>FR-018</w:t>
            </w:r>
          </w:p>
        </w:tc>
        <w:tc>
          <w:tcPr>
            <w:tcW w:type="dxa" w:w="2556"/>
            <w:vAlign w:val="center"/>
          </w:tcPr>
          <w:p>
            <w:r/>
            <w:r>
              <w:rPr>
                <w:rFonts w:ascii="Aptos" w:hAnsi="Aptos"/>
                <w:b w:val="0"/>
                <w:sz w:val="18"/>
              </w:rPr>
              <w:t>Access Control</w:t>
            </w:r>
          </w:p>
        </w:tc>
        <w:tc>
          <w:tcPr>
            <w:tcW w:type="dxa" w:w="2556"/>
            <w:vAlign w:val="center"/>
          </w:tcPr>
          <w:p>
            <w:r/>
            <w:r>
              <w:rPr>
                <w:rFonts w:ascii="Aptos" w:hAnsi="Aptos"/>
                <w:b w:val="0"/>
                <w:sz w:val="18"/>
              </w:rPr>
              <w:t>All product and content visibility shall respect customer, user, role and entitlement permissions.</w:t>
            </w:r>
          </w:p>
        </w:tc>
        <w:tc>
          <w:tcPr>
            <w:tcW w:type="dxa" w:w="2556"/>
            <w:vAlign w:val="center"/>
          </w:tcPr>
          <w:p>
            <w:r/>
            <w:r>
              <w:rPr>
                <w:rFonts w:ascii="Aptos" w:hAnsi="Aptos"/>
                <w:b w:val="0"/>
                <w:sz w:val="18"/>
              </w:rPr>
              <w:t>Must</w:t>
            </w:r>
          </w:p>
        </w:tc>
      </w:tr>
      <w:tr>
        <w:tc>
          <w:tcPr>
            <w:tcW w:type="dxa" w:w="2556"/>
            <w:vAlign w:val="center"/>
          </w:tcPr>
          <w:p>
            <w:r/>
            <w:r>
              <w:rPr>
                <w:rFonts w:ascii="Aptos" w:hAnsi="Aptos"/>
                <w:b w:val="0"/>
                <w:sz w:val="18"/>
              </w:rPr>
              <w:t>FR-019</w:t>
            </w:r>
          </w:p>
        </w:tc>
        <w:tc>
          <w:tcPr>
            <w:tcW w:type="dxa" w:w="2556"/>
            <w:vAlign w:val="center"/>
          </w:tcPr>
          <w:p>
            <w:r/>
            <w:r>
              <w:rPr>
                <w:rFonts w:ascii="Aptos" w:hAnsi="Aptos"/>
                <w:b w:val="0"/>
                <w:sz w:val="18"/>
              </w:rPr>
              <w:t>Audit</w:t>
            </w:r>
          </w:p>
        </w:tc>
        <w:tc>
          <w:tcPr>
            <w:tcW w:type="dxa" w:w="2556"/>
            <w:vAlign w:val="center"/>
          </w:tcPr>
          <w:p>
            <w:r/>
            <w:r>
              <w:rPr>
                <w:rFonts w:ascii="Aptos" w:hAnsi="Aptos"/>
                <w:b w:val="0"/>
                <w:sz w:val="18"/>
              </w:rPr>
              <w:t>Material access and administration actions shall be auditable.</w:t>
            </w:r>
          </w:p>
        </w:tc>
        <w:tc>
          <w:tcPr>
            <w:tcW w:type="dxa" w:w="2556"/>
            <w:vAlign w:val="center"/>
          </w:tcPr>
          <w:p>
            <w:r/>
            <w:r>
              <w:rPr>
                <w:rFonts w:ascii="Aptos" w:hAnsi="Aptos"/>
                <w:b w:val="0"/>
                <w:sz w:val="18"/>
              </w:rPr>
              <w:t>Must</w:t>
            </w:r>
          </w:p>
        </w:tc>
      </w:tr>
      <w:tr>
        <w:tc>
          <w:tcPr>
            <w:tcW w:type="dxa" w:w="2556"/>
            <w:vAlign w:val="center"/>
          </w:tcPr>
          <w:p>
            <w:r/>
            <w:r>
              <w:rPr>
                <w:rFonts w:ascii="Aptos" w:hAnsi="Aptos"/>
                <w:b w:val="0"/>
                <w:sz w:val="18"/>
              </w:rPr>
              <w:t>FR-020</w:t>
            </w:r>
          </w:p>
        </w:tc>
        <w:tc>
          <w:tcPr>
            <w:tcW w:type="dxa" w:w="2556"/>
            <w:vAlign w:val="center"/>
          </w:tcPr>
          <w:p>
            <w:r/>
            <w:r>
              <w:rPr>
                <w:rFonts w:ascii="Aptos" w:hAnsi="Aptos"/>
                <w:b w:val="0"/>
                <w:sz w:val="18"/>
              </w:rPr>
              <w:t>Responsive UX</w:t>
            </w:r>
          </w:p>
        </w:tc>
        <w:tc>
          <w:tcPr>
            <w:tcW w:type="dxa" w:w="2556"/>
            <w:vAlign w:val="center"/>
          </w:tcPr>
          <w:p>
            <w:r/>
            <w:r>
              <w:rPr>
                <w:rFonts w:ascii="Aptos" w:hAnsi="Aptos"/>
                <w:b w:val="0"/>
                <w:sz w:val="18"/>
              </w:rPr>
              <w:t>The central hub shall support desktop and tablet layouts; mobile support should be considered for a later phase.</w:t>
            </w:r>
          </w:p>
        </w:tc>
        <w:tc>
          <w:tcPr>
            <w:tcW w:type="dxa" w:w="2556"/>
            <w:vAlign w:val="center"/>
          </w:tcPr>
          <w:p>
            <w:r/>
            <w:r>
              <w:rPr>
                <w:rFonts w:ascii="Aptos" w:hAnsi="Aptos"/>
                <w:b w:val="0"/>
                <w:sz w:val="18"/>
              </w:rPr>
              <w:t>Should</w:t>
            </w:r>
          </w:p>
        </w:tc>
      </w:tr>
    </w:tbl>
    <w:p>
      <w:pPr>
        <w:pStyle w:val="Heading1"/>
      </w:pPr>
      <w:r>
        <w:t>7. Beacon Home / Overview Requirements</w:t>
      </w:r>
    </w:p>
    <w:p>
      <w:pPr>
        <w:pStyle w:val="ListBullet"/>
      </w:pPr>
      <w:r>
        <w:t>Header: QUEDERA + Beacon identity, customer selector/context, notifications, help and user profile.</w:t>
      </w:r>
    </w:p>
    <w:p>
      <w:pPr>
        <w:pStyle w:val="ListBullet"/>
      </w:pPr>
      <w:r>
        <w:t>Portfolio summary: number of active products, subscriptions requiring attention and key portfolio actions.</w:t>
      </w:r>
    </w:p>
    <w:p>
      <w:pPr>
        <w:pStyle w:val="ListBullet"/>
      </w:pPr>
      <w:r>
        <w:t>Product cards: Pulse, Duet, Atlas and Beacon with product purpose, status, key metrics and primary action.</w:t>
      </w:r>
    </w:p>
    <w:p>
      <w:pPr>
        <w:pStyle w:val="ListBullet"/>
      </w:pPr>
      <w:r>
        <w:t>Action centre: renewal approaching, access request, report available, data quality issue or transition milestone.</w:t>
      </w:r>
    </w:p>
    <w:p>
      <w:pPr>
        <w:pStyle w:val="ListBullet"/>
      </w:pPr>
      <w:r>
        <w:t>Executive highlights: selected cross-product KPIs and trends.</w:t>
      </w:r>
    </w:p>
    <w:p>
      <w:pPr>
        <w:pStyle w:val="ListBullet"/>
      </w:pPr>
      <w:r>
        <w:t>Recent content: recently viewed dashboards/reports.</w:t>
      </w:r>
    </w:p>
    <w:p>
      <w:pPr>
        <w:pStyle w:val="ListBullet"/>
      </w:pPr>
      <w:r>
        <w:t>Favourites: user-selected products and reporting content.</w:t>
      </w:r>
    </w:p>
    <w:p>
      <w:pPr>
        <w:pStyle w:val="ListBullet"/>
      </w:pPr>
      <w:r>
        <w:t>Quick links: Reports &amp; Dashboards, Products, Subscriptions and Administration.</w:t>
      </w:r>
    </w:p>
    <w:p>
      <w:pPr>
        <w:pStyle w:val="Heading1"/>
      </w:pPr>
      <w:r>
        <w:t>8. Product Detail Requirements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F1F8"/>
          </w:tcPr>
          <w:p>
            <w:r/>
            <w:r>
              <w:rPr>
                <w:rFonts w:ascii="Aptos" w:hAnsi="Aptos"/>
                <w:b/>
                <w:sz w:val="18"/>
              </w:rPr>
              <w:t>Section</w:t>
            </w:r>
          </w:p>
        </w:tc>
        <w:tc>
          <w:tcPr>
            <w:tcW w:type="dxa" w:w="5112"/>
            <w:vAlign w:val="center"/>
            <w:shd w:fill="EAF1F8"/>
          </w:tcPr>
          <w:p>
            <w:r/>
            <w:r>
              <w:rPr>
                <w:rFonts w:ascii="Aptos" w:hAnsi="Aptos"/>
                <w:b/>
                <w:sz w:val="18"/>
              </w:rPr>
              <w:t>Example content</w:t>
            </w:r>
          </w:p>
        </w:tc>
      </w:tr>
      <w:tr>
        <w:tc>
          <w:tcPr>
            <w:tcW w:type="dxa" w:w="5112"/>
            <w:vAlign w:val="center"/>
          </w:tcPr>
          <w:p>
            <w:r/>
            <w:r>
              <w:rPr>
                <w:rFonts w:ascii="Aptos" w:hAnsi="Aptos"/>
                <w:b w:val="0"/>
                <w:sz w:val="18"/>
              </w:rPr>
              <w:t>Identity</w:t>
            </w:r>
          </w:p>
        </w:tc>
        <w:tc>
          <w:tcPr>
            <w:tcW w:type="dxa" w:w="5112"/>
            <w:vAlign w:val="center"/>
          </w:tcPr>
          <w:p>
            <w:r/>
            <w:r>
              <w:rPr>
                <w:rFonts w:ascii="Aptos" w:hAnsi="Aptos"/>
                <w:b w:val="0"/>
                <w:sz w:val="18"/>
              </w:rPr>
              <w:t>QUEDERA Pulse / Duet / Atlas / Beacon, product description, iconography</w:t>
            </w:r>
          </w:p>
        </w:tc>
      </w:tr>
      <w:tr>
        <w:tc>
          <w:tcPr>
            <w:tcW w:type="dxa" w:w="5112"/>
            <w:vAlign w:val="center"/>
          </w:tcPr>
          <w:p>
            <w:r/>
            <w:r>
              <w:rPr>
                <w:rFonts w:ascii="Aptos" w:hAnsi="Aptos"/>
                <w:b w:val="0"/>
                <w:sz w:val="18"/>
              </w:rPr>
              <w:t>Status</w:t>
            </w:r>
          </w:p>
        </w:tc>
        <w:tc>
          <w:tcPr>
            <w:tcW w:type="dxa" w:w="5112"/>
            <w:vAlign w:val="center"/>
          </w:tcPr>
          <w:p>
            <w:r/>
            <w:r>
              <w:rPr>
                <w:rFonts w:ascii="Aptos" w:hAnsi="Aptos"/>
                <w:b w:val="0"/>
                <w:sz w:val="18"/>
              </w:rPr>
              <w:t>Active, Trial, Expiring, Suspended, Not Subscribed</w:t>
            </w:r>
          </w:p>
        </w:tc>
      </w:tr>
      <w:tr>
        <w:tc>
          <w:tcPr>
            <w:tcW w:type="dxa" w:w="5112"/>
            <w:vAlign w:val="center"/>
          </w:tcPr>
          <w:p>
            <w:r/>
            <w:r>
              <w:rPr>
                <w:rFonts w:ascii="Aptos" w:hAnsi="Aptos"/>
                <w:b w:val="0"/>
                <w:sz w:val="18"/>
              </w:rPr>
              <w:t>Subscription</w:t>
            </w:r>
          </w:p>
        </w:tc>
        <w:tc>
          <w:tcPr>
            <w:tcW w:type="dxa" w:w="5112"/>
            <w:vAlign w:val="center"/>
          </w:tcPr>
          <w:p>
            <w:r/>
            <w:r>
              <w:rPr>
                <w:rFonts w:ascii="Aptos" w:hAnsi="Aptos"/>
                <w:b w:val="0"/>
                <w:sz w:val="18"/>
              </w:rPr>
              <w:t>Plan, renewal date, entitlement summary</w:t>
            </w:r>
          </w:p>
        </w:tc>
      </w:tr>
      <w:tr>
        <w:tc>
          <w:tcPr>
            <w:tcW w:type="dxa" w:w="5112"/>
            <w:vAlign w:val="center"/>
          </w:tcPr>
          <w:p>
            <w:r/>
            <w:r>
              <w:rPr>
                <w:rFonts w:ascii="Aptos" w:hAnsi="Aptos"/>
                <w:b w:val="0"/>
                <w:sz w:val="18"/>
              </w:rPr>
              <w:t>Capabilities</w:t>
            </w:r>
          </w:p>
        </w:tc>
        <w:tc>
          <w:tcPr>
            <w:tcW w:type="dxa" w:w="5112"/>
            <w:vAlign w:val="center"/>
          </w:tcPr>
          <w:p>
            <w:r/>
            <w:r>
              <w:rPr>
                <w:rFonts w:ascii="Aptos" w:hAnsi="Aptos"/>
                <w:b w:val="0"/>
                <w:sz w:val="18"/>
              </w:rPr>
              <w:t>Modules/features included</w:t>
            </w:r>
          </w:p>
        </w:tc>
      </w:tr>
      <w:tr>
        <w:tc>
          <w:tcPr>
            <w:tcW w:type="dxa" w:w="5112"/>
            <w:vAlign w:val="center"/>
          </w:tcPr>
          <w:p>
            <w:r/>
            <w:r>
              <w:rPr>
                <w:rFonts w:ascii="Aptos" w:hAnsi="Aptos"/>
                <w:b w:val="0"/>
                <w:sz w:val="18"/>
              </w:rPr>
              <w:t>Users</w:t>
            </w:r>
          </w:p>
        </w:tc>
        <w:tc>
          <w:tcPr>
            <w:tcW w:type="dxa" w:w="5112"/>
            <w:vAlign w:val="center"/>
          </w:tcPr>
          <w:p>
            <w:r/>
            <w:r>
              <w:rPr>
                <w:rFonts w:ascii="Aptos" w:hAnsi="Aptos"/>
                <w:b w:val="0"/>
                <w:sz w:val="18"/>
              </w:rPr>
              <w:t>Assigned users and access level, subject to permissions</w:t>
            </w:r>
          </w:p>
        </w:tc>
      </w:tr>
      <w:tr>
        <w:tc>
          <w:tcPr>
            <w:tcW w:type="dxa" w:w="5112"/>
            <w:vAlign w:val="center"/>
          </w:tcPr>
          <w:p>
            <w:r/>
            <w:r>
              <w:rPr>
                <w:rFonts w:ascii="Aptos" w:hAnsi="Aptos"/>
                <w:b w:val="0"/>
                <w:sz w:val="18"/>
              </w:rPr>
              <w:t>Content</w:t>
            </w:r>
          </w:p>
        </w:tc>
        <w:tc>
          <w:tcPr>
            <w:tcW w:type="dxa" w:w="5112"/>
            <w:vAlign w:val="center"/>
          </w:tcPr>
          <w:p>
            <w:r/>
            <w:r>
              <w:rPr>
                <w:rFonts w:ascii="Aptos" w:hAnsi="Aptos"/>
                <w:b w:val="0"/>
                <w:sz w:val="18"/>
              </w:rPr>
              <w:t>Relevant dashboards, reports, scorecards and recent activity</w:t>
            </w:r>
          </w:p>
        </w:tc>
      </w:tr>
      <w:tr>
        <w:tc>
          <w:tcPr>
            <w:tcW w:type="dxa" w:w="5112"/>
            <w:vAlign w:val="center"/>
          </w:tcPr>
          <w:p>
            <w:r/>
            <w:r>
              <w:rPr>
                <w:rFonts w:ascii="Aptos" w:hAnsi="Aptos"/>
                <w:b w:val="0"/>
                <w:sz w:val="18"/>
              </w:rPr>
              <w:t>Health</w:t>
            </w:r>
          </w:p>
        </w:tc>
        <w:tc>
          <w:tcPr>
            <w:tcW w:type="dxa" w:w="5112"/>
            <w:vAlign w:val="center"/>
          </w:tcPr>
          <w:p>
            <w:r/>
            <w:r>
              <w:rPr>
                <w:rFonts w:ascii="Aptos" w:hAnsi="Aptos"/>
                <w:b w:val="0"/>
                <w:sz w:val="18"/>
              </w:rPr>
              <w:t>Product/service status where available</w:t>
            </w:r>
          </w:p>
        </w:tc>
      </w:tr>
      <w:tr>
        <w:tc>
          <w:tcPr>
            <w:tcW w:type="dxa" w:w="5112"/>
            <w:vAlign w:val="center"/>
          </w:tcPr>
          <w:p>
            <w:r/>
            <w:r>
              <w:rPr>
                <w:rFonts w:ascii="Aptos" w:hAnsi="Aptos"/>
                <w:b w:val="0"/>
                <w:sz w:val="18"/>
              </w:rPr>
              <w:t>Primary action</w:t>
            </w:r>
          </w:p>
        </w:tc>
        <w:tc>
          <w:tcPr>
            <w:tcW w:type="dxa" w:w="5112"/>
            <w:vAlign w:val="center"/>
          </w:tcPr>
          <w:p>
            <w:r/>
            <w:r>
              <w:rPr>
                <w:rFonts w:ascii="Aptos" w:hAnsi="Aptos"/>
                <w:b w:val="0"/>
                <w:sz w:val="18"/>
              </w:rPr>
              <w:t>Open Product / Manage Access / Contact QUEDERA</w:t>
            </w:r>
          </w:p>
        </w:tc>
      </w:tr>
    </w:tbl>
    <w:p>
      <w:pPr>
        <w:pStyle w:val="Heading1"/>
      </w:pPr>
      <w:r>
        <w:t>9. Subscription Centre Requirements</w:t>
      </w:r>
    </w:p>
    <w:p>
      <w:r>
        <w:t>The Subscription Centre should provide a single commercial and entitlement view rather than requiring a customer administrator to visit each product separately.</w:t>
      </w:r>
    </w:p>
    <w:p>
      <w:pPr>
        <w:pStyle w:val="ListBullet"/>
      </w:pPr>
      <w:r>
        <w:t>List every subscription associated with the customer.</w:t>
      </w:r>
    </w:p>
    <w:p>
      <w:pPr>
        <w:pStyle w:val="ListBullet"/>
      </w:pPr>
      <w:r>
        <w:t>Show product, plan/tier, status, start date, renewal/end date and account owner.</w:t>
      </w:r>
    </w:p>
    <w:p>
      <w:pPr>
        <w:pStyle w:val="ListBullet"/>
      </w:pPr>
      <w:r>
        <w:t>Highlight subscriptions requiring attention.</w:t>
      </w:r>
    </w:p>
    <w:p>
      <w:pPr>
        <w:pStyle w:val="ListBullet"/>
      </w:pPr>
      <w:r>
        <w:t>Show included entitlements and consumption where supported by the source product.</w:t>
      </w:r>
    </w:p>
    <w:p>
      <w:pPr>
        <w:pStyle w:val="ListBullet"/>
      </w:pPr>
      <w:r>
        <w:t>Provide access to relevant product documentation or contact/support action.</w:t>
      </w:r>
    </w:p>
    <w:p>
      <w:pPr>
        <w:pStyle w:val="ListBullet"/>
      </w:pPr>
      <w:r>
        <w:t>Support role-based visibility so commercial information is not exposed to unauthorised users.</w:t>
      </w:r>
    </w:p>
    <w:p>
      <w:pPr>
        <w:pStyle w:val="Heading1"/>
      </w:pPr>
      <w:r>
        <w:t>10. Central Reports &amp; Dashboards Requirements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F1F8"/>
          </w:tcPr>
          <w:p>
            <w:r/>
            <w:r>
              <w:rPr>
                <w:rFonts w:ascii="Aptos" w:hAnsi="Aptos"/>
                <w:b/>
                <w:sz w:val="18"/>
              </w:rPr>
              <w:t>Capability</w:t>
            </w:r>
          </w:p>
        </w:tc>
        <w:tc>
          <w:tcPr>
            <w:tcW w:type="dxa" w:w="5112"/>
            <w:vAlign w:val="center"/>
            <w:shd w:fill="EAF1F8"/>
          </w:tcPr>
          <w:p>
            <w:r/>
            <w:r>
              <w:rPr>
                <w:rFonts w:ascii="Aptos" w:hAnsi="Aptos"/>
                <w:b/>
                <w:sz w:val="18"/>
              </w:rPr>
              <w:t>Requirement</w:t>
            </w:r>
          </w:p>
        </w:tc>
      </w:tr>
      <w:tr>
        <w:tc>
          <w:tcPr>
            <w:tcW w:type="dxa" w:w="5112"/>
            <w:vAlign w:val="center"/>
          </w:tcPr>
          <w:p>
            <w:r/>
            <w:r>
              <w:rPr>
                <w:rFonts w:ascii="Aptos" w:hAnsi="Aptos"/>
                <w:b w:val="0"/>
                <w:sz w:val="18"/>
              </w:rPr>
              <w:t>All Content</w:t>
            </w:r>
          </w:p>
        </w:tc>
        <w:tc>
          <w:tcPr>
            <w:tcW w:type="dxa" w:w="5112"/>
            <w:vAlign w:val="center"/>
          </w:tcPr>
          <w:p>
            <w:r/>
            <w:r>
              <w:rPr>
                <w:rFonts w:ascii="Aptos" w:hAnsi="Aptos"/>
                <w:b w:val="0"/>
                <w:sz w:val="18"/>
              </w:rPr>
              <w:t>Unified view of dashboards, reports and scorecards from all entitled products.</w:t>
            </w:r>
          </w:p>
        </w:tc>
      </w:tr>
      <w:tr>
        <w:tc>
          <w:tcPr>
            <w:tcW w:type="dxa" w:w="5112"/>
            <w:vAlign w:val="center"/>
          </w:tcPr>
          <w:p>
            <w:r/>
            <w:r>
              <w:rPr>
                <w:rFonts w:ascii="Aptos" w:hAnsi="Aptos"/>
                <w:b w:val="0"/>
                <w:sz w:val="18"/>
              </w:rPr>
              <w:t>Product filter</w:t>
            </w:r>
          </w:p>
        </w:tc>
        <w:tc>
          <w:tcPr>
            <w:tcW w:type="dxa" w:w="5112"/>
            <w:vAlign w:val="center"/>
          </w:tcPr>
          <w:p>
            <w:r/>
            <w:r>
              <w:rPr>
                <w:rFonts w:ascii="Aptos" w:hAnsi="Aptos"/>
                <w:b w:val="0"/>
                <w:sz w:val="18"/>
              </w:rPr>
              <w:t>Pulse / Duet / Atlas / Beacon.</w:t>
            </w:r>
          </w:p>
        </w:tc>
      </w:tr>
      <w:tr>
        <w:tc>
          <w:tcPr>
            <w:tcW w:type="dxa" w:w="5112"/>
            <w:vAlign w:val="center"/>
          </w:tcPr>
          <w:p>
            <w:r/>
            <w:r>
              <w:rPr>
                <w:rFonts w:ascii="Aptos" w:hAnsi="Aptos"/>
                <w:b w:val="0"/>
                <w:sz w:val="18"/>
              </w:rPr>
              <w:t>Content type</w:t>
            </w:r>
          </w:p>
        </w:tc>
        <w:tc>
          <w:tcPr>
            <w:tcW w:type="dxa" w:w="5112"/>
            <w:vAlign w:val="center"/>
          </w:tcPr>
          <w:p>
            <w:r/>
            <w:r>
              <w:rPr>
                <w:rFonts w:ascii="Aptos" w:hAnsi="Aptos"/>
                <w:b w:val="0"/>
                <w:sz w:val="18"/>
              </w:rPr>
              <w:t>Dashboard / Report / Scorecard / Executive Insight.</w:t>
            </w:r>
          </w:p>
        </w:tc>
      </w:tr>
      <w:tr>
        <w:tc>
          <w:tcPr>
            <w:tcW w:type="dxa" w:w="5112"/>
            <w:vAlign w:val="center"/>
          </w:tcPr>
          <w:p>
            <w:r/>
            <w:r>
              <w:rPr>
                <w:rFonts w:ascii="Aptos" w:hAnsi="Aptos"/>
                <w:b w:val="0"/>
                <w:sz w:val="18"/>
              </w:rPr>
              <w:t>Search</w:t>
            </w:r>
          </w:p>
        </w:tc>
        <w:tc>
          <w:tcPr>
            <w:tcW w:type="dxa" w:w="5112"/>
            <w:vAlign w:val="center"/>
          </w:tcPr>
          <w:p>
            <w:r/>
            <w:r>
              <w:rPr>
                <w:rFonts w:ascii="Aptos" w:hAnsi="Aptos"/>
                <w:b w:val="0"/>
                <w:sz w:val="18"/>
              </w:rPr>
              <w:t>Title, description and metadata.</w:t>
            </w:r>
          </w:p>
        </w:tc>
      </w:tr>
      <w:tr>
        <w:tc>
          <w:tcPr>
            <w:tcW w:type="dxa" w:w="5112"/>
            <w:vAlign w:val="center"/>
          </w:tcPr>
          <w:p>
            <w:r/>
            <w:r>
              <w:rPr>
                <w:rFonts w:ascii="Aptos" w:hAnsi="Aptos"/>
                <w:b w:val="0"/>
                <w:sz w:val="18"/>
              </w:rPr>
              <w:t>Sort</w:t>
            </w:r>
          </w:p>
        </w:tc>
        <w:tc>
          <w:tcPr>
            <w:tcW w:type="dxa" w:w="5112"/>
            <w:vAlign w:val="center"/>
          </w:tcPr>
          <w:p>
            <w:r/>
            <w:r>
              <w:rPr>
                <w:rFonts w:ascii="Aptos" w:hAnsi="Aptos"/>
                <w:b w:val="0"/>
                <w:sz w:val="18"/>
              </w:rPr>
              <w:t>Name, product, type, last updated and relevance.</w:t>
            </w:r>
          </w:p>
        </w:tc>
      </w:tr>
      <w:tr>
        <w:tc>
          <w:tcPr>
            <w:tcW w:type="dxa" w:w="5112"/>
            <w:vAlign w:val="center"/>
          </w:tcPr>
          <w:p>
            <w:r/>
            <w:r>
              <w:rPr>
                <w:rFonts w:ascii="Aptos" w:hAnsi="Aptos"/>
                <w:b w:val="0"/>
                <w:sz w:val="18"/>
              </w:rPr>
              <w:t>Actions</w:t>
            </w:r>
          </w:p>
        </w:tc>
        <w:tc>
          <w:tcPr>
            <w:tcW w:type="dxa" w:w="5112"/>
            <w:vAlign w:val="center"/>
          </w:tcPr>
          <w:p>
            <w:r/>
            <w:r>
              <w:rPr>
                <w:rFonts w:ascii="Aptos" w:hAnsi="Aptos"/>
                <w:b w:val="0"/>
                <w:sz w:val="18"/>
              </w:rPr>
              <w:t>Open, favourite, share where permitted, more actions.</w:t>
            </w:r>
          </w:p>
        </w:tc>
      </w:tr>
      <w:tr>
        <w:tc>
          <w:tcPr>
            <w:tcW w:type="dxa" w:w="5112"/>
            <w:vAlign w:val="center"/>
          </w:tcPr>
          <w:p>
            <w:r/>
            <w:r>
              <w:rPr>
                <w:rFonts w:ascii="Aptos" w:hAnsi="Aptos"/>
                <w:b w:val="0"/>
                <w:sz w:val="18"/>
              </w:rPr>
              <w:t>Product context</w:t>
            </w:r>
          </w:p>
        </w:tc>
        <w:tc>
          <w:tcPr>
            <w:tcW w:type="dxa" w:w="5112"/>
            <w:vAlign w:val="center"/>
          </w:tcPr>
          <w:p>
            <w:r/>
            <w:r>
              <w:rPr>
                <w:rFonts w:ascii="Aptos" w:hAnsi="Aptos"/>
                <w:b w:val="0"/>
                <w:sz w:val="18"/>
              </w:rPr>
              <w:t>Every item clearly identifies its originating product.</w:t>
            </w:r>
          </w:p>
        </w:tc>
      </w:tr>
      <w:tr>
        <w:tc>
          <w:tcPr>
            <w:tcW w:type="dxa" w:w="5112"/>
            <w:vAlign w:val="center"/>
          </w:tcPr>
          <w:p>
            <w:r/>
            <w:r>
              <w:rPr>
                <w:rFonts w:ascii="Aptos" w:hAnsi="Aptos"/>
                <w:b w:val="0"/>
                <w:sz w:val="18"/>
              </w:rPr>
              <w:t>Access</w:t>
            </w:r>
          </w:p>
        </w:tc>
        <w:tc>
          <w:tcPr>
            <w:tcW w:type="dxa" w:w="5112"/>
            <w:vAlign w:val="center"/>
          </w:tcPr>
          <w:p>
            <w:r/>
            <w:r>
              <w:rPr>
                <w:rFonts w:ascii="Aptos" w:hAnsi="Aptos"/>
                <w:b w:val="0"/>
                <w:sz w:val="18"/>
              </w:rPr>
              <w:t>Only show or open content the user is entitled to access.</w:t>
            </w:r>
          </w:p>
        </w:tc>
      </w:tr>
      <w:tr>
        <w:tc>
          <w:tcPr>
            <w:tcW w:type="dxa" w:w="5112"/>
            <w:vAlign w:val="center"/>
          </w:tcPr>
          <w:p>
            <w:r/>
            <w:r>
              <w:rPr>
                <w:rFonts w:ascii="Aptos" w:hAnsi="Aptos"/>
                <w:b w:val="0"/>
                <w:sz w:val="18"/>
              </w:rPr>
              <w:t>Freshness</w:t>
            </w:r>
          </w:p>
        </w:tc>
        <w:tc>
          <w:tcPr>
            <w:tcW w:type="dxa" w:w="5112"/>
            <w:vAlign w:val="center"/>
          </w:tcPr>
          <w:p>
            <w:r/>
            <w:r>
              <w:rPr>
                <w:rFonts w:ascii="Aptos" w:hAnsi="Aptos"/>
                <w:b w:val="0"/>
                <w:sz w:val="18"/>
              </w:rPr>
              <w:t>Display last updated date and, where relevant, data freshness.</w:t>
            </w:r>
          </w:p>
        </w:tc>
      </w:tr>
    </w:tbl>
    <w:p>
      <w:pPr>
        <w:pStyle w:val="Heading1"/>
      </w:pPr>
      <w:r>
        <w:t>11. UX &amp; Navigation Principles</w:t>
      </w:r>
    </w:p>
    <w:p>
      <w:pPr>
        <w:pStyle w:val="ListBullet"/>
      </w:pPr>
      <w:r>
        <w:t>Beacon should feel like a control centre, not a fifth operational product competing with Pulse, Duet or Atlas.</w:t>
      </w:r>
    </w:p>
    <w:p>
      <w:pPr>
        <w:pStyle w:val="ListBullet"/>
      </w:pPr>
      <w:r>
        <w:t>The global navigation should remain stable regardless of which product is selected.</w:t>
      </w:r>
    </w:p>
    <w:p>
      <w:pPr>
        <w:pStyle w:val="ListBullet"/>
      </w:pPr>
      <w:r>
        <w:t>Product identity should be visible at the point of discovery and access.</w:t>
      </w:r>
    </w:p>
    <w:p>
      <w:pPr>
        <w:pStyle w:val="ListBullet"/>
      </w:pPr>
      <w:r>
        <w:t>Use consistent card, table, filter, status and notification patterns across the hub.</w:t>
      </w:r>
    </w:p>
    <w:p>
      <w:pPr>
        <w:pStyle w:val="ListBullet"/>
      </w:pPr>
      <w:r>
        <w:t>Minimise duplicate navigation: once inside a product, users should experience that product's native workflow.</w:t>
      </w:r>
    </w:p>
    <w:p>
      <w:pPr>
        <w:pStyle w:val="ListBullet"/>
      </w:pPr>
      <w:r>
        <w:t>Always show the active customer context to prevent cross-customer confusion.</w:t>
      </w:r>
    </w:p>
    <w:p>
      <w:pPr>
        <w:pStyle w:val="ListBullet"/>
      </w:pPr>
      <w:r>
        <w:t>Important actions should be explicit and understandable without product-specific knowledge.</w:t>
      </w:r>
    </w:p>
    <w:p>
      <w:pPr>
        <w:pStyle w:val="Heading1"/>
      </w:pPr>
      <w:r>
        <w:t>12. Non-Functional Requirements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EAF1F8"/>
          </w:tcPr>
          <w:p>
            <w:r/>
            <w:r>
              <w:rPr>
                <w:rFonts w:ascii="Aptos" w:hAnsi="Aptos"/>
                <w:b/>
                <w:sz w:val="18"/>
              </w:rPr>
              <w:t>ID</w:t>
            </w:r>
          </w:p>
        </w:tc>
        <w:tc>
          <w:tcPr>
            <w:tcW w:type="dxa" w:w="3408"/>
            <w:vAlign w:val="center"/>
            <w:shd w:fill="EAF1F8"/>
          </w:tcPr>
          <w:p>
            <w:r/>
            <w:r>
              <w:rPr>
                <w:rFonts w:ascii="Aptos" w:hAnsi="Aptos"/>
                <w:b/>
                <w:sz w:val="18"/>
              </w:rPr>
              <w:t>Category</w:t>
            </w:r>
          </w:p>
        </w:tc>
        <w:tc>
          <w:tcPr>
            <w:tcW w:type="dxa" w:w="3408"/>
            <w:vAlign w:val="center"/>
            <w:shd w:fill="EAF1F8"/>
          </w:tcPr>
          <w:p>
            <w:r/>
            <w:r>
              <w:rPr>
                <w:rFonts w:ascii="Aptos" w:hAnsi="Aptos"/>
                <w:b/>
                <w:sz w:val="18"/>
              </w:rPr>
              <w:t>Requirement</w:t>
            </w:r>
          </w:p>
        </w:tc>
      </w:tr>
      <w:tr>
        <w:tc>
          <w:tcPr>
            <w:tcW w:type="dxa" w:w="3408"/>
            <w:vAlign w:val="center"/>
          </w:tcPr>
          <w:p>
            <w:r/>
            <w:r>
              <w:rPr>
                <w:rFonts w:ascii="Aptos" w:hAnsi="Aptos"/>
                <w:b w:val="0"/>
                <w:sz w:val="18"/>
              </w:rPr>
              <w:t>NFR-001</w:t>
            </w:r>
          </w:p>
        </w:tc>
        <w:tc>
          <w:tcPr>
            <w:tcW w:type="dxa" w:w="3408"/>
            <w:vAlign w:val="center"/>
          </w:tcPr>
          <w:p>
            <w:r/>
            <w:r>
              <w:rPr>
                <w:rFonts w:ascii="Aptos" w:hAnsi="Aptos"/>
                <w:b w:val="0"/>
                <w:sz w:val="18"/>
              </w:rPr>
              <w:t>Security</w:t>
            </w:r>
          </w:p>
        </w:tc>
        <w:tc>
          <w:tcPr>
            <w:tcW w:type="dxa" w:w="3408"/>
            <w:vAlign w:val="center"/>
          </w:tcPr>
          <w:p>
            <w:r/>
            <w:r>
              <w:rPr>
                <w:rFonts w:ascii="Aptos" w:hAnsi="Aptos"/>
                <w:b w:val="0"/>
                <w:sz w:val="18"/>
              </w:rPr>
              <w:t>All requests must enforce customer and user entitlement boundaries server-side.</w:t>
            </w:r>
          </w:p>
        </w:tc>
      </w:tr>
      <w:tr>
        <w:tc>
          <w:tcPr>
            <w:tcW w:type="dxa" w:w="3408"/>
            <w:vAlign w:val="center"/>
          </w:tcPr>
          <w:p>
            <w:r/>
            <w:r>
              <w:rPr>
                <w:rFonts w:ascii="Aptos" w:hAnsi="Aptos"/>
                <w:b w:val="0"/>
                <w:sz w:val="18"/>
              </w:rPr>
              <w:t>NFR-002</w:t>
            </w:r>
          </w:p>
        </w:tc>
        <w:tc>
          <w:tcPr>
            <w:tcW w:type="dxa" w:w="3408"/>
            <w:vAlign w:val="center"/>
          </w:tcPr>
          <w:p>
            <w:r/>
            <w:r>
              <w:rPr>
                <w:rFonts w:ascii="Aptos" w:hAnsi="Aptos"/>
                <w:b w:val="0"/>
                <w:sz w:val="18"/>
              </w:rPr>
              <w:t>Performance</w:t>
            </w:r>
          </w:p>
        </w:tc>
        <w:tc>
          <w:tcPr>
            <w:tcW w:type="dxa" w:w="3408"/>
            <w:vAlign w:val="center"/>
          </w:tcPr>
          <w:p>
            <w:r/>
            <w:r>
              <w:rPr>
                <w:rFonts w:ascii="Aptos" w:hAnsi="Aptos"/>
                <w:b w:val="0"/>
                <w:sz w:val="18"/>
              </w:rPr>
              <w:t>The Beacon home page should target a responsive initial experience and progressively load secondary content.</w:t>
            </w:r>
          </w:p>
        </w:tc>
      </w:tr>
      <w:tr>
        <w:tc>
          <w:tcPr>
            <w:tcW w:type="dxa" w:w="3408"/>
            <w:vAlign w:val="center"/>
          </w:tcPr>
          <w:p>
            <w:r/>
            <w:r>
              <w:rPr>
                <w:rFonts w:ascii="Aptos" w:hAnsi="Aptos"/>
                <w:b w:val="0"/>
                <w:sz w:val="18"/>
              </w:rPr>
              <w:t>NFR-003</w:t>
            </w:r>
          </w:p>
        </w:tc>
        <w:tc>
          <w:tcPr>
            <w:tcW w:type="dxa" w:w="3408"/>
            <w:vAlign w:val="center"/>
          </w:tcPr>
          <w:p>
            <w:r/>
            <w:r>
              <w:rPr>
                <w:rFonts w:ascii="Aptos" w:hAnsi="Aptos"/>
                <w:b w:val="0"/>
                <w:sz w:val="18"/>
              </w:rPr>
              <w:t>Availability</w:t>
            </w:r>
          </w:p>
        </w:tc>
        <w:tc>
          <w:tcPr>
            <w:tcW w:type="dxa" w:w="3408"/>
            <w:vAlign w:val="center"/>
          </w:tcPr>
          <w:p>
            <w:r/>
            <w:r>
              <w:rPr>
                <w:rFonts w:ascii="Aptos" w:hAnsi="Aptos"/>
                <w:b w:val="0"/>
                <w:sz w:val="18"/>
              </w:rPr>
              <w:t>The hub should meet the agreed QUEDERA SaaS availability target.</w:t>
            </w:r>
          </w:p>
        </w:tc>
      </w:tr>
      <w:tr>
        <w:tc>
          <w:tcPr>
            <w:tcW w:type="dxa" w:w="3408"/>
            <w:vAlign w:val="center"/>
          </w:tcPr>
          <w:p>
            <w:r/>
            <w:r>
              <w:rPr>
                <w:rFonts w:ascii="Aptos" w:hAnsi="Aptos"/>
                <w:b w:val="0"/>
                <w:sz w:val="18"/>
              </w:rPr>
              <w:t>NFR-004</w:t>
            </w:r>
          </w:p>
        </w:tc>
        <w:tc>
          <w:tcPr>
            <w:tcW w:type="dxa" w:w="3408"/>
            <w:vAlign w:val="center"/>
          </w:tcPr>
          <w:p>
            <w:r/>
            <w:r>
              <w:rPr>
                <w:rFonts w:ascii="Aptos" w:hAnsi="Aptos"/>
                <w:b w:val="0"/>
                <w:sz w:val="18"/>
              </w:rPr>
              <w:t>Accessibility</w:t>
            </w:r>
          </w:p>
        </w:tc>
        <w:tc>
          <w:tcPr>
            <w:tcW w:type="dxa" w:w="3408"/>
            <w:vAlign w:val="center"/>
          </w:tcPr>
          <w:p>
            <w:r/>
            <w:r>
              <w:rPr>
                <w:rFonts w:ascii="Aptos" w:hAnsi="Aptos"/>
                <w:b w:val="0"/>
                <w:sz w:val="18"/>
              </w:rPr>
              <w:t>Target WCAG 2.2 AA for core customer journeys.</w:t>
            </w:r>
          </w:p>
        </w:tc>
      </w:tr>
      <w:tr>
        <w:tc>
          <w:tcPr>
            <w:tcW w:type="dxa" w:w="3408"/>
            <w:vAlign w:val="center"/>
          </w:tcPr>
          <w:p>
            <w:r/>
            <w:r>
              <w:rPr>
                <w:rFonts w:ascii="Aptos" w:hAnsi="Aptos"/>
                <w:b w:val="0"/>
                <w:sz w:val="18"/>
              </w:rPr>
              <w:t>NFR-005</w:t>
            </w:r>
          </w:p>
        </w:tc>
        <w:tc>
          <w:tcPr>
            <w:tcW w:type="dxa" w:w="3408"/>
            <w:vAlign w:val="center"/>
          </w:tcPr>
          <w:p>
            <w:r/>
            <w:r>
              <w:rPr>
                <w:rFonts w:ascii="Aptos" w:hAnsi="Aptos"/>
                <w:b w:val="0"/>
                <w:sz w:val="18"/>
              </w:rPr>
              <w:t>Auditability</w:t>
            </w:r>
          </w:p>
        </w:tc>
        <w:tc>
          <w:tcPr>
            <w:tcW w:type="dxa" w:w="3408"/>
            <w:vAlign w:val="center"/>
          </w:tcPr>
          <w:p>
            <w:r/>
            <w:r>
              <w:rPr>
                <w:rFonts w:ascii="Aptos" w:hAnsi="Aptos"/>
                <w:b w:val="0"/>
                <w:sz w:val="18"/>
              </w:rPr>
              <w:t>Administrative and access-sensitive actions must generate audit records.</w:t>
            </w:r>
          </w:p>
        </w:tc>
      </w:tr>
      <w:tr>
        <w:tc>
          <w:tcPr>
            <w:tcW w:type="dxa" w:w="3408"/>
            <w:vAlign w:val="center"/>
          </w:tcPr>
          <w:p>
            <w:r/>
            <w:r>
              <w:rPr>
                <w:rFonts w:ascii="Aptos" w:hAnsi="Aptos"/>
                <w:b w:val="0"/>
                <w:sz w:val="18"/>
              </w:rPr>
              <w:t>NFR-006</w:t>
            </w:r>
          </w:p>
        </w:tc>
        <w:tc>
          <w:tcPr>
            <w:tcW w:type="dxa" w:w="3408"/>
            <w:vAlign w:val="center"/>
          </w:tcPr>
          <w:p>
            <w:r/>
            <w:r>
              <w:rPr>
                <w:rFonts w:ascii="Aptos" w:hAnsi="Aptos"/>
                <w:b w:val="0"/>
                <w:sz w:val="18"/>
              </w:rPr>
              <w:t>Scalability</w:t>
            </w:r>
          </w:p>
        </w:tc>
        <w:tc>
          <w:tcPr>
            <w:tcW w:type="dxa" w:w="3408"/>
            <w:vAlign w:val="center"/>
          </w:tcPr>
          <w:p>
            <w:r/>
            <w:r>
              <w:rPr>
                <w:rFonts w:ascii="Aptos" w:hAnsi="Aptos"/>
                <w:b w:val="0"/>
                <w:sz w:val="18"/>
              </w:rPr>
              <w:t>Architecture must support adding future QUEDERA products without redesigning the core information architecture.</w:t>
            </w:r>
          </w:p>
        </w:tc>
      </w:tr>
      <w:tr>
        <w:tc>
          <w:tcPr>
            <w:tcW w:type="dxa" w:w="3408"/>
            <w:vAlign w:val="center"/>
          </w:tcPr>
          <w:p>
            <w:r/>
            <w:r>
              <w:rPr>
                <w:rFonts w:ascii="Aptos" w:hAnsi="Aptos"/>
                <w:b w:val="0"/>
                <w:sz w:val="18"/>
              </w:rPr>
              <w:t>NFR-007</w:t>
            </w:r>
          </w:p>
        </w:tc>
        <w:tc>
          <w:tcPr>
            <w:tcW w:type="dxa" w:w="3408"/>
            <w:vAlign w:val="center"/>
          </w:tcPr>
          <w:p>
            <w:r/>
            <w:r>
              <w:rPr>
                <w:rFonts w:ascii="Aptos" w:hAnsi="Aptos"/>
                <w:b w:val="0"/>
                <w:sz w:val="18"/>
              </w:rPr>
              <w:t>Observability</w:t>
            </w:r>
          </w:p>
        </w:tc>
        <w:tc>
          <w:tcPr>
            <w:tcW w:type="dxa" w:w="3408"/>
            <w:vAlign w:val="center"/>
          </w:tcPr>
          <w:p>
            <w:r/>
            <w:r>
              <w:rPr>
                <w:rFonts w:ascii="Aptos" w:hAnsi="Aptos"/>
                <w:b w:val="0"/>
                <w:sz w:val="18"/>
              </w:rPr>
              <w:t>Product integrations and content synchronisation failures must be detectable and diagnosable.</w:t>
            </w:r>
          </w:p>
        </w:tc>
      </w:tr>
      <w:tr>
        <w:tc>
          <w:tcPr>
            <w:tcW w:type="dxa" w:w="3408"/>
            <w:vAlign w:val="center"/>
          </w:tcPr>
          <w:p>
            <w:r/>
            <w:r>
              <w:rPr>
                <w:rFonts w:ascii="Aptos" w:hAnsi="Aptos"/>
                <w:b w:val="0"/>
                <w:sz w:val="18"/>
              </w:rPr>
              <w:t>NFR-008</w:t>
            </w:r>
          </w:p>
        </w:tc>
        <w:tc>
          <w:tcPr>
            <w:tcW w:type="dxa" w:w="3408"/>
            <w:vAlign w:val="center"/>
          </w:tcPr>
          <w:p>
            <w:r/>
            <w:r>
              <w:rPr>
                <w:rFonts w:ascii="Aptos" w:hAnsi="Aptos"/>
                <w:b w:val="0"/>
                <w:sz w:val="18"/>
              </w:rPr>
              <w:t>Data Integrity</w:t>
            </w:r>
          </w:p>
        </w:tc>
        <w:tc>
          <w:tcPr>
            <w:tcW w:type="dxa" w:w="3408"/>
            <w:vAlign w:val="center"/>
          </w:tcPr>
          <w:p>
            <w:r/>
            <w:r>
              <w:rPr>
                <w:rFonts w:ascii="Aptos" w:hAnsi="Aptos"/>
                <w:b w:val="0"/>
                <w:sz w:val="18"/>
              </w:rPr>
              <w:t>Subscription and entitlement status must have a defined authoritative source.</w:t>
            </w:r>
          </w:p>
        </w:tc>
      </w:tr>
    </w:tbl>
    <w:p>
      <w:pPr>
        <w:pStyle w:val="Heading1"/>
      </w:pPr>
      <w:r>
        <w:t>13. Integration &amp; Data Requirements</w:t>
      </w:r>
    </w:p>
    <w:p>
      <w:r>
        <w:t>Beacon should consume authoritative product and subscription metadata through well-defined service interfaces. The hub should not become the system of record for operational data owned by Pulse, Duet or Atlas.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EAF1F8"/>
          </w:tcPr>
          <w:p>
            <w:r/>
            <w:r>
              <w:rPr>
                <w:rFonts w:ascii="Aptos" w:hAnsi="Aptos"/>
                <w:b/>
                <w:sz w:val="18"/>
              </w:rPr>
              <w:t>Domain</w:t>
            </w:r>
          </w:p>
        </w:tc>
        <w:tc>
          <w:tcPr>
            <w:tcW w:type="dxa" w:w="3408"/>
            <w:vAlign w:val="center"/>
            <w:shd w:fill="EAF1F8"/>
          </w:tcPr>
          <w:p>
            <w:r/>
            <w:r>
              <w:rPr>
                <w:rFonts w:ascii="Aptos" w:hAnsi="Aptos"/>
                <w:b/>
                <w:sz w:val="18"/>
              </w:rPr>
              <w:t>System of record</w:t>
            </w:r>
          </w:p>
        </w:tc>
        <w:tc>
          <w:tcPr>
            <w:tcW w:type="dxa" w:w="3408"/>
            <w:vAlign w:val="center"/>
            <w:shd w:fill="EAF1F8"/>
          </w:tcPr>
          <w:p>
            <w:r/>
            <w:r>
              <w:rPr>
                <w:rFonts w:ascii="Aptos" w:hAnsi="Aptos"/>
                <w:b/>
                <w:sz w:val="18"/>
              </w:rPr>
              <w:t>Beacon responsibility</w:t>
            </w:r>
          </w:p>
        </w:tc>
      </w:tr>
      <w:tr>
        <w:tc>
          <w:tcPr>
            <w:tcW w:type="dxa" w:w="3408"/>
            <w:vAlign w:val="center"/>
          </w:tcPr>
          <w:p>
            <w:r/>
            <w:r>
              <w:rPr>
                <w:rFonts w:ascii="Aptos" w:hAnsi="Aptos"/>
                <w:b w:val="0"/>
                <w:sz w:val="18"/>
              </w:rPr>
              <w:t>Product catalogue</w:t>
            </w:r>
          </w:p>
        </w:tc>
        <w:tc>
          <w:tcPr>
            <w:tcW w:type="dxa" w:w="3408"/>
            <w:vAlign w:val="center"/>
          </w:tcPr>
          <w:p>
            <w:r/>
            <w:r>
              <w:rPr>
                <w:rFonts w:ascii="Aptos" w:hAnsi="Aptos"/>
                <w:b w:val="0"/>
                <w:sz w:val="18"/>
              </w:rPr>
              <w:t>QUEDERA platform service</w:t>
            </w:r>
          </w:p>
        </w:tc>
        <w:tc>
          <w:tcPr>
            <w:tcW w:type="dxa" w:w="3408"/>
            <w:vAlign w:val="center"/>
          </w:tcPr>
          <w:p>
            <w:r/>
            <w:r>
              <w:rPr>
                <w:rFonts w:ascii="Aptos" w:hAnsi="Aptos"/>
                <w:b w:val="0"/>
                <w:sz w:val="18"/>
              </w:rPr>
              <w:t>Display product metadata and availability</w:t>
            </w:r>
          </w:p>
        </w:tc>
      </w:tr>
      <w:tr>
        <w:tc>
          <w:tcPr>
            <w:tcW w:type="dxa" w:w="3408"/>
            <w:vAlign w:val="center"/>
          </w:tcPr>
          <w:p>
            <w:r/>
            <w:r>
              <w:rPr>
                <w:rFonts w:ascii="Aptos" w:hAnsi="Aptos"/>
                <w:b w:val="0"/>
                <w:sz w:val="18"/>
              </w:rPr>
              <w:t>Subscriptions</w:t>
            </w:r>
          </w:p>
        </w:tc>
        <w:tc>
          <w:tcPr>
            <w:tcW w:type="dxa" w:w="3408"/>
            <w:vAlign w:val="center"/>
          </w:tcPr>
          <w:p>
            <w:r/>
            <w:r>
              <w:rPr>
                <w:rFonts w:ascii="Aptos" w:hAnsi="Aptos"/>
                <w:b w:val="0"/>
                <w:sz w:val="18"/>
              </w:rPr>
              <w:t>Subscription/commercial service</w:t>
            </w:r>
          </w:p>
        </w:tc>
        <w:tc>
          <w:tcPr>
            <w:tcW w:type="dxa" w:w="3408"/>
            <w:vAlign w:val="center"/>
          </w:tcPr>
          <w:p>
            <w:r/>
            <w:r>
              <w:rPr>
                <w:rFonts w:ascii="Aptos" w:hAnsi="Aptos"/>
                <w:b w:val="0"/>
                <w:sz w:val="18"/>
              </w:rPr>
              <w:t>Display status, dates and entitlements</w:t>
            </w:r>
          </w:p>
        </w:tc>
      </w:tr>
      <w:tr>
        <w:tc>
          <w:tcPr>
            <w:tcW w:type="dxa" w:w="3408"/>
            <w:vAlign w:val="center"/>
          </w:tcPr>
          <w:p>
            <w:r/>
            <w:r>
              <w:rPr>
                <w:rFonts w:ascii="Aptos" w:hAnsi="Aptos"/>
                <w:b w:val="0"/>
                <w:sz w:val="18"/>
              </w:rPr>
              <w:t>Identity</w:t>
            </w:r>
          </w:p>
        </w:tc>
        <w:tc>
          <w:tcPr>
            <w:tcW w:type="dxa" w:w="3408"/>
            <w:vAlign w:val="center"/>
          </w:tcPr>
          <w:p>
            <w:r/>
            <w:r>
              <w:rPr>
                <w:rFonts w:ascii="Aptos" w:hAnsi="Aptos"/>
                <w:b w:val="0"/>
                <w:sz w:val="18"/>
              </w:rPr>
              <w:t>Enterprise identity service</w:t>
            </w:r>
          </w:p>
        </w:tc>
        <w:tc>
          <w:tcPr>
            <w:tcW w:type="dxa" w:w="3408"/>
            <w:vAlign w:val="center"/>
          </w:tcPr>
          <w:p>
            <w:r/>
            <w:r>
              <w:rPr>
                <w:rFonts w:ascii="Aptos" w:hAnsi="Aptos"/>
                <w:b w:val="0"/>
                <w:sz w:val="18"/>
              </w:rPr>
              <w:t>Authenticate and provide user identity</w:t>
            </w:r>
          </w:p>
        </w:tc>
      </w:tr>
      <w:tr>
        <w:tc>
          <w:tcPr>
            <w:tcW w:type="dxa" w:w="3408"/>
            <w:vAlign w:val="center"/>
          </w:tcPr>
          <w:p>
            <w:r/>
            <w:r>
              <w:rPr>
                <w:rFonts w:ascii="Aptos" w:hAnsi="Aptos"/>
                <w:b w:val="0"/>
                <w:sz w:val="18"/>
              </w:rPr>
              <w:t>Authorisation</w:t>
            </w:r>
          </w:p>
        </w:tc>
        <w:tc>
          <w:tcPr>
            <w:tcW w:type="dxa" w:w="3408"/>
            <w:vAlign w:val="center"/>
          </w:tcPr>
          <w:p>
            <w:r/>
            <w:r>
              <w:rPr>
                <w:rFonts w:ascii="Aptos" w:hAnsi="Aptos"/>
                <w:b w:val="0"/>
                <w:sz w:val="18"/>
              </w:rPr>
              <w:t>QUEDERA access-control service</w:t>
            </w:r>
          </w:p>
        </w:tc>
        <w:tc>
          <w:tcPr>
            <w:tcW w:type="dxa" w:w="3408"/>
            <w:vAlign w:val="center"/>
          </w:tcPr>
          <w:p>
            <w:r/>
            <w:r>
              <w:rPr>
                <w:rFonts w:ascii="Aptos" w:hAnsi="Aptos"/>
                <w:b w:val="0"/>
                <w:sz w:val="18"/>
              </w:rPr>
              <w:t>Enforce product/content permissions</w:t>
            </w:r>
          </w:p>
        </w:tc>
      </w:tr>
      <w:tr>
        <w:tc>
          <w:tcPr>
            <w:tcW w:type="dxa" w:w="3408"/>
            <w:vAlign w:val="center"/>
          </w:tcPr>
          <w:p>
            <w:r/>
            <w:r>
              <w:rPr>
                <w:rFonts w:ascii="Aptos" w:hAnsi="Aptos"/>
                <w:b w:val="0"/>
                <w:sz w:val="18"/>
              </w:rPr>
              <w:t>Pulse data</w:t>
            </w:r>
          </w:p>
        </w:tc>
        <w:tc>
          <w:tcPr>
            <w:tcW w:type="dxa" w:w="3408"/>
            <w:vAlign w:val="center"/>
          </w:tcPr>
          <w:p>
            <w:r/>
            <w:r>
              <w:rPr>
                <w:rFonts w:ascii="Aptos" w:hAnsi="Aptos"/>
                <w:b w:val="0"/>
                <w:sz w:val="18"/>
              </w:rPr>
              <w:t>QUEDERA Pulse</w:t>
            </w:r>
          </w:p>
        </w:tc>
        <w:tc>
          <w:tcPr>
            <w:tcW w:type="dxa" w:w="3408"/>
            <w:vAlign w:val="center"/>
          </w:tcPr>
          <w:p>
            <w:r/>
            <w:r>
              <w:rPr>
                <w:rFonts w:ascii="Aptos" w:hAnsi="Aptos"/>
                <w:b w:val="0"/>
                <w:sz w:val="18"/>
              </w:rPr>
              <w:t>Surface approved metrics/content</w:t>
            </w:r>
          </w:p>
        </w:tc>
      </w:tr>
      <w:tr>
        <w:tc>
          <w:tcPr>
            <w:tcW w:type="dxa" w:w="3408"/>
            <w:vAlign w:val="center"/>
          </w:tcPr>
          <w:p>
            <w:r/>
            <w:r>
              <w:rPr>
                <w:rFonts w:ascii="Aptos" w:hAnsi="Aptos"/>
                <w:b w:val="0"/>
                <w:sz w:val="18"/>
              </w:rPr>
              <w:t>Duet data</w:t>
            </w:r>
          </w:p>
        </w:tc>
        <w:tc>
          <w:tcPr>
            <w:tcW w:type="dxa" w:w="3408"/>
            <w:vAlign w:val="center"/>
          </w:tcPr>
          <w:p>
            <w:r/>
            <w:r>
              <w:rPr>
                <w:rFonts w:ascii="Aptos" w:hAnsi="Aptos"/>
                <w:b w:val="0"/>
                <w:sz w:val="18"/>
              </w:rPr>
              <w:t>QUEDERA Duet</w:t>
            </w:r>
          </w:p>
        </w:tc>
        <w:tc>
          <w:tcPr>
            <w:tcW w:type="dxa" w:w="3408"/>
            <w:vAlign w:val="center"/>
          </w:tcPr>
          <w:p>
            <w:r/>
            <w:r>
              <w:rPr>
                <w:rFonts w:ascii="Aptos" w:hAnsi="Aptos"/>
                <w:b w:val="0"/>
                <w:sz w:val="18"/>
              </w:rPr>
              <w:t>Surface approved metrics/content</w:t>
            </w:r>
          </w:p>
        </w:tc>
      </w:tr>
      <w:tr>
        <w:tc>
          <w:tcPr>
            <w:tcW w:type="dxa" w:w="3408"/>
            <w:vAlign w:val="center"/>
          </w:tcPr>
          <w:p>
            <w:r/>
            <w:r>
              <w:rPr>
                <w:rFonts w:ascii="Aptos" w:hAnsi="Aptos"/>
                <w:b w:val="0"/>
                <w:sz w:val="18"/>
              </w:rPr>
              <w:t>Atlas data</w:t>
            </w:r>
          </w:p>
        </w:tc>
        <w:tc>
          <w:tcPr>
            <w:tcW w:type="dxa" w:w="3408"/>
            <w:vAlign w:val="center"/>
          </w:tcPr>
          <w:p>
            <w:r/>
            <w:r>
              <w:rPr>
                <w:rFonts w:ascii="Aptos" w:hAnsi="Aptos"/>
                <w:b w:val="0"/>
                <w:sz w:val="18"/>
              </w:rPr>
              <w:t>QUEDERA Atlas</w:t>
            </w:r>
          </w:p>
        </w:tc>
        <w:tc>
          <w:tcPr>
            <w:tcW w:type="dxa" w:w="3408"/>
            <w:vAlign w:val="center"/>
          </w:tcPr>
          <w:p>
            <w:r/>
            <w:r>
              <w:rPr>
                <w:rFonts w:ascii="Aptos" w:hAnsi="Aptos"/>
                <w:b w:val="0"/>
                <w:sz w:val="18"/>
              </w:rPr>
              <w:t>Surface approved metrics/content</w:t>
            </w:r>
          </w:p>
        </w:tc>
      </w:tr>
      <w:tr>
        <w:tc>
          <w:tcPr>
            <w:tcW w:type="dxa" w:w="3408"/>
            <w:vAlign w:val="center"/>
          </w:tcPr>
          <w:p>
            <w:r/>
            <w:r>
              <w:rPr>
                <w:rFonts w:ascii="Aptos" w:hAnsi="Aptos"/>
                <w:b w:val="0"/>
                <w:sz w:val="18"/>
              </w:rPr>
              <w:t>Beacon data</w:t>
            </w:r>
          </w:p>
        </w:tc>
        <w:tc>
          <w:tcPr>
            <w:tcW w:type="dxa" w:w="3408"/>
            <w:vAlign w:val="center"/>
          </w:tcPr>
          <w:p>
            <w:r/>
            <w:r>
              <w:rPr>
                <w:rFonts w:ascii="Aptos" w:hAnsi="Aptos"/>
                <w:b w:val="0"/>
                <w:sz w:val="18"/>
              </w:rPr>
              <w:t>QUEDERA Beacon</w:t>
            </w:r>
          </w:p>
        </w:tc>
        <w:tc>
          <w:tcPr>
            <w:tcW w:type="dxa" w:w="3408"/>
            <w:vAlign w:val="center"/>
          </w:tcPr>
          <w:p>
            <w:r/>
            <w:r>
              <w:rPr>
                <w:rFonts w:ascii="Aptos" w:hAnsi="Aptos"/>
                <w:b w:val="0"/>
                <w:sz w:val="18"/>
              </w:rPr>
              <w:t>Own and render executive insights</w:t>
            </w:r>
          </w:p>
        </w:tc>
      </w:tr>
    </w:tbl>
    <w:p>
      <w:pPr>
        <w:pStyle w:val="Heading1"/>
      </w:pPr>
      <w:r>
        <w:t>14. MVP Acceptance Criteria</w:t>
      </w:r>
    </w:p>
    <w:p>
      <w:pPr>
        <w:pStyle w:val="ListBullet"/>
      </w:pPr>
      <w:r>
        <w:t>A customer can sign in and immediately see their QUEDERA product portfolio.</w:t>
      </w:r>
    </w:p>
    <w:p>
      <w:pPr>
        <w:pStyle w:val="ListBullet"/>
      </w:pPr>
      <w:r>
        <w:t>Pulse, Duet, Atlas and Beacon are presented consistently and retain recognisable product branding.</w:t>
      </w:r>
    </w:p>
    <w:p>
      <w:pPr>
        <w:pStyle w:val="ListBullet"/>
      </w:pPr>
      <w:r>
        <w:t>A user can identify which products they are entitled to access.</w:t>
      </w:r>
    </w:p>
    <w:p>
      <w:pPr>
        <w:pStyle w:val="ListBullet"/>
      </w:pPr>
      <w:r>
        <w:t>An authorised customer administrator can view consolidated subscription status.</w:t>
      </w:r>
    </w:p>
    <w:p>
      <w:pPr>
        <w:pStyle w:val="ListBullet"/>
      </w:pPr>
      <w:r>
        <w:t>A user can find a report/dashboard without knowing which product owns it.</w:t>
      </w:r>
    </w:p>
    <w:p>
      <w:pPr>
        <w:pStyle w:val="ListBullet"/>
      </w:pPr>
      <w:r>
        <w:t>A user can filter reporting content by product and content type.</w:t>
      </w:r>
    </w:p>
    <w:p>
      <w:pPr>
        <w:pStyle w:val="ListBullet"/>
      </w:pPr>
      <w:r>
        <w:t>A user can open an entitled report/dashboard and be taken to the correct product context.</w:t>
      </w:r>
    </w:p>
    <w:p>
      <w:pPr>
        <w:pStyle w:val="ListBullet"/>
      </w:pPr>
      <w:r>
        <w:t>Unauthorised users cannot access products or content through direct URLs or manipulated requests.</w:t>
      </w:r>
    </w:p>
    <w:p>
      <w:pPr>
        <w:pStyle w:val="ListBullet"/>
      </w:pPr>
      <w:r>
        <w:t>Subscription or product status requiring attention is clearly surfaced.</w:t>
      </w:r>
    </w:p>
    <w:p>
      <w:pPr>
        <w:pStyle w:val="ListBullet"/>
      </w:pPr>
      <w:r>
        <w:t>The architecture allows a future QUEDERA product to be added through configuration/integration rather than a fundamental navigation redesign.</w:t>
      </w:r>
    </w:p>
    <w:p>
      <w:pPr>
        <w:pStyle w:val="Heading1"/>
      </w:pPr>
      <w:r>
        <w:t>15. Recommended Delivery Phases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EAF1F8"/>
          </w:tcPr>
          <w:p>
            <w:r/>
            <w:r>
              <w:rPr>
                <w:rFonts w:ascii="Aptos" w:hAnsi="Aptos"/>
                <w:b/>
                <w:sz w:val="18"/>
              </w:rPr>
              <w:t>Phase</w:t>
            </w:r>
          </w:p>
        </w:tc>
        <w:tc>
          <w:tcPr>
            <w:tcW w:type="dxa" w:w="3408"/>
            <w:vAlign w:val="center"/>
            <w:shd w:fill="EAF1F8"/>
          </w:tcPr>
          <w:p>
            <w:r/>
            <w:r>
              <w:rPr>
                <w:rFonts w:ascii="Aptos" w:hAnsi="Aptos"/>
                <w:b/>
                <w:sz w:val="18"/>
              </w:rPr>
              <w:t>Focus</w:t>
            </w:r>
          </w:p>
        </w:tc>
        <w:tc>
          <w:tcPr>
            <w:tcW w:type="dxa" w:w="3408"/>
            <w:vAlign w:val="center"/>
            <w:shd w:fill="EAF1F8"/>
          </w:tcPr>
          <w:p>
            <w:r/>
            <w:r>
              <w:rPr>
                <w:rFonts w:ascii="Aptos" w:hAnsi="Aptos"/>
                <w:b/>
                <w:sz w:val="18"/>
              </w:rPr>
              <w:t>Outcome</w:t>
            </w:r>
          </w:p>
        </w:tc>
      </w:tr>
      <w:tr>
        <w:tc>
          <w:tcPr>
            <w:tcW w:type="dxa" w:w="3408"/>
            <w:vAlign w:val="center"/>
          </w:tcPr>
          <w:p>
            <w:r/>
            <w:r>
              <w:rPr>
                <w:rFonts w:ascii="Aptos" w:hAnsi="Aptos"/>
                <w:b w:val="0"/>
                <w:sz w:val="18"/>
              </w:rPr>
              <w:t>Phase 1 – Foundation</w:t>
            </w:r>
          </w:p>
        </w:tc>
        <w:tc>
          <w:tcPr>
            <w:tcW w:type="dxa" w:w="3408"/>
            <w:vAlign w:val="center"/>
          </w:tcPr>
          <w:p>
            <w:r/>
            <w:r>
              <w:rPr>
                <w:rFonts w:ascii="Aptos" w:hAnsi="Aptos"/>
                <w:b w:val="0"/>
                <w:sz w:val="18"/>
              </w:rPr>
              <w:t>Beacon shell, customer context, product catalogue, navigation, access control</w:t>
            </w:r>
          </w:p>
        </w:tc>
        <w:tc>
          <w:tcPr>
            <w:tcW w:type="dxa" w:w="3408"/>
            <w:vAlign w:val="center"/>
          </w:tcPr>
          <w:p>
            <w:r/>
            <w:r>
              <w:rPr>
                <w:rFonts w:ascii="Aptos" w:hAnsi="Aptos"/>
                <w:b w:val="0"/>
                <w:sz w:val="18"/>
              </w:rPr>
              <w:t>Single authenticated QUEDERA portfolio entry point</w:t>
            </w:r>
          </w:p>
        </w:tc>
      </w:tr>
      <w:tr>
        <w:tc>
          <w:tcPr>
            <w:tcW w:type="dxa" w:w="3408"/>
            <w:vAlign w:val="center"/>
          </w:tcPr>
          <w:p>
            <w:r/>
            <w:r>
              <w:rPr>
                <w:rFonts w:ascii="Aptos" w:hAnsi="Aptos"/>
                <w:b w:val="0"/>
                <w:sz w:val="18"/>
              </w:rPr>
              <w:t>Phase 2 – Reports Hub</w:t>
            </w:r>
          </w:p>
        </w:tc>
        <w:tc>
          <w:tcPr>
            <w:tcW w:type="dxa" w:w="3408"/>
            <w:vAlign w:val="center"/>
          </w:tcPr>
          <w:p>
            <w:r/>
            <w:r>
              <w:rPr>
                <w:rFonts w:ascii="Aptos" w:hAnsi="Aptos"/>
                <w:b w:val="0"/>
                <w:sz w:val="18"/>
              </w:rPr>
              <w:t>Central dashboards/reports, search, filtering, favourites, recent content</w:t>
            </w:r>
          </w:p>
        </w:tc>
        <w:tc>
          <w:tcPr>
            <w:tcW w:type="dxa" w:w="3408"/>
            <w:vAlign w:val="center"/>
          </w:tcPr>
          <w:p>
            <w:r/>
            <w:r>
              <w:rPr>
                <w:rFonts w:ascii="Aptos" w:hAnsi="Aptos"/>
                <w:b w:val="0"/>
                <w:sz w:val="18"/>
              </w:rPr>
              <w:t>One place to find all customer reporting</w:t>
            </w:r>
          </w:p>
        </w:tc>
      </w:tr>
      <w:tr>
        <w:tc>
          <w:tcPr>
            <w:tcW w:type="dxa" w:w="3408"/>
            <w:vAlign w:val="center"/>
          </w:tcPr>
          <w:p>
            <w:r/>
            <w:r>
              <w:rPr>
                <w:rFonts w:ascii="Aptos" w:hAnsi="Aptos"/>
                <w:b w:val="0"/>
                <w:sz w:val="18"/>
              </w:rPr>
              <w:t>Phase 3 – Subscriptions</w:t>
            </w:r>
          </w:p>
        </w:tc>
        <w:tc>
          <w:tcPr>
            <w:tcW w:type="dxa" w:w="3408"/>
            <w:vAlign w:val="center"/>
          </w:tcPr>
          <w:p>
            <w:r/>
            <w:r>
              <w:rPr>
                <w:rFonts w:ascii="Aptos" w:hAnsi="Aptos"/>
                <w:b w:val="0"/>
                <w:sz w:val="18"/>
              </w:rPr>
              <w:t>Plans, entitlement status, renewal dates, admin views</w:t>
            </w:r>
          </w:p>
        </w:tc>
        <w:tc>
          <w:tcPr>
            <w:tcW w:type="dxa" w:w="3408"/>
            <w:vAlign w:val="center"/>
          </w:tcPr>
          <w:p>
            <w:r/>
            <w:r>
              <w:rPr>
                <w:rFonts w:ascii="Aptos" w:hAnsi="Aptos"/>
                <w:b w:val="0"/>
                <w:sz w:val="18"/>
              </w:rPr>
              <w:t>Consolidated subscription centre</w:t>
            </w:r>
          </w:p>
        </w:tc>
      </w:tr>
      <w:tr>
        <w:tc>
          <w:tcPr>
            <w:tcW w:type="dxa" w:w="3408"/>
            <w:vAlign w:val="center"/>
          </w:tcPr>
          <w:p>
            <w:r/>
            <w:r>
              <w:rPr>
                <w:rFonts w:ascii="Aptos" w:hAnsi="Aptos"/>
                <w:b w:val="0"/>
                <w:sz w:val="18"/>
              </w:rPr>
              <w:t>Phase 4 – Insights</w:t>
            </w:r>
          </w:p>
        </w:tc>
        <w:tc>
          <w:tcPr>
            <w:tcW w:type="dxa" w:w="3408"/>
            <w:vAlign w:val="center"/>
          </w:tcPr>
          <w:p>
            <w:r/>
            <w:r>
              <w:rPr>
                <w:rFonts w:ascii="Aptos" w:hAnsi="Aptos"/>
                <w:b w:val="0"/>
                <w:sz w:val="18"/>
              </w:rPr>
              <w:t>Cross-product KPIs, action centre, executive portfolio view</w:t>
            </w:r>
          </w:p>
        </w:tc>
        <w:tc>
          <w:tcPr>
            <w:tcW w:type="dxa" w:w="3408"/>
            <w:vAlign w:val="center"/>
          </w:tcPr>
          <w:p>
            <w:r/>
            <w:r>
              <w:rPr>
                <w:rFonts w:ascii="Aptos" w:hAnsi="Aptos"/>
                <w:b w:val="0"/>
                <w:sz w:val="18"/>
              </w:rPr>
              <w:t>Beacon becomes portfolio intelligence layer</w:t>
            </w:r>
          </w:p>
        </w:tc>
      </w:tr>
      <w:tr>
        <w:tc>
          <w:tcPr>
            <w:tcW w:type="dxa" w:w="3408"/>
            <w:vAlign w:val="center"/>
          </w:tcPr>
          <w:p>
            <w:r/>
            <w:r>
              <w:rPr>
                <w:rFonts w:ascii="Aptos" w:hAnsi="Aptos"/>
                <w:b w:val="0"/>
                <w:sz w:val="18"/>
              </w:rPr>
              <w:t>Phase 5 – Optimisation</w:t>
            </w:r>
          </w:p>
        </w:tc>
        <w:tc>
          <w:tcPr>
            <w:tcW w:type="dxa" w:w="3408"/>
            <w:vAlign w:val="center"/>
          </w:tcPr>
          <w:p>
            <w:r/>
            <w:r>
              <w:rPr>
                <w:rFonts w:ascii="Aptos" w:hAnsi="Aptos"/>
                <w:b w:val="0"/>
                <w:sz w:val="18"/>
              </w:rPr>
              <w:t>Recommendations, usage analytics, advanced administration</w:t>
            </w:r>
          </w:p>
        </w:tc>
        <w:tc>
          <w:tcPr>
            <w:tcW w:type="dxa" w:w="3408"/>
            <w:vAlign w:val="center"/>
          </w:tcPr>
          <w:p>
            <w:r/>
            <w:r>
              <w:rPr>
                <w:rFonts w:ascii="Aptos" w:hAnsi="Aptos"/>
                <w:b w:val="0"/>
                <w:sz w:val="18"/>
              </w:rPr>
              <w:t>More proactive customer experience</w:t>
            </w:r>
          </w:p>
        </w:tc>
      </w:tr>
    </w:tbl>
    <w:p>
      <w:pPr>
        <w:pStyle w:val="Heading1"/>
      </w:pPr>
      <w:r>
        <w:t>16. Key Risks &amp; Decisions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F1F8"/>
          </w:tcPr>
          <w:p>
            <w:r/>
            <w:r>
              <w:rPr>
                <w:rFonts w:ascii="Aptos" w:hAnsi="Aptos"/>
                <w:b/>
                <w:sz w:val="18"/>
              </w:rPr>
              <w:t>Topic</w:t>
            </w:r>
          </w:p>
        </w:tc>
        <w:tc>
          <w:tcPr>
            <w:tcW w:type="dxa" w:w="5112"/>
            <w:vAlign w:val="center"/>
            <w:shd w:fill="EAF1F8"/>
          </w:tcPr>
          <w:p>
            <w:r/>
            <w:r>
              <w:rPr>
                <w:rFonts w:ascii="Aptos" w:hAnsi="Aptos"/>
                <w:b/>
                <w:sz w:val="18"/>
              </w:rPr>
              <w:t>Risk / decision required</w:t>
            </w:r>
          </w:p>
        </w:tc>
      </w:tr>
      <w:tr>
        <w:tc>
          <w:tcPr>
            <w:tcW w:type="dxa" w:w="5112"/>
            <w:vAlign w:val="center"/>
          </w:tcPr>
          <w:p>
            <w:r/>
            <w:r>
              <w:rPr>
                <w:rFonts w:ascii="Aptos" w:hAnsi="Aptos"/>
                <w:b w:val="0"/>
                <w:sz w:val="18"/>
              </w:rPr>
              <w:t>Brand hierarchy</w:t>
            </w:r>
          </w:p>
        </w:tc>
        <w:tc>
          <w:tcPr>
            <w:tcW w:type="dxa" w:w="5112"/>
            <w:vAlign w:val="center"/>
          </w:tcPr>
          <w:p>
            <w:r/>
            <w:r>
              <w:rPr>
                <w:rFonts w:ascii="Aptos" w:hAnsi="Aptos"/>
                <w:b w:val="0"/>
                <w:sz w:val="18"/>
              </w:rPr>
              <w:t>Confirm whether Beacon is the visible umbrella brand or simply the technology hosting the portfolio hub.</w:t>
            </w:r>
          </w:p>
        </w:tc>
      </w:tr>
      <w:tr>
        <w:tc>
          <w:tcPr>
            <w:tcW w:type="dxa" w:w="5112"/>
            <w:vAlign w:val="center"/>
          </w:tcPr>
          <w:p>
            <w:r/>
            <w:r>
              <w:rPr>
                <w:rFonts w:ascii="Aptos" w:hAnsi="Aptos"/>
                <w:b w:val="0"/>
                <w:sz w:val="18"/>
              </w:rPr>
              <w:t>Subscription source</w:t>
            </w:r>
          </w:p>
        </w:tc>
        <w:tc>
          <w:tcPr>
            <w:tcW w:type="dxa" w:w="5112"/>
            <w:vAlign w:val="center"/>
          </w:tcPr>
          <w:p>
            <w:r/>
            <w:r>
              <w:rPr>
                <w:rFonts w:ascii="Aptos" w:hAnsi="Aptos"/>
                <w:b w:val="0"/>
                <w:sz w:val="18"/>
              </w:rPr>
              <w:t>Confirm authoritative commercial/subscription system and API contract.</w:t>
            </w:r>
          </w:p>
        </w:tc>
      </w:tr>
      <w:tr>
        <w:tc>
          <w:tcPr>
            <w:tcW w:type="dxa" w:w="5112"/>
            <w:vAlign w:val="center"/>
          </w:tcPr>
          <w:p>
            <w:r/>
            <w:r>
              <w:rPr>
                <w:rFonts w:ascii="Aptos" w:hAnsi="Aptos"/>
                <w:b w:val="0"/>
                <w:sz w:val="18"/>
              </w:rPr>
              <w:t>Identity</w:t>
            </w:r>
          </w:p>
        </w:tc>
        <w:tc>
          <w:tcPr>
            <w:tcW w:type="dxa" w:w="5112"/>
            <w:vAlign w:val="center"/>
          </w:tcPr>
          <w:p>
            <w:r/>
            <w:r>
              <w:rPr>
                <w:rFonts w:ascii="Aptos" w:hAnsi="Aptos"/>
                <w:b w:val="0"/>
                <w:sz w:val="18"/>
              </w:rPr>
              <w:t>Define SSO, customer tenancy and cross-product session behaviour.</w:t>
            </w:r>
          </w:p>
        </w:tc>
      </w:tr>
      <w:tr>
        <w:tc>
          <w:tcPr>
            <w:tcW w:type="dxa" w:w="5112"/>
            <w:vAlign w:val="center"/>
          </w:tcPr>
          <w:p>
            <w:r/>
            <w:r>
              <w:rPr>
                <w:rFonts w:ascii="Aptos" w:hAnsi="Aptos"/>
                <w:b w:val="0"/>
                <w:sz w:val="18"/>
              </w:rPr>
              <w:t>Entitlements</w:t>
            </w:r>
          </w:p>
        </w:tc>
        <w:tc>
          <w:tcPr>
            <w:tcW w:type="dxa" w:w="5112"/>
            <w:vAlign w:val="center"/>
          </w:tcPr>
          <w:p>
            <w:r/>
            <w:r>
              <w:rPr>
                <w:rFonts w:ascii="Aptos" w:hAnsi="Aptos"/>
                <w:b w:val="0"/>
                <w:sz w:val="18"/>
              </w:rPr>
              <w:t>Standardise how each product exposes plans, modules, seats and access state.</w:t>
            </w:r>
          </w:p>
        </w:tc>
      </w:tr>
      <w:tr>
        <w:tc>
          <w:tcPr>
            <w:tcW w:type="dxa" w:w="5112"/>
            <w:vAlign w:val="center"/>
          </w:tcPr>
          <w:p>
            <w:r/>
            <w:r>
              <w:rPr>
                <w:rFonts w:ascii="Aptos" w:hAnsi="Aptos"/>
                <w:b w:val="0"/>
                <w:sz w:val="18"/>
              </w:rPr>
              <w:t>Content metadata</w:t>
            </w:r>
          </w:p>
        </w:tc>
        <w:tc>
          <w:tcPr>
            <w:tcW w:type="dxa" w:w="5112"/>
            <w:vAlign w:val="center"/>
          </w:tcPr>
          <w:p>
            <w:r/>
            <w:r>
              <w:rPr>
                <w:rFonts w:ascii="Aptos" w:hAnsi="Aptos"/>
                <w:b w:val="0"/>
                <w:sz w:val="18"/>
              </w:rPr>
              <w:t>Agree common metadata model for dashboards/reports across products.</w:t>
            </w:r>
          </w:p>
        </w:tc>
      </w:tr>
      <w:tr>
        <w:tc>
          <w:tcPr>
            <w:tcW w:type="dxa" w:w="5112"/>
            <w:vAlign w:val="center"/>
          </w:tcPr>
          <w:p>
            <w:r/>
            <w:r>
              <w:rPr>
                <w:rFonts w:ascii="Aptos" w:hAnsi="Aptos"/>
                <w:b w:val="0"/>
                <w:sz w:val="18"/>
              </w:rPr>
              <w:t>Cross-product metrics</w:t>
            </w:r>
          </w:p>
        </w:tc>
        <w:tc>
          <w:tcPr>
            <w:tcW w:type="dxa" w:w="5112"/>
            <w:vAlign w:val="center"/>
          </w:tcPr>
          <w:p>
            <w:r/>
            <w:r>
              <w:rPr>
                <w:rFonts w:ascii="Aptos" w:hAnsi="Aptos"/>
                <w:b w:val="0"/>
                <w:sz w:val="18"/>
              </w:rPr>
              <w:t>Define which metrics Beacon may aggregate and how freshness is represented.</w:t>
            </w:r>
          </w:p>
        </w:tc>
      </w:tr>
      <w:tr>
        <w:tc>
          <w:tcPr>
            <w:tcW w:type="dxa" w:w="5112"/>
            <w:vAlign w:val="center"/>
          </w:tcPr>
          <w:p>
            <w:r/>
            <w:r>
              <w:rPr>
                <w:rFonts w:ascii="Aptos" w:hAnsi="Aptos"/>
                <w:b w:val="0"/>
                <w:sz w:val="18"/>
              </w:rPr>
              <w:t>Admin model</w:t>
            </w:r>
          </w:p>
        </w:tc>
        <w:tc>
          <w:tcPr>
            <w:tcW w:type="dxa" w:w="5112"/>
            <w:vAlign w:val="center"/>
          </w:tcPr>
          <w:p>
            <w:r/>
            <w:r>
              <w:rPr>
                <w:rFonts w:ascii="Aptos" w:hAnsi="Aptos"/>
                <w:b w:val="0"/>
                <w:sz w:val="18"/>
              </w:rPr>
              <w:t>Agree customer administrator vs QUEDERA administrator responsibilities.</w:t>
            </w:r>
          </w:p>
        </w:tc>
      </w:tr>
    </w:tbl>
    <w:p>
      <w:pPr>
        <w:pStyle w:val="Heading1"/>
      </w:pPr>
      <w:r>
        <w:t>17. Suggested Beacon Hub Layout</w:t>
      </w:r>
    </w:p>
    <w:p>
      <w:pPr>
        <w:pStyle w:val="ListBullet"/>
      </w:pPr>
      <w:r>
        <w:t>Global header: QUEDERA / BEACON, customer selector, notifications, help, profile.</w:t>
      </w:r>
    </w:p>
    <w:p>
      <w:pPr>
        <w:pStyle w:val="ListBullet"/>
      </w:pPr>
      <w:r>
        <w:t>Left navigation: Overview, Products, Reports &amp; Dashboards, Subscriptions, Insights, Administration, Settings.</w:t>
      </w:r>
    </w:p>
    <w:p>
      <w:pPr>
        <w:pStyle w:val="ListBullet"/>
      </w:pPr>
      <w:r>
        <w:t>Overview: portfolio health + four product cards + action centre + recent/favourite content.</w:t>
      </w:r>
    </w:p>
    <w:p>
      <w:pPr>
        <w:pStyle w:val="ListBullet"/>
      </w:pPr>
      <w:r>
        <w:t>Products: four branded product cards with status, subscription summary and Open Product action.</w:t>
      </w:r>
    </w:p>
    <w:p>
      <w:pPr>
        <w:pStyle w:val="ListBullet"/>
      </w:pPr>
      <w:r>
        <w:t>Reports &amp; Dashboards: unified searchable table/grid with Product and Type filters.</w:t>
      </w:r>
    </w:p>
    <w:p>
      <w:pPr>
        <w:pStyle w:val="ListBullet"/>
      </w:pPr>
      <w:r>
        <w:t>Subscriptions: consolidated subscription cards/table with status and renewal information.</w:t>
      </w:r>
    </w:p>
    <w:p>
      <w:pPr>
        <w:pStyle w:val="ListBullet"/>
      </w:pPr>
      <w:r>
        <w:t>Insights: executive cross-product view with drill-through to originating products.</w:t>
      </w:r>
    </w:p>
    <w:p>
      <w:pPr>
        <w:pStyle w:val="Heading1"/>
      </w:pPr>
      <w:r>
        <w:t>18. Open Questions</w:t>
      </w:r>
    </w:p>
    <w:p>
      <w:pPr>
        <w:pStyle w:val="ListNumber"/>
      </w:pPr>
      <w:r>
        <w:t>Should non-subscribed products be visible for discovery, or only subscribed products?</w:t>
      </w:r>
    </w:p>
    <w:p>
      <w:pPr>
        <w:pStyle w:val="ListNumber"/>
      </w:pPr>
      <w:r>
        <w:t>Should Beacon allow customers to request additional products/subscriptions?</w:t>
      </w:r>
    </w:p>
    <w:p>
      <w:pPr>
        <w:pStyle w:val="ListNumber"/>
      </w:pPr>
      <w:r>
        <w:t>Who owns the customer/product access model?</w:t>
      </w:r>
    </w:p>
    <w:p>
      <w:pPr>
        <w:pStyle w:val="ListNumber"/>
      </w:pPr>
      <w:r>
        <w:t>Should subscription pricing be visible to customer administrators?</w:t>
      </w:r>
    </w:p>
    <w:p>
      <w:pPr>
        <w:pStyle w:val="ListNumber"/>
      </w:pPr>
      <w:r>
        <w:t>Should dashboards be embedded in Beacon or opened in their originating product?</w:t>
      </w:r>
    </w:p>
    <w:p>
      <w:pPr>
        <w:pStyle w:val="ListNumber"/>
      </w:pPr>
      <w:r>
        <w:t>What level of cross-product data aggregation is required for Beacon MVP?</w:t>
      </w:r>
    </w:p>
    <w:p>
      <w:pPr>
        <w:pStyle w:val="ListNumber"/>
      </w:pPr>
      <w:r>
        <w:t>What notification channels are required: in-app, email, or both?</w:t>
      </w:r>
    </w:p>
    <w:p>
      <w:pPr>
        <w:pStyle w:val="ListNumber"/>
      </w:pPr>
      <w:r>
        <w:t>Which QUEDERA brand guidelines, product icons and colour tokens are already approved?</w:t>
      </w:r>
    </w:p>
    <w:p>
      <w:pPr>
        <w:pStyle w:val="Heading1"/>
      </w:pPr>
      <w:r>
        <w:t>19. Summary</w:t>
      </w:r>
    </w:p>
    <w:p>
      <w:r>
        <w:t>The recommended direction is to make QUEDERA Beacon the central customer portal for the entire QUEDERA portfolio. Beacon should own the common customer experience—portfolio discovery, subscriptions, access, reporting and executive navigation—while Pulse, Duet and Atlas remain authoritative for their specialist workflows and data. This creates a coherent QUEDERA experience without weakening the identity or value proposition of the individual products.</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QUEDERA BEACON | Central Products &amp; Subscriptions Hub | Requirements v1.0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