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Why We Use Log Returns Instead of Simple Returns</w:t>
      </w:r>
    </w:p>
    <w:p>
      <w:pPr>
        <w:spacing w:after="300"/>
      </w:pPr>
      <w:r>
        <w:t xml:space="preserve">Lateefah Jamiu — Quant Lab, Market Risk Track — Phase 2</w:t>
      </w:r>
    </w:p>
    <w:p>
      <w:pPr>
        <w:pStyle w:val="Heading2"/>
      </w:pPr>
      <w:r>
        <w:t xml:space="preserve">The Internship Doc's Instruction</w:t>
      </w:r>
    </w:p>
    <w:p>
      <w:pPr>
        <w:spacing w:after="300"/>
      </w:pPr>
      <w:r>
        <w:t xml:space="preserve">Phase 2 of the project (Data Cleaning) explicitly requires converting prices into log returns as one of its core tasks, with the clean return matrix listed as a required output feeding every later phase — portfolio construction, VaR, volatility scaling, and backtesting. This document explains the reasoning behind that choice.</w:t>
      </w:r>
    </w:p>
    <w:p>
      <w:pPr>
        <w:pStyle w:val="Heading2"/>
      </w:pPr>
      <w:r>
        <w:t xml:space="preserve">1. Time-Additivity Across Multiple Days</w:t>
      </w:r>
    </w:p>
    <w:p>
      <w:pPr>
        <w:spacing w:after="300"/>
      </w:pPr>
      <w:r>
        <w:t xml:space="preserve">Log returns can be summed across time to get the multi-period return: the log return over 10 days is simply the sum of the 10 individual daily log returns. Simple returns cannot be summed this way — they have to be compounded (multiplied together), which is more error-prone in code and harder to reason about. Since the project explicitly requires both 1-day and 10-day VaR, this additivity is directly useful: a 10-day return series can be built by summing daily log returns rather than repeatedly compounding.</w:t>
      </w:r>
    </w:p>
    <w:p>
      <w:pPr>
        <w:pStyle w:val="Heading2"/>
      </w:pPr>
      <w:r>
        <w:t xml:space="preserve">2. Approximate Normality, Which the Models Assume</w:t>
      </w:r>
    </w:p>
    <w:p>
      <w:pPr>
        <w:spacing w:after="300"/>
      </w:pPr>
      <w:r>
        <w:t xml:space="preserve">Many of the models used later in this project — EWMA volatility, GARCH(1,1), GJR-GARCH — are built on the assumption that returns are approximately normally (or conditionally normally) distributed. Simple returns are bounded below at -100% (a stock cannot lose more than all its value) and are right-skewed, which distorts this assumption. Log returns are unbounded in both directions and are much closer to symmetric and normally distributed for daily equity data, which makes them a better fit for the volatility models the project requires.</w:t>
      </w:r>
    </w:p>
    <w:p>
      <w:pPr>
        <w:pStyle w:val="Heading2"/>
      </w:pPr>
      <w:r>
        <w:t xml:space="preserve">3. Consistency With Continuous Compounding</w:t>
      </w:r>
    </w:p>
    <w:p>
      <w:pPr>
        <w:spacing w:after="300"/>
      </w:pPr>
      <w:r>
        <w:t xml:space="preserve">A log return is the continuously-compounded rate of return: log(P_t / P_t-1). This lines up with how volatility and risk models in quantitative finance are typically specified (e.g. Geometric Brownian Motion, Black-Scholes), so using log returns keeps this project's Historical Simulation VaR and GARCH-family volatility models consistent with the broader theoretical framework they come from.</w:t>
      </w:r>
    </w:p>
    <w:p>
      <w:pPr>
        <w:pStyle w:val="Heading2"/>
      </w:pPr>
      <w:r>
        <w:t xml:space="preserve">4. Numerical Stability for Multi-Asset, Multi-Model Work</w:t>
      </w:r>
    </w:p>
    <w:p>
      <w:pPr>
        <w:spacing w:after="300"/>
      </w:pPr>
      <w:r>
        <w:t xml:space="preserve">This project computes returns across a 10-stock universe, scales them by three different volatility models (EWMA, GARCH, GJR-GARCH), and backtests them across multiple rolling windows (250/500/750 days) and confidence levels. Log returns avoid the compounding errors that accumulate when simple returns are chained across many periods and many assets, which matters given how many downstream calculations depend on the same return series being correct.</w:t>
      </w:r>
    </w:p>
    <w:p>
      <w:pPr>
        <w:pStyle w:val="Heading2"/>
      </w:pPr>
      <w:r>
        <w:t xml:space="preserve">5. A Practical Trade-off Worth Noting</w:t>
      </w:r>
    </w:p>
    <w:p>
      <w:pPr>
        <w:spacing w:after="300"/>
      </w:pPr>
      <w:r>
        <w:t xml:space="preserve">Log returns are an approximation of simple returns for small daily moves (they diverge more for large moves), and portfolio-level log returns are not exactly the weighted sum of individual asset log returns the way simple returns are — this is why Phase 3 (Portfolio Construction) computes portfolio value and P&amp;L from simple returns first, then log returns can be derived from the resulting portfolio value series if needed for VaR/volatility modeling.</w:t>
      </w:r>
    </w:p>
    <w:p>
      <w:pPr>
        <w:pStyle w:val="Heading2"/>
      </w:pPr>
      <w:r>
        <w:t xml:space="preserve">Conclusion</w:t>
      </w:r>
    </w:p>
    <w:p>
      <w:r>
        <w:t xml:space="preserve">We use log returns because they are time-additive (useful for 1-day vs 10-day VaR), closer to the normality assumptions the volatility models rely on, theoretically consistent with continuous-compounding risk models, and more numerically stable across a multi-asset, multi-model pipeline — which is exactly the kind of pipeline this project builds.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2026-07-27T23:55:44.094Z</dcterms:created>
  <dcterms:modified xsi:type="dcterms:W3CDTF">2026-07-27T23:55:44.111Z</dcterms:modified>
</cp:coreProperties>
</file>

<file path=docProps/custom.xml><?xml version="1.0" encoding="utf-8"?>
<Properties xmlns="http://schemas.openxmlformats.org/officeDocument/2006/custom-properties" xmlns:vt="http://schemas.openxmlformats.org/officeDocument/2006/docPropsVTypes"/>
</file>