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合成成本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MPBody"/>
      </w:pPr>
      <w:r>
        <w:t xml:space="preserve">1. 系统配置</w:t>
      </w:r>
    </w:p>
    <w:p>
      <w:pPr>
        <w:pStyle w:val="MPBody"/>
      </w:pPr>
      <w:r>
        <w:t xml:space="preserve">2. 成本估算</w:t>
      </w:r>
    </w:p>
    <w:p>
      <w:r>
        <w:br w:type="page"/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5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p>
      <w:pPr>
        <w:pStyle w:val="Heading2"/>
      </w:pPr>
      <w:r>
        <w:t xml:space="preserve">成本估算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类别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币种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单价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金额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价格状态</w:t>
            </w:r>
          </w:p>
        </w:tc>
      </w:tr>
      <w:tr>
        <w:tc>
          <w:tcPr/>
          <w:p>
            <w:r>
              <w:t xml:space="preserve">设备</w:t>
            </w:r>
          </w:p>
        </w:tc>
        <w:tc>
          <w:tcPr/>
          <w:p>
            <w:r>
              <w:t xml:space="preserve">检测器成本 test_data</w:t>
            </w:r>
          </w:p>
        </w:tc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CNY</w:t>
            </w:r>
          </w:p>
        </w:tc>
        <w:tc>
          <w:tcPr/>
          <w:p>
            <w:r>
              <w:t xml:space="preserve">1200.00</w:t>
            </w:r>
          </w:p>
        </w:tc>
        <w:tc>
          <w:tcPr/>
          <w:p>
            <w:r>
              <w:t xml:space="preserve">6,000.00</w:t>
            </w:r>
          </w:p>
        </w:tc>
        <w:tc>
          <w:tcPr/>
          <w:p>
            <w:r>
              <w:t xml:space="preserve">测试数据</w:t>
            </w:r>
          </w:p>
        </w:tc>
      </w:tr>
      <w:tr>
        <w:tc>
          <w:tcPr/>
          <w:p>
            <w:r>
              <w:t xml:space="preserve">服务</w:t>
            </w:r>
          </w:p>
        </w:tc>
        <w:tc>
          <w:tcPr/>
          <w:p>
            <w:r>
              <w:t xml:space="preserve">集成服务 test_data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CNY</w:t>
            </w:r>
          </w:p>
        </w:tc>
        <w:tc>
          <w:tcPr/>
          <w:p>
            <w:r>
              <w:t xml:space="preserve">500.00</w:t>
            </w:r>
          </w:p>
        </w:tc>
        <w:tc>
          <w:tcPr/>
          <w:p>
            <w:r>
              <w:t xml:space="preserve">1,000.00</w:t>
            </w:r>
          </w:p>
        </w:tc>
        <w:tc>
          <w:tcPr/>
          <w:p>
            <w:r>
              <w:t xml:space="preserve">测试数据</w:t>
            </w:r>
          </w:p>
        </w:tc>
      </w:tr>
    </w:tbl>
    <w:p>
      <w:pPr>
        <w:pStyle w:val="MPBody"/>
      </w:pPr>
      <w:r>
        <w:t xml:space="preserve">合计（CNY）：7,910.00</w:t>
      </w:r>
    </w:p>
    <w:p>
      <w:pPr>
        <w:pStyle w:val="MPNote"/>
      </w:pPr>
      <w:r>
        <w:t xml:space="preserve">含 2 行测试数据，仅用于演示流程，不构成报价。</w:t>
      </w:r>
    </w:p>
    <w:p>
      <w:pPr>
        <w:pStyle w:val="MPNote"/>
      </w:pPr>
      <w:r>
        <w:t xml:space="preserve">税费说明：test_data：统一未税测试单价，演示税率13%，非税务结论</w:t>
      </w:r>
    </w:p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keepNext/>
      <w:keepLines/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keepNext/>
      <w:keepLines/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