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70" w:lineRule="auto" w:before="21"/>
        <w:ind w:left="4270" w:right="345"/>
      </w:pPr>
      <w:r>
        <w:rPr/>
        <w:t>國泰人壽真心守護長期照顧終身保險</w:t>
      </w:r>
      <w:r>
        <w:rPr>
          <w:w w:val="120"/>
        </w:rPr>
        <w:t>(</w:t>
      </w:r>
      <w:r>
        <w:rPr/>
        <w:t>實物給付型保險商品</w:t>
      </w:r>
      <w:r>
        <w:rPr>
          <w:w w:val="120"/>
        </w:rPr>
        <w:t>)</w:t>
      </w:r>
      <w:r>
        <w:rPr>
          <w:spacing w:val="-105"/>
          <w:w w:val="120"/>
        </w:rPr>
        <w:t> </w:t>
      </w:r>
      <w:r>
        <w:rPr/>
        <w:t>內容摘要</w:t>
      </w:r>
    </w:p>
    <w:p>
      <w:pPr>
        <w:spacing w:line="1000" w:lineRule="exact" w:before="54"/>
        <w:ind w:left="215" w:right="5044" w:firstLine="0"/>
        <w:jc w:val="left"/>
        <w:rPr>
          <w:rFonts w:ascii="Microsoft JhengHei" w:eastAsia="Microsoft JhengHei" w:hint="eastAsia"/>
          <w:b/>
          <w:sz w:val="28"/>
        </w:rPr>
      </w:pPr>
      <w:r>
        <w:rPr>
          <w:rFonts w:ascii="Microsoft JhengHei" w:eastAsia="Microsoft JhengHei" w:hint="eastAsia"/>
          <w:b/>
          <w:sz w:val="28"/>
        </w:rPr>
        <w:t>一、當事人資料：要保人及保險公司。二、契約重要內容</w:t>
      </w:r>
    </w:p>
    <w:p>
      <w:pPr>
        <w:spacing w:line="436" w:lineRule="exact" w:before="0"/>
        <w:ind w:left="516" w:right="0" w:firstLine="0"/>
        <w:jc w:val="left"/>
        <w:rPr>
          <w:rFonts w:ascii="Microsoft JhengHei" w:eastAsia="Microsoft JhengHei" w:hint="eastAsia"/>
          <w:b/>
          <w:sz w:val="28"/>
        </w:rPr>
      </w:pPr>
      <w:r>
        <w:rPr>
          <w:rFonts w:ascii="Microsoft JhengHei" w:eastAsia="Microsoft JhengHei" w:hint="eastAsia"/>
          <w:b/>
          <w:sz w:val="28"/>
        </w:rPr>
        <w:t>（一）契約撤銷權（</w:t>
      </w:r>
      <w:r>
        <w:rPr>
          <w:rFonts w:ascii="Microsoft JhengHei" w:eastAsia="Microsoft JhengHei" w:hint="eastAsia"/>
          <w:b/>
          <w:spacing w:val="-4"/>
          <w:sz w:val="28"/>
        </w:rPr>
        <w:t>第 </w:t>
      </w:r>
      <w:r>
        <w:rPr>
          <w:rFonts w:ascii="Microsoft JhengHei" w:eastAsia="Microsoft JhengHei" w:hint="eastAsia"/>
          <w:b/>
          <w:sz w:val="28"/>
        </w:rPr>
        <w:t>3</w:t>
      </w:r>
      <w:r>
        <w:rPr>
          <w:rFonts w:ascii="Microsoft JhengHei" w:eastAsia="Microsoft JhengHei" w:hint="eastAsia"/>
          <w:b/>
          <w:spacing w:val="-5"/>
          <w:sz w:val="28"/>
        </w:rPr>
        <w:t> 條</w:t>
      </w:r>
      <w:r>
        <w:rPr>
          <w:rFonts w:ascii="Microsoft JhengHei" w:eastAsia="Microsoft JhengHei" w:hint="eastAsia"/>
          <w:b/>
          <w:sz w:val="28"/>
        </w:rPr>
        <w:t>）</w:t>
      </w:r>
    </w:p>
    <w:p>
      <w:pPr>
        <w:spacing w:line="501" w:lineRule="exact" w:before="0"/>
        <w:ind w:left="516" w:right="0" w:firstLine="0"/>
        <w:jc w:val="left"/>
        <w:rPr>
          <w:rFonts w:ascii="Microsoft JhengHei" w:eastAsia="Microsoft JhengHei" w:hint="eastAsia"/>
          <w:b/>
          <w:sz w:val="28"/>
        </w:rPr>
      </w:pPr>
      <w:r>
        <w:rPr/>
        <w:drawing>
          <wp:anchor distT="0" distB="0" distL="0" distR="0" allowOverlap="1" layoutInCell="1" locked="0" behindDoc="1" simplePos="0" relativeHeight="487254016">
            <wp:simplePos x="0" y="0"/>
            <wp:positionH relativeFrom="page">
              <wp:posOffset>2873329</wp:posOffset>
            </wp:positionH>
            <wp:positionV relativeFrom="paragraph">
              <wp:posOffset>60439</wp:posOffset>
            </wp:positionV>
            <wp:extent cx="1834583" cy="442722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4583" cy="4427220"/>
                    </a:xfrm>
                    <a:prstGeom prst="rect">
                      <a:avLst/>
                    </a:prstGeom>
                  </pic:spPr>
                </pic:pic>
              </a:graphicData>
            </a:graphic>
          </wp:anchor>
        </w:drawing>
      </w:r>
      <w:r>
        <w:rPr>
          <w:rFonts w:ascii="Microsoft JhengHei" w:eastAsia="Microsoft JhengHei" w:hint="eastAsia"/>
          <w:b/>
          <w:sz w:val="28"/>
        </w:rPr>
        <w:t>（二）保險責任之開始與契約效力停止、恢復及終止事由</w:t>
      </w:r>
    </w:p>
    <w:p>
      <w:pPr>
        <w:spacing w:line="500" w:lineRule="exact" w:before="0"/>
        <w:ind w:left="1349" w:right="0" w:firstLine="0"/>
        <w:jc w:val="left"/>
        <w:rPr>
          <w:rFonts w:ascii="Microsoft JhengHei" w:eastAsia="Microsoft JhengHei" w:hint="eastAsia"/>
          <w:b/>
          <w:sz w:val="28"/>
        </w:rPr>
      </w:pPr>
      <w:r>
        <w:rPr>
          <w:rFonts w:ascii="Microsoft JhengHei" w:eastAsia="Microsoft JhengHei" w:hint="eastAsia"/>
          <w:b/>
          <w:sz w:val="28"/>
        </w:rPr>
        <w:t>（</w:t>
      </w:r>
      <w:r>
        <w:rPr>
          <w:rFonts w:ascii="Microsoft JhengHei" w:eastAsia="Microsoft JhengHei" w:hint="eastAsia"/>
          <w:b/>
          <w:spacing w:val="-8"/>
          <w:sz w:val="28"/>
        </w:rPr>
        <w:t>第 </w:t>
      </w:r>
      <w:r>
        <w:rPr>
          <w:rFonts w:ascii="Microsoft JhengHei" w:eastAsia="Microsoft JhengHei" w:hint="eastAsia"/>
          <w:b/>
          <w:sz w:val="28"/>
        </w:rPr>
        <w:t>4</w:t>
      </w:r>
      <w:r>
        <w:rPr>
          <w:rFonts w:ascii="Microsoft JhengHei" w:eastAsia="Microsoft JhengHei" w:hint="eastAsia"/>
          <w:b/>
          <w:spacing w:val="-7"/>
          <w:sz w:val="28"/>
        </w:rPr>
        <w:t> 條、第 </w:t>
      </w:r>
      <w:r>
        <w:rPr>
          <w:rFonts w:ascii="Microsoft JhengHei" w:eastAsia="Microsoft JhengHei" w:hint="eastAsia"/>
          <w:b/>
          <w:sz w:val="28"/>
        </w:rPr>
        <w:t>6</w:t>
      </w:r>
      <w:r>
        <w:rPr>
          <w:rFonts w:ascii="Microsoft JhengHei" w:eastAsia="Microsoft JhengHei" w:hint="eastAsia"/>
          <w:b/>
          <w:spacing w:val="-7"/>
          <w:sz w:val="28"/>
        </w:rPr>
        <w:t> 條、第 </w:t>
      </w:r>
      <w:r>
        <w:rPr>
          <w:rFonts w:ascii="Microsoft JhengHei" w:eastAsia="Microsoft JhengHei" w:hint="eastAsia"/>
          <w:b/>
          <w:sz w:val="28"/>
        </w:rPr>
        <w:t>7</w:t>
      </w:r>
      <w:r>
        <w:rPr>
          <w:rFonts w:ascii="Microsoft JhengHei" w:eastAsia="Microsoft JhengHei" w:hint="eastAsia"/>
          <w:b/>
          <w:spacing w:val="-7"/>
          <w:sz w:val="28"/>
        </w:rPr>
        <w:t> 條、第 </w:t>
      </w:r>
      <w:r>
        <w:rPr>
          <w:rFonts w:ascii="Microsoft JhengHei" w:eastAsia="Microsoft JhengHei" w:hint="eastAsia"/>
          <w:b/>
          <w:sz w:val="28"/>
        </w:rPr>
        <w:t>9</w:t>
      </w:r>
      <w:r>
        <w:rPr>
          <w:rFonts w:ascii="Microsoft JhengHei" w:eastAsia="Microsoft JhengHei" w:hint="eastAsia"/>
          <w:b/>
          <w:spacing w:val="-7"/>
          <w:sz w:val="28"/>
        </w:rPr>
        <w:t> 條、第 </w:t>
      </w:r>
      <w:r>
        <w:rPr>
          <w:rFonts w:ascii="Microsoft JhengHei" w:eastAsia="Microsoft JhengHei" w:hint="eastAsia"/>
          <w:b/>
          <w:sz w:val="28"/>
        </w:rPr>
        <w:t>10</w:t>
      </w:r>
      <w:r>
        <w:rPr>
          <w:rFonts w:ascii="Microsoft JhengHei" w:eastAsia="Microsoft JhengHei" w:hint="eastAsia"/>
          <w:b/>
          <w:spacing w:val="-8"/>
          <w:sz w:val="28"/>
        </w:rPr>
        <w:t> 條</w:t>
      </w:r>
      <w:r>
        <w:rPr>
          <w:rFonts w:ascii="Microsoft JhengHei" w:eastAsia="Microsoft JhengHei" w:hint="eastAsia"/>
          <w:b/>
          <w:sz w:val="28"/>
        </w:rPr>
        <w:t>）</w:t>
      </w:r>
    </w:p>
    <w:p>
      <w:pPr>
        <w:spacing w:line="500" w:lineRule="exact" w:before="0"/>
        <w:ind w:left="516" w:right="0" w:firstLine="0"/>
        <w:jc w:val="left"/>
        <w:rPr>
          <w:rFonts w:ascii="Microsoft JhengHei" w:eastAsia="Microsoft JhengHei" w:hint="eastAsia"/>
          <w:b/>
          <w:sz w:val="28"/>
        </w:rPr>
      </w:pPr>
      <w:r>
        <w:rPr>
          <w:rFonts w:ascii="Microsoft JhengHei" w:eastAsia="Microsoft JhengHei" w:hint="eastAsia"/>
          <w:b/>
          <w:sz w:val="28"/>
        </w:rPr>
        <w:t>（三）保險期間及給付內容（</w:t>
      </w:r>
      <w:r>
        <w:rPr>
          <w:rFonts w:ascii="Microsoft JhengHei" w:eastAsia="Microsoft JhengHei" w:hint="eastAsia"/>
          <w:b/>
          <w:spacing w:val="-5"/>
          <w:sz w:val="28"/>
        </w:rPr>
        <w:t>第 </w:t>
      </w:r>
      <w:r>
        <w:rPr>
          <w:rFonts w:ascii="Microsoft JhengHei" w:eastAsia="Microsoft JhengHei" w:hint="eastAsia"/>
          <w:b/>
          <w:sz w:val="28"/>
        </w:rPr>
        <w:t>5</w:t>
      </w:r>
      <w:r>
        <w:rPr>
          <w:rFonts w:ascii="Microsoft JhengHei" w:eastAsia="Microsoft JhengHei" w:hint="eastAsia"/>
          <w:b/>
          <w:spacing w:val="-5"/>
          <w:sz w:val="28"/>
        </w:rPr>
        <w:t> 條</w:t>
      </w:r>
      <w:r>
        <w:rPr>
          <w:rFonts w:ascii="Microsoft JhengHei" w:eastAsia="Microsoft JhengHei" w:hint="eastAsia"/>
          <w:b/>
          <w:sz w:val="28"/>
        </w:rPr>
        <w:t>）</w:t>
      </w:r>
    </w:p>
    <w:p>
      <w:pPr>
        <w:spacing w:line="500" w:lineRule="exact" w:before="0"/>
        <w:ind w:left="516" w:right="0" w:firstLine="0"/>
        <w:jc w:val="left"/>
        <w:rPr>
          <w:rFonts w:ascii="Microsoft JhengHei" w:eastAsia="Microsoft JhengHei" w:hint="eastAsia"/>
          <w:b/>
          <w:sz w:val="28"/>
        </w:rPr>
      </w:pPr>
      <w:r>
        <w:rPr>
          <w:rFonts w:ascii="Microsoft JhengHei" w:eastAsia="Microsoft JhengHei" w:hint="eastAsia"/>
          <w:b/>
          <w:sz w:val="28"/>
        </w:rPr>
        <w:t>（四）告知義務與契約解除權（</w:t>
      </w:r>
      <w:r>
        <w:rPr>
          <w:rFonts w:ascii="Microsoft JhengHei" w:eastAsia="Microsoft JhengHei" w:hint="eastAsia"/>
          <w:b/>
          <w:spacing w:val="-3"/>
          <w:sz w:val="28"/>
        </w:rPr>
        <w:t>第 </w:t>
      </w:r>
      <w:r>
        <w:rPr>
          <w:rFonts w:ascii="Microsoft JhengHei" w:eastAsia="Microsoft JhengHei" w:hint="eastAsia"/>
          <w:b/>
          <w:sz w:val="28"/>
        </w:rPr>
        <w:t>8</w:t>
      </w:r>
      <w:r>
        <w:rPr>
          <w:rFonts w:ascii="Microsoft JhengHei" w:eastAsia="Microsoft JhengHei" w:hint="eastAsia"/>
          <w:b/>
          <w:spacing w:val="-5"/>
          <w:sz w:val="28"/>
        </w:rPr>
        <w:t> 條</w:t>
      </w:r>
      <w:r>
        <w:rPr>
          <w:rFonts w:ascii="Microsoft JhengHei" w:eastAsia="Microsoft JhengHei" w:hint="eastAsia"/>
          <w:b/>
          <w:sz w:val="28"/>
        </w:rPr>
        <w:t>）</w:t>
      </w:r>
    </w:p>
    <w:p>
      <w:pPr>
        <w:spacing w:line="499" w:lineRule="exact" w:before="0"/>
        <w:ind w:left="516" w:right="0" w:firstLine="0"/>
        <w:jc w:val="left"/>
        <w:rPr>
          <w:rFonts w:ascii="Microsoft JhengHei" w:eastAsia="Microsoft JhengHei" w:hint="eastAsia"/>
          <w:b/>
          <w:sz w:val="28"/>
        </w:rPr>
      </w:pPr>
      <w:r>
        <w:rPr>
          <w:rFonts w:ascii="Microsoft JhengHei" w:eastAsia="Microsoft JhengHei" w:hint="eastAsia"/>
          <w:b/>
          <w:sz w:val="28"/>
        </w:rPr>
        <w:t>（五）保險事故之通知、請求保險金應備文件與協力義務</w:t>
      </w:r>
    </w:p>
    <w:p>
      <w:pPr>
        <w:spacing w:line="500" w:lineRule="exact" w:before="0"/>
        <w:ind w:left="1349" w:right="0" w:firstLine="0"/>
        <w:jc w:val="left"/>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2"/>
          <w:w w:val="95"/>
          <w:sz w:val="28"/>
        </w:rPr>
        <w:t>第 </w:t>
      </w:r>
      <w:r>
        <w:rPr>
          <w:rFonts w:ascii="Microsoft JhengHei" w:eastAsia="Microsoft JhengHei" w:hint="eastAsia"/>
          <w:b/>
          <w:w w:val="95"/>
          <w:sz w:val="28"/>
        </w:rPr>
        <w:t>23</w:t>
      </w:r>
      <w:r>
        <w:rPr>
          <w:rFonts w:ascii="Microsoft JhengHei" w:eastAsia="Microsoft JhengHei" w:hint="eastAsia"/>
          <w:b/>
          <w:spacing w:val="2"/>
          <w:w w:val="95"/>
          <w:sz w:val="28"/>
        </w:rPr>
        <w:t> 條至 </w:t>
      </w:r>
      <w:r>
        <w:rPr>
          <w:rFonts w:ascii="Microsoft JhengHei" w:eastAsia="Microsoft JhengHei" w:hint="eastAsia"/>
          <w:b/>
          <w:w w:val="95"/>
          <w:sz w:val="28"/>
        </w:rPr>
        <w:t>29</w:t>
      </w:r>
      <w:r>
        <w:rPr>
          <w:rFonts w:ascii="Microsoft JhengHei" w:eastAsia="Microsoft JhengHei" w:hint="eastAsia"/>
          <w:b/>
          <w:spacing w:val="2"/>
          <w:w w:val="95"/>
          <w:sz w:val="28"/>
        </w:rPr>
        <w:t> 條</w:t>
      </w:r>
      <w:r>
        <w:rPr>
          <w:rFonts w:ascii="Microsoft JhengHei" w:eastAsia="Microsoft JhengHei" w:hint="eastAsia"/>
          <w:b/>
          <w:w w:val="95"/>
          <w:sz w:val="28"/>
        </w:rPr>
        <w:t>）</w:t>
      </w:r>
    </w:p>
    <w:p>
      <w:pPr>
        <w:spacing w:line="500" w:lineRule="exact" w:before="0"/>
        <w:ind w:left="516" w:right="0" w:firstLine="0"/>
        <w:jc w:val="left"/>
        <w:rPr>
          <w:rFonts w:ascii="Microsoft JhengHei" w:eastAsia="Microsoft JhengHei" w:hint="eastAsia"/>
          <w:b/>
          <w:sz w:val="28"/>
        </w:rPr>
      </w:pPr>
      <w:r>
        <w:rPr>
          <w:rFonts w:ascii="Microsoft JhengHei" w:eastAsia="Microsoft JhengHei" w:hint="eastAsia"/>
          <w:b/>
          <w:w w:val="95"/>
          <w:sz w:val="28"/>
        </w:rPr>
        <w:t>（六）除外責任及受益權之喪失（</w:t>
      </w:r>
      <w:r>
        <w:rPr>
          <w:rFonts w:ascii="Microsoft JhengHei" w:eastAsia="Microsoft JhengHei" w:hint="eastAsia"/>
          <w:b/>
          <w:spacing w:val="23"/>
          <w:w w:val="95"/>
          <w:sz w:val="28"/>
        </w:rPr>
        <w:t>第 </w:t>
      </w:r>
      <w:r>
        <w:rPr>
          <w:rFonts w:ascii="Microsoft JhengHei" w:eastAsia="Microsoft JhengHei" w:hint="eastAsia"/>
          <w:b/>
          <w:w w:val="95"/>
          <w:sz w:val="28"/>
        </w:rPr>
        <w:t>30</w:t>
      </w:r>
      <w:r>
        <w:rPr>
          <w:rFonts w:ascii="Microsoft JhengHei" w:eastAsia="Microsoft JhengHei" w:hint="eastAsia"/>
          <w:b/>
          <w:spacing w:val="17"/>
          <w:w w:val="95"/>
          <w:sz w:val="28"/>
        </w:rPr>
        <w:t> 條、第 </w:t>
      </w:r>
      <w:r>
        <w:rPr>
          <w:rFonts w:ascii="Microsoft JhengHei" w:eastAsia="Microsoft JhengHei" w:hint="eastAsia"/>
          <w:b/>
          <w:w w:val="95"/>
          <w:sz w:val="28"/>
        </w:rPr>
        <w:t>31</w:t>
      </w:r>
      <w:r>
        <w:rPr>
          <w:rFonts w:ascii="Microsoft JhengHei" w:eastAsia="Microsoft JhengHei" w:hint="eastAsia"/>
          <w:b/>
          <w:spacing w:val="21"/>
          <w:w w:val="95"/>
          <w:sz w:val="28"/>
        </w:rPr>
        <w:t> 條</w:t>
      </w:r>
      <w:r>
        <w:rPr>
          <w:rFonts w:ascii="Microsoft JhengHei" w:eastAsia="Microsoft JhengHei" w:hint="eastAsia"/>
          <w:b/>
          <w:w w:val="95"/>
          <w:sz w:val="28"/>
        </w:rPr>
        <w:t>）</w:t>
      </w:r>
    </w:p>
    <w:p>
      <w:pPr>
        <w:spacing w:line="499" w:lineRule="exact" w:before="0"/>
        <w:ind w:left="516" w:right="0" w:firstLine="0"/>
        <w:jc w:val="left"/>
        <w:rPr>
          <w:rFonts w:ascii="Microsoft JhengHei" w:eastAsia="Microsoft JhengHei" w:hint="eastAsia"/>
          <w:b/>
          <w:sz w:val="28"/>
        </w:rPr>
      </w:pPr>
      <w:r>
        <w:rPr>
          <w:rFonts w:ascii="Microsoft JhengHei" w:eastAsia="Microsoft JhengHei" w:hint="eastAsia"/>
          <w:b/>
          <w:sz w:val="28"/>
        </w:rPr>
        <w:t>（七）保險金額之變更（</w:t>
      </w:r>
      <w:r>
        <w:rPr>
          <w:rFonts w:ascii="Microsoft JhengHei" w:eastAsia="Microsoft JhengHei" w:hint="eastAsia"/>
          <w:b/>
          <w:spacing w:val="-8"/>
          <w:sz w:val="28"/>
        </w:rPr>
        <w:t>第 </w:t>
      </w:r>
      <w:r>
        <w:rPr>
          <w:rFonts w:ascii="Microsoft JhengHei" w:eastAsia="Microsoft JhengHei" w:hint="eastAsia"/>
          <w:b/>
          <w:sz w:val="28"/>
        </w:rPr>
        <w:t>33</w:t>
      </w:r>
      <w:r>
        <w:rPr>
          <w:rFonts w:ascii="Microsoft JhengHei" w:eastAsia="Microsoft JhengHei" w:hint="eastAsia"/>
          <w:b/>
          <w:spacing w:val="-9"/>
          <w:sz w:val="28"/>
        </w:rPr>
        <w:t> 條</w:t>
      </w:r>
      <w:r>
        <w:rPr>
          <w:rFonts w:ascii="Microsoft JhengHei" w:eastAsia="Microsoft JhengHei" w:hint="eastAsia"/>
          <w:b/>
          <w:sz w:val="28"/>
        </w:rPr>
        <w:t>）</w:t>
      </w:r>
    </w:p>
    <w:p>
      <w:pPr>
        <w:spacing w:line="501" w:lineRule="exact" w:before="0"/>
        <w:ind w:left="516" w:right="0" w:firstLine="0"/>
        <w:jc w:val="left"/>
        <w:rPr>
          <w:rFonts w:ascii="Microsoft JhengHei" w:eastAsia="Microsoft JhengHei" w:hint="eastAsia"/>
          <w:b/>
          <w:sz w:val="28"/>
        </w:rPr>
      </w:pPr>
      <w:r>
        <w:rPr>
          <w:rFonts w:ascii="Microsoft JhengHei" w:eastAsia="Microsoft JhengHei" w:hint="eastAsia"/>
          <w:b/>
          <w:sz w:val="28"/>
        </w:rPr>
        <w:t>（八）受益人之指定、變更與要保人住所變更通知義務</w:t>
      </w:r>
    </w:p>
    <w:p>
      <w:pPr>
        <w:spacing w:line="501" w:lineRule="exact" w:before="0"/>
        <w:ind w:left="1349" w:right="0" w:firstLine="0"/>
        <w:jc w:val="left"/>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第 </w:t>
      </w:r>
      <w:r>
        <w:rPr>
          <w:rFonts w:ascii="Microsoft JhengHei" w:eastAsia="Microsoft JhengHei" w:hint="eastAsia"/>
          <w:b/>
          <w:w w:val="95"/>
          <w:sz w:val="28"/>
        </w:rPr>
        <w:t>36</w:t>
      </w:r>
      <w:r>
        <w:rPr>
          <w:rFonts w:ascii="Microsoft JhengHei" w:eastAsia="Microsoft JhengHei" w:hint="eastAsia"/>
          <w:b/>
          <w:spacing w:val="2"/>
          <w:w w:val="95"/>
          <w:sz w:val="28"/>
        </w:rPr>
        <w:t> 條、第 </w:t>
      </w:r>
      <w:r>
        <w:rPr>
          <w:rFonts w:ascii="Microsoft JhengHei" w:eastAsia="Microsoft JhengHei" w:hint="eastAsia"/>
          <w:b/>
          <w:w w:val="95"/>
          <w:sz w:val="28"/>
        </w:rPr>
        <w:t>37</w:t>
      </w:r>
      <w:r>
        <w:rPr>
          <w:rFonts w:ascii="Microsoft JhengHei" w:eastAsia="Microsoft JhengHei" w:hint="eastAsia"/>
          <w:b/>
          <w:spacing w:val="3"/>
          <w:w w:val="95"/>
          <w:sz w:val="28"/>
        </w:rPr>
        <w:t> 條</w:t>
      </w:r>
      <w:r>
        <w:rPr>
          <w:rFonts w:ascii="Microsoft JhengHei" w:eastAsia="Microsoft JhengHei" w:hint="eastAsia"/>
          <w:b/>
          <w:w w:val="95"/>
          <w:sz w:val="28"/>
        </w:rPr>
        <w:t>）</w:t>
      </w:r>
    </w:p>
    <w:p>
      <w:pPr>
        <w:spacing w:line="507" w:lineRule="exact" w:before="0"/>
        <w:ind w:left="516" w:right="0" w:firstLine="0"/>
        <w:jc w:val="left"/>
        <w:rPr>
          <w:rFonts w:ascii="Microsoft JhengHei" w:eastAsia="Microsoft JhengHei" w:hint="eastAsia"/>
          <w:b/>
          <w:sz w:val="28"/>
        </w:rPr>
      </w:pPr>
      <w:r>
        <w:rPr>
          <w:rFonts w:ascii="Microsoft JhengHei" w:eastAsia="Microsoft JhengHei" w:hint="eastAsia"/>
          <w:b/>
          <w:sz w:val="28"/>
        </w:rPr>
        <w:t>（九）請求權消滅時效（</w:t>
      </w:r>
      <w:r>
        <w:rPr>
          <w:rFonts w:ascii="Microsoft JhengHei" w:eastAsia="Microsoft JhengHei" w:hint="eastAsia"/>
          <w:b/>
          <w:spacing w:val="-8"/>
          <w:sz w:val="28"/>
        </w:rPr>
        <w:t>第 </w:t>
      </w:r>
      <w:r>
        <w:rPr>
          <w:rFonts w:ascii="Microsoft JhengHei" w:eastAsia="Microsoft JhengHei" w:hint="eastAsia"/>
          <w:b/>
          <w:sz w:val="28"/>
        </w:rPr>
        <w:t>38</w:t>
      </w:r>
      <w:r>
        <w:rPr>
          <w:rFonts w:ascii="Microsoft JhengHei" w:eastAsia="Microsoft JhengHei" w:hint="eastAsia"/>
          <w:b/>
          <w:spacing w:val="-9"/>
          <w:sz w:val="28"/>
        </w:rPr>
        <w:t> 條</w:t>
      </w:r>
      <w:r>
        <w:rPr>
          <w:rFonts w:ascii="Microsoft JhengHei" w:eastAsia="Microsoft JhengHei" w:hint="eastAsia"/>
          <w:b/>
          <w:sz w:val="28"/>
        </w:rPr>
        <w:t>）</w:t>
      </w:r>
    </w:p>
    <w:p>
      <w:pPr>
        <w:spacing w:after="0" w:line="507" w:lineRule="exact"/>
        <w:jc w:val="left"/>
        <w:rPr>
          <w:rFonts w:ascii="Microsoft JhengHei" w:eastAsia="Microsoft JhengHei" w:hint="eastAsia"/>
          <w:sz w:val="28"/>
        </w:rPr>
        <w:sectPr>
          <w:footerReference w:type="default" r:id="rId5"/>
          <w:type w:val="continuous"/>
          <w:pgSz w:w="11910" w:h="16840"/>
          <w:pgMar w:footer="855" w:top="1380" w:bottom="1040" w:left="900" w:right="980"/>
          <w:pgNumType w:start="1"/>
        </w:sectPr>
      </w:pPr>
    </w:p>
    <w:p>
      <w:pPr>
        <w:pStyle w:val="Heading1"/>
        <w:spacing w:line="478" w:lineRule="exact"/>
        <w:ind w:firstLine="0"/>
      </w:pPr>
      <w:r>
        <w:rPr/>
        <w:t>國泰人壽真心守護長期照顧終身保險(實物給付型保險商品)</w:t>
      </w:r>
    </w:p>
    <w:p>
      <w:pPr>
        <w:pStyle w:val="Heading2"/>
        <w:spacing w:line="168" w:lineRule="auto" w:before="14"/>
        <w:ind w:left="415" w:right="152" w:hanging="200"/>
      </w:pPr>
      <w:r>
        <w:rPr>
          <w:w w:val="95"/>
        </w:rPr>
        <w:t>（給付項目：長期照顧復健保險金、長期照顧服務或長期照顧保險金、完全失能關懷保險金、完全失能生活扶</w:t>
      </w:r>
      <w:r>
        <w:rPr>
          <w:spacing w:val="64"/>
        </w:rPr>
        <w:t> </w:t>
      </w:r>
      <w:r>
        <w:rPr>
          <w:spacing w:val="179"/>
        </w:rPr>
        <w:t> </w:t>
      </w:r>
      <w:r>
        <w:rPr/>
        <w:t>助保險金、祝壽保險金、身故保險金或喪葬費用保險金、豁免保險費）</w:t>
      </w:r>
    </w:p>
    <w:p>
      <w:pPr>
        <w:spacing w:line="240" w:lineRule="exact" w:before="0"/>
        <w:ind w:left="232" w:right="0" w:firstLine="0"/>
        <w:jc w:val="left"/>
        <w:rPr>
          <w:rFonts w:ascii="Microsoft JhengHei" w:eastAsia="Microsoft JhengHei" w:hint="eastAsia"/>
          <w:b/>
          <w:sz w:val="20"/>
        </w:rPr>
      </w:pPr>
      <w:r>
        <w:rPr>
          <w:rFonts w:ascii="Microsoft JhengHei" w:eastAsia="Microsoft JhengHei" w:hint="eastAsia"/>
          <w:b/>
          <w:sz w:val="20"/>
        </w:rPr>
        <w:t>（本保險為不分紅保險單，不參加紅利分配，並無紅利給付項目）</w:t>
      </w:r>
    </w:p>
    <w:p>
      <w:pPr>
        <w:pStyle w:val="Heading2"/>
        <w:spacing w:line="170" w:lineRule="auto" w:before="22"/>
        <w:ind w:left="432" w:right="159" w:hanging="200"/>
      </w:pPr>
      <w:r>
        <w:rPr/>
        <w:t>（</w:t>
      </w:r>
      <w:r>
        <w:rPr>
          <w:spacing w:val="2"/>
        </w:rPr>
        <w:t>申訴電話：市話免費撥打 </w:t>
      </w:r>
      <w:r>
        <w:rPr>
          <w:rFonts w:ascii="Arial" w:eastAsia="Arial"/>
        </w:rPr>
        <w:t>0800-036-599</w:t>
      </w:r>
      <w:r>
        <w:rPr>
          <w:spacing w:val="5"/>
        </w:rPr>
        <w:t>、付費撥打 </w:t>
      </w:r>
      <w:r>
        <w:rPr>
          <w:rFonts w:ascii="Arial" w:eastAsia="Arial"/>
        </w:rPr>
        <w:t>02-2162-6201</w:t>
      </w:r>
      <w:r>
        <w:rPr/>
        <w:t>；傳真：</w:t>
      </w:r>
      <w:r>
        <w:rPr>
          <w:rFonts w:ascii="Arial" w:eastAsia="Arial"/>
        </w:rPr>
        <w:t>0800-211-568</w:t>
      </w:r>
      <w:r>
        <w:rPr/>
        <w:t>；電子信箱（</w:t>
      </w:r>
      <w:r>
        <w:rPr>
          <w:rFonts w:ascii="Arial" w:eastAsia="Arial"/>
        </w:rPr>
        <w:t>E-</w:t>
      </w:r>
      <w:r>
        <w:rPr>
          <w:rFonts w:ascii="Arial" w:eastAsia="Arial"/>
          <w:spacing w:val="-53"/>
        </w:rPr>
        <w:t> </w:t>
      </w:r>
      <w:r>
        <w:rPr>
          <w:rFonts w:ascii="Arial" w:eastAsia="Arial"/>
        </w:rPr>
        <w:t>mail</w:t>
      </w:r>
      <w:r>
        <w:rPr/>
        <w:t>）：</w:t>
      </w:r>
      <w:hyperlink r:id="rId7">
        <w:r>
          <w:rPr>
            <w:rFonts w:ascii="Arial" w:eastAsia="Arial"/>
          </w:rPr>
          <w:t>service@cathaylife.com.tw</w:t>
        </w:r>
      </w:hyperlink>
      <w:r>
        <w:rPr/>
        <w:t>）</w:t>
      </w:r>
    </w:p>
    <w:p>
      <w:pPr>
        <w:spacing w:line="235" w:lineRule="exact" w:before="0"/>
        <w:ind w:left="232" w:right="0" w:firstLine="0"/>
        <w:jc w:val="left"/>
        <w:rPr>
          <w:rFonts w:ascii="Microsoft JhengHei" w:eastAsia="Microsoft JhengHei" w:hint="eastAsia"/>
          <w:b/>
          <w:sz w:val="20"/>
        </w:rPr>
      </w:pPr>
      <w:r>
        <w:rPr>
          <w:rFonts w:ascii="Microsoft JhengHei" w:eastAsia="Microsoft JhengHei" w:hint="eastAsia"/>
          <w:b/>
          <w:sz w:val="20"/>
        </w:rPr>
        <w:t>（本保險因費率計算已考慮脫退率，故無解約金）</w:t>
      </w:r>
    </w:p>
    <w:p>
      <w:pPr>
        <w:pStyle w:val="Heading2"/>
        <w:spacing w:line="260" w:lineRule="exact"/>
      </w:pPr>
      <w:r>
        <w:rPr/>
        <w:t>（本契約於訂立契約前已提供要保人不低於三日之審閱期間）</w:t>
      </w:r>
    </w:p>
    <w:p>
      <w:pPr>
        <w:spacing w:line="260" w:lineRule="exact" w:before="0"/>
        <w:ind w:left="232" w:right="0" w:firstLine="0"/>
        <w:jc w:val="left"/>
        <w:rPr>
          <w:rFonts w:ascii="Microsoft JhengHei" w:eastAsia="Microsoft JhengHei" w:hint="eastAsia"/>
          <w:b/>
          <w:sz w:val="20"/>
        </w:rPr>
      </w:pPr>
      <w:r>
        <w:rPr>
          <w:rFonts w:ascii="Microsoft JhengHei" w:eastAsia="Microsoft JhengHei" w:hint="eastAsia"/>
          <w:b/>
          <w:sz w:val="20"/>
        </w:rPr>
        <w:t>（本商品部分年齡可能發生累積所繳保險費超出身故保險金給付之情形）</w:t>
      </w:r>
    </w:p>
    <w:p>
      <w:pPr>
        <w:pStyle w:val="Heading2"/>
        <w:spacing w:line="170" w:lineRule="auto" w:before="23"/>
        <w:ind w:left="432" w:right="151" w:hanging="200"/>
      </w:pPr>
      <w:r>
        <w:rPr>
          <w:w w:val="95"/>
        </w:rPr>
        <w:t>（本契約「長期照顧服務或長期照顧保險金」或「完全失能生活扶助保險金」給付至給付次數滿十六次、被保</w:t>
      </w:r>
      <w:r>
        <w:rPr>
          <w:spacing w:val="59"/>
        </w:rPr>
        <w:t> </w:t>
      </w:r>
      <w:r>
        <w:rPr>
          <w:spacing w:val="169"/>
        </w:rPr>
        <w:t> </w:t>
      </w:r>
      <w:r>
        <w:rPr/>
        <w:t>險人身故日、被保險人保險年齡到達九十九歲之保險單週年日，三者較早屆至之日止）</w:t>
      </w:r>
    </w:p>
    <w:p>
      <w:pPr>
        <w:spacing w:line="235" w:lineRule="exact" w:before="0"/>
        <w:ind w:left="232" w:right="0" w:firstLine="0"/>
        <w:jc w:val="left"/>
        <w:rPr>
          <w:rFonts w:ascii="Microsoft JhengHei" w:eastAsia="Microsoft JhengHei" w:hint="eastAsia"/>
          <w:b/>
          <w:sz w:val="20"/>
        </w:rPr>
      </w:pPr>
      <w:r>
        <w:rPr>
          <w:rFonts w:ascii="Microsoft JhengHei" w:eastAsia="Microsoft JhengHei" w:hint="eastAsia"/>
          <w:b/>
          <w:sz w:val="20"/>
        </w:rPr>
        <w:t>（附件二的服務費用將以服務提供當時公告於國泰人壽官方網站之最新服務費用為準）</w:t>
      </w:r>
    </w:p>
    <w:p>
      <w:pPr>
        <w:pStyle w:val="Heading2"/>
        <w:spacing w:line="170" w:lineRule="auto" w:before="23"/>
        <w:ind w:left="432" w:right="159" w:hanging="200"/>
      </w:pPr>
      <w:r>
        <w:rPr/>
        <w:drawing>
          <wp:anchor distT="0" distB="0" distL="0" distR="0" allowOverlap="1" layoutInCell="1" locked="0" behindDoc="1" simplePos="0" relativeHeight="487254528">
            <wp:simplePos x="0" y="0"/>
            <wp:positionH relativeFrom="page">
              <wp:posOffset>2873329</wp:posOffset>
            </wp:positionH>
            <wp:positionV relativeFrom="paragraph">
              <wp:posOffset>139491</wp:posOffset>
            </wp:positionV>
            <wp:extent cx="1834583" cy="442722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4583" cy="4427220"/>
                    </a:xfrm>
                    <a:prstGeom prst="rect">
                      <a:avLst/>
                    </a:prstGeom>
                  </pic:spPr>
                </pic:pic>
              </a:graphicData>
            </a:graphic>
          </wp:anchor>
        </w:drawing>
      </w:r>
      <w:r>
        <w:rPr>
          <w:w w:val="95"/>
        </w:rPr>
        <w:t>（長期照顧服務之「服務區域」為臺北市、新北市、臺中市及高雄市內，長期照顧服務機構得提供服務之區</w:t>
      </w:r>
      <w:r>
        <w:rPr>
          <w:spacing w:val="49"/>
        </w:rPr>
        <w:t>    </w:t>
      </w:r>
      <w:r>
        <w:rPr>
          <w:spacing w:val="50"/>
        </w:rPr>
        <w:t> </w:t>
      </w:r>
      <w:r>
        <w:rPr/>
        <w:t>域，以實際提供服務時國泰人壽官方網站公告之區域為準）</w:t>
      </w:r>
    </w:p>
    <w:p>
      <w:pPr>
        <w:spacing w:line="170" w:lineRule="auto" w:before="0"/>
        <w:ind w:left="418" w:right="149" w:hanging="186"/>
        <w:jc w:val="left"/>
        <w:rPr>
          <w:rFonts w:ascii="Microsoft JhengHei" w:eastAsia="Microsoft JhengHei" w:hint="eastAsia"/>
          <w:b/>
          <w:sz w:val="20"/>
        </w:rPr>
      </w:pPr>
      <w:r>
        <w:rPr>
          <w:rFonts w:ascii="Microsoft JhengHei" w:eastAsia="Microsoft JhengHei" w:hint="eastAsia"/>
          <w:b/>
          <w:w w:val="95"/>
          <w:sz w:val="20"/>
        </w:rPr>
        <w:t>（被保險人於本契約有效期間內同時符合「長期照顧復健保險金」及「完全失能關懷保險金」的給付條件時，</w:t>
      </w:r>
      <w:r>
        <w:rPr>
          <w:rFonts w:ascii="Microsoft JhengHei" w:eastAsia="Microsoft JhengHei" w:hint="eastAsia"/>
          <w:b/>
          <w:spacing w:val="63"/>
          <w:sz w:val="20"/>
        </w:rPr>
        <w:t>  </w:t>
      </w:r>
      <w:r>
        <w:rPr>
          <w:rFonts w:ascii="Microsoft JhengHei" w:eastAsia="Microsoft JhengHei" w:hint="eastAsia"/>
          <w:b/>
          <w:spacing w:val="64"/>
          <w:sz w:val="20"/>
        </w:rPr>
        <w:t> </w:t>
      </w:r>
      <w:r>
        <w:rPr>
          <w:rFonts w:ascii="Microsoft JhengHei" w:eastAsia="Microsoft JhengHei" w:hint="eastAsia"/>
          <w:b/>
          <w:w w:val="95"/>
          <w:sz w:val="20"/>
        </w:rPr>
        <w:t>本公司僅給付「完全失能關懷保險金」；若已先符合「長期照顧復健保險金」之給付條件者，則不再給付</w:t>
      </w:r>
    </w:p>
    <w:p>
      <w:pPr>
        <w:pStyle w:val="Heading2"/>
        <w:spacing w:line="236" w:lineRule="exact"/>
        <w:ind w:left="418"/>
      </w:pPr>
      <w:r>
        <w:rPr/>
        <w:t>「完全失能關懷保險金」）</w:t>
      </w:r>
    </w:p>
    <w:p>
      <w:pPr>
        <w:spacing w:line="170" w:lineRule="auto" w:before="22"/>
        <w:ind w:left="432" w:right="159" w:hanging="200"/>
        <w:jc w:val="both"/>
        <w:rPr>
          <w:rFonts w:ascii="Microsoft JhengHei" w:eastAsia="Microsoft JhengHei" w:hint="eastAsia"/>
          <w:b/>
          <w:sz w:val="20"/>
        </w:rPr>
      </w:pPr>
      <w:r>
        <w:rPr>
          <w:rFonts w:ascii="Microsoft JhengHei" w:eastAsia="Microsoft JhengHei" w:hint="eastAsia"/>
          <w:b/>
          <w:w w:val="95"/>
          <w:sz w:val="20"/>
        </w:rPr>
        <w:t>（被保險人於本契約有效期間內同時符合「長期照顧服務或長期照顧保險金」及「完全失能生活扶助保險金」</w:t>
      </w:r>
      <w:r>
        <w:rPr>
          <w:rFonts w:ascii="Microsoft JhengHei" w:eastAsia="Microsoft JhengHei" w:hint="eastAsia"/>
          <w:b/>
          <w:spacing w:val="59"/>
          <w:sz w:val="20"/>
        </w:rPr>
        <w:t> </w:t>
      </w:r>
      <w:r>
        <w:rPr>
          <w:rFonts w:ascii="Microsoft JhengHei" w:eastAsia="Microsoft JhengHei" w:hint="eastAsia"/>
          <w:b/>
          <w:spacing w:val="170"/>
          <w:sz w:val="20"/>
        </w:rPr>
        <w:t> </w:t>
      </w:r>
      <w:r>
        <w:rPr>
          <w:rFonts w:ascii="Microsoft JhengHei" w:eastAsia="Microsoft JhengHei" w:hint="eastAsia"/>
          <w:b/>
          <w:w w:val="95"/>
          <w:sz w:val="20"/>
        </w:rPr>
        <w:t>的給付條件時，本公司僅給付「完全失能生活扶助保險金」；若已先符合「長期照顧服務或長期照顧保險</w:t>
      </w:r>
      <w:r>
        <w:rPr>
          <w:rFonts w:ascii="Microsoft JhengHei" w:eastAsia="Microsoft JhengHei" w:hint="eastAsia"/>
          <w:b/>
          <w:spacing w:val="49"/>
          <w:sz w:val="20"/>
        </w:rPr>
        <w:t>    </w:t>
      </w:r>
      <w:r>
        <w:rPr>
          <w:rFonts w:ascii="Microsoft JhengHei" w:eastAsia="Microsoft JhengHei" w:hint="eastAsia"/>
          <w:b/>
          <w:spacing w:val="50"/>
          <w:sz w:val="20"/>
        </w:rPr>
        <w:t> </w:t>
      </w:r>
      <w:r>
        <w:rPr>
          <w:rFonts w:ascii="Microsoft JhengHei" w:eastAsia="Microsoft JhengHei" w:hint="eastAsia"/>
          <w:b/>
          <w:sz w:val="20"/>
        </w:rPr>
        <w:t>金」之給付條件者，則不再給付「完全失能生活扶助保險金」）</w:t>
      </w:r>
    </w:p>
    <w:p>
      <w:pPr>
        <w:pStyle w:val="BodyText"/>
        <w:spacing w:before="7"/>
        <w:ind w:left="0"/>
        <w:rPr>
          <w:rFonts w:ascii="Microsoft JhengHei"/>
          <w:b/>
          <w:sz w:val="13"/>
        </w:rPr>
      </w:pPr>
    </w:p>
    <w:p>
      <w:pPr>
        <w:pStyle w:val="BodyText"/>
        <w:spacing w:before="1"/>
        <w:ind w:left="232"/>
      </w:pPr>
      <w:r>
        <w:rPr/>
        <w:t>110.07.01國壽字第110070206號函備查</w:t>
      </w:r>
    </w:p>
    <w:p>
      <w:pPr>
        <w:pStyle w:val="BodyText"/>
        <w:spacing w:before="3"/>
        <w:ind w:left="232"/>
      </w:pPr>
      <w:r>
        <w:rPr/>
        <w:t>112.02.08依111.08.30金管保壽字第1110445485號函修正</w:t>
      </w:r>
    </w:p>
    <w:p>
      <w:pPr>
        <w:pStyle w:val="BodyText"/>
        <w:spacing w:before="6"/>
        <w:ind w:left="0"/>
        <w:rPr>
          <w:sz w:val="15"/>
        </w:rPr>
      </w:pPr>
    </w:p>
    <w:p>
      <w:pPr>
        <w:pStyle w:val="Heading2"/>
        <w:tabs>
          <w:tab w:pos="1034" w:val="left" w:leader="none"/>
        </w:tabs>
        <w:spacing w:line="348" w:lineRule="exact"/>
      </w:pPr>
      <w:r>
        <w:rPr/>
        <w:t>第一條</w:t>
        <w:tab/>
        <w:t>保險契約的構成</w:t>
      </w:r>
    </w:p>
    <w:p>
      <w:pPr>
        <w:pStyle w:val="BodyText"/>
        <w:spacing w:line="236" w:lineRule="exact"/>
        <w:ind w:left="833"/>
      </w:pPr>
      <w:r>
        <w:rPr/>
        <w:t>本保險單條款、附著之要保書、批註及其他約定書，均為本保險契約（以下簡稱本契約）的構成部分。</w:t>
      </w:r>
    </w:p>
    <w:p>
      <w:pPr>
        <w:pStyle w:val="BodyText"/>
        <w:spacing w:line="242" w:lineRule="auto" w:before="3"/>
        <w:ind w:left="830" w:right="157"/>
      </w:pPr>
      <w:r>
        <w:rPr>
          <w:w w:val="95"/>
        </w:rPr>
        <w:t>本契約的解釋，應探求契約當事人的真意，不得拘泥於所用的文字；如有疑義時，以作有利於被保險人</w:t>
      </w:r>
      <w:r>
        <w:rPr>
          <w:spacing w:val="194"/>
        </w:rPr>
        <w:t> </w:t>
      </w:r>
      <w:r>
        <w:rPr/>
        <w:t>的解釋為原則。</w:t>
      </w:r>
    </w:p>
    <w:p>
      <w:pPr>
        <w:pStyle w:val="BodyText"/>
        <w:spacing w:before="6"/>
        <w:ind w:left="0"/>
        <w:rPr>
          <w:sz w:val="19"/>
        </w:rPr>
      </w:pPr>
    </w:p>
    <w:p>
      <w:pPr>
        <w:pStyle w:val="Heading2"/>
        <w:tabs>
          <w:tab w:pos="1034" w:val="left" w:leader="none"/>
        </w:tabs>
      </w:pPr>
      <w:r>
        <w:rPr/>
        <w:t>第二條</w:t>
        <w:tab/>
        <w:t>名詞定義</w:t>
      </w:r>
    </w:p>
    <w:p>
      <w:pPr>
        <w:pStyle w:val="BodyText"/>
        <w:spacing w:line="235" w:lineRule="exact"/>
        <w:ind w:left="833"/>
      </w:pPr>
      <w:r>
        <w:rPr/>
        <w:t>本契約名詞定義如下：</w:t>
      </w:r>
    </w:p>
    <w:p>
      <w:pPr>
        <w:pStyle w:val="BodyText"/>
        <w:spacing w:before="5"/>
        <w:ind w:left="830"/>
      </w:pPr>
      <w:r>
        <w:rPr/>
        <w:t>一、「疾病」：指被保險人自本契約生效日（或復效日）起所發生之疾病。</w:t>
      </w:r>
    </w:p>
    <w:p>
      <w:pPr>
        <w:pStyle w:val="BodyText"/>
        <w:spacing w:line="242" w:lineRule="auto" w:before="3"/>
        <w:ind w:left="830" w:right="1394"/>
      </w:pPr>
      <w:r>
        <w:rPr>
          <w:w w:val="95"/>
        </w:rPr>
        <w:t>二、「傷害」：指被保險人於本契約有效期間內，遭受意外傷害事故，因而蒙受之傷害。</w:t>
      </w:r>
      <w:r>
        <w:rPr>
          <w:spacing w:val="97"/>
        </w:rPr>
        <w:t> </w:t>
      </w:r>
      <w:r>
        <w:rPr/>
        <w:t>三、「意外傷害事故」：指非由疾病引起之外來突發事故。</w:t>
      </w:r>
    </w:p>
    <w:p>
      <w:pPr>
        <w:pStyle w:val="BodyText"/>
        <w:spacing w:line="242" w:lineRule="auto" w:before="3"/>
        <w:ind w:left="830" w:right="597"/>
      </w:pPr>
      <w:r>
        <w:rPr>
          <w:w w:val="95"/>
        </w:rPr>
        <w:t>四、「醫院」：指依照醫療法規定領有開業執照並設有病房收治病人之公、私立及醫療法人醫院。</w:t>
      </w:r>
      <w:r>
        <w:rPr>
          <w:spacing w:val="134"/>
        </w:rPr>
        <w:t> </w:t>
      </w:r>
      <w:r>
        <w:rPr/>
        <w:t>五、「醫師」：指領有醫師證書，合法執業者。</w:t>
      </w:r>
    </w:p>
    <w:p>
      <w:pPr>
        <w:pStyle w:val="BodyText"/>
        <w:spacing w:line="242" w:lineRule="auto" w:before="4"/>
        <w:ind w:left="1231" w:right="157" w:hanging="401"/>
      </w:pPr>
      <w:r>
        <w:rPr>
          <w:w w:val="95"/>
        </w:rPr>
        <w:t>六、「專科醫師」：指經醫師考試及格並完成專科醫師訓練，且經衛生福利部甄審合格，領有復健科、</w:t>
      </w:r>
      <w:r>
        <w:rPr>
          <w:spacing w:val="194"/>
        </w:rPr>
        <w:t> </w:t>
      </w:r>
      <w:r>
        <w:rPr/>
        <w:t>神經科、精神科或主要疾病相關科別之專科醫師證書者之執業醫師。</w:t>
      </w:r>
    </w:p>
    <w:p>
      <w:pPr>
        <w:pStyle w:val="BodyText"/>
        <w:spacing w:line="244" w:lineRule="auto"/>
        <w:ind w:left="1231" w:right="148" w:hanging="401"/>
      </w:pPr>
      <w:r>
        <w:rPr>
          <w:w w:val="95"/>
        </w:rPr>
        <w:t>七、「長期照顧狀態」：指被保險人經專科醫師診斷判定，符合下列之生理功能障礙或認知功能障礙二</w:t>
      </w:r>
      <w:r>
        <w:rPr>
          <w:spacing w:val="203"/>
        </w:rPr>
        <w:t> </w:t>
      </w:r>
      <w:r>
        <w:rPr/>
        <w:t>項情形之一者。</w:t>
      </w:r>
    </w:p>
    <w:p>
      <w:pPr>
        <w:pStyle w:val="BodyText"/>
        <w:spacing w:line="244" w:lineRule="auto"/>
        <w:ind w:left="1829" w:right="136" w:hanging="600"/>
      </w:pPr>
      <w:r>
        <w:rPr>
          <w:color w:val="5F4879"/>
        </w:rPr>
        <w:t>（</w:t>
      </w:r>
      <w:r>
        <w:rPr/>
        <w:t>一）生理功能障礙：係指被保險人經專科醫師依巴氏量表（Barthel</w:t>
      </w:r>
      <w:r>
        <w:rPr>
          <w:spacing w:val="81"/>
        </w:rPr>
        <w:t> </w:t>
      </w:r>
      <w:r>
        <w:rPr/>
        <w:t>Index）或依其它臨床專業</w:t>
      </w:r>
      <w:r>
        <w:rPr>
          <w:spacing w:val="11"/>
          <w:w w:val="95"/>
        </w:rPr>
        <w:t>評量表診斷判定其進食、移位、如廁、沐浴、平地行動及更衣等六項日常生活自理能力</w:t>
      </w:r>
    </w:p>
    <w:p>
      <w:pPr>
        <w:pStyle w:val="BodyText"/>
        <w:spacing w:line="242" w:lineRule="auto"/>
        <w:ind w:left="1829" w:right="1595"/>
      </w:pPr>
      <w:r>
        <w:rPr/>
        <w:t>（Activities</w:t>
      </w:r>
      <w:r>
        <w:rPr>
          <w:spacing w:val="-3"/>
        </w:rPr>
        <w:t> </w:t>
      </w:r>
      <w:r>
        <w:rPr/>
        <w:t>of</w:t>
      </w:r>
      <w:r>
        <w:rPr>
          <w:spacing w:val="-3"/>
        </w:rPr>
        <w:t> </w:t>
      </w:r>
      <w:r>
        <w:rPr/>
        <w:t>Daily</w:t>
      </w:r>
      <w:r>
        <w:rPr>
          <w:spacing w:val="-3"/>
        </w:rPr>
        <w:t> </w:t>
      </w:r>
      <w:r>
        <w:rPr/>
        <w:t>Living</w:t>
      </w:r>
      <w:r>
        <w:rPr>
          <w:spacing w:val="-1"/>
        </w:rPr>
        <w:t>, </w:t>
      </w:r>
      <w:r>
        <w:rPr/>
        <w:t>ADLs）持續存有三項（含）以上之障礙。前述六項日常生活自理能力（ADLs）存有障礙之定義如下：</w:t>
      </w:r>
    </w:p>
    <w:p>
      <w:pPr>
        <w:pStyle w:val="ListParagraph"/>
        <w:numPr>
          <w:ilvl w:val="0"/>
          <w:numId w:val="1"/>
        </w:numPr>
        <w:tabs>
          <w:tab w:pos="2026" w:val="left" w:leader="none"/>
        </w:tabs>
        <w:spacing w:line="240" w:lineRule="auto" w:before="0" w:after="0"/>
        <w:ind w:left="2026" w:right="0" w:hanging="202"/>
        <w:jc w:val="left"/>
        <w:rPr>
          <w:sz w:val="20"/>
        </w:rPr>
      </w:pPr>
      <w:r>
        <w:rPr>
          <w:w w:val="95"/>
          <w:sz w:val="20"/>
        </w:rPr>
        <w:t>進食障礙：須別人協助才能取用食物或穿脫進食輔具。</w:t>
      </w:r>
    </w:p>
    <w:p>
      <w:pPr>
        <w:pStyle w:val="ListParagraph"/>
        <w:numPr>
          <w:ilvl w:val="0"/>
          <w:numId w:val="1"/>
        </w:numPr>
        <w:tabs>
          <w:tab w:pos="2026" w:val="left" w:leader="none"/>
        </w:tabs>
        <w:spacing w:line="240" w:lineRule="auto" w:before="3" w:after="0"/>
        <w:ind w:left="2026" w:right="0" w:hanging="202"/>
        <w:jc w:val="left"/>
        <w:rPr>
          <w:sz w:val="20"/>
        </w:rPr>
      </w:pPr>
      <w:r>
        <w:rPr>
          <w:w w:val="95"/>
          <w:sz w:val="20"/>
        </w:rPr>
        <w:t>移位障礙：須別人協助才能由床移位至椅子或輪椅。</w:t>
      </w:r>
    </w:p>
    <w:p>
      <w:pPr>
        <w:pStyle w:val="ListParagraph"/>
        <w:numPr>
          <w:ilvl w:val="0"/>
          <w:numId w:val="1"/>
        </w:numPr>
        <w:tabs>
          <w:tab w:pos="2026" w:val="left" w:leader="none"/>
        </w:tabs>
        <w:spacing w:line="240" w:lineRule="auto" w:before="6" w:after="0"/>
        <w:ind w:left="2026" w:right="0" w:hanging="202"/>
        <w:jc w:val="left"/>
        <w:rPr>
          <w:sz w:val="20"/>
        </w:rPr>
      </w:pPr>
      <w:r>
        <w:rPr>
          <w:w w:val="95"/>
          <w:sz w:val="20"/>
        </w:rPr>
        <w:t>如廁障礙：如廁過程中須別人協助才能保持平衡、整理衣物或使用衛生紙。</w:t>
      </w:r>
    </w:p>
    <w:p>
      <w:pPr>
        <w:pStyle w:val="ListParagraph"/>
        <w:numPr>
          <w:ilvl w:val="0"/>
          <w:numId w:val="1"/>
        </w:numPr>
        <w:tabs>
          <w:tab w:pos="2026" w:val="left" w:leader="none"/>
        </w:tabs>
        <w:spacing w:line="240" w:lineRule="auto" w:before="2" w:after="0"/>
        <w:ind w:left="2026" w:right="0" w:hanging="202"/>
        <w:jc w:val="left"/>
        <w:rPr>
          <w:sz w:val="20"/>
        </w:rPr>
      </w:pPr>
      <w:r>
        <w:rPr>
          <w:w w:val="95"/>
          <w:sz w:val="20"/>
        </w:rPr>
        <w:t>沐浴障礙：須別人協助才能完成盆浴或淋浴。</w:t>
      </w:r>
    </w:p>
    <w:p>
      <w:pPr>
        <w:pStyle w:val="ListParagraph"/>
        <w:numPr>
          <w:ilvl w:val="0"/>
          <w:numId w:val="1"/>
        </w:numPr>
        <w:tabs>
          <w:tab w:pos="2026" w:val="left" w:leader="none"/>
        </w:tabs>
        <w:spacing w:line="244" w:lineRule="auto" w:before="3" w:after="0"/>
        <w:ind w:left="2023" w:right="150" w:hanging="200"/>
        <w:jc w:val="left"/>
        <w:rPr>
          <w:sz w:val="20"/>
        </w:rPr>
      </w:pPr>
      <w:r>
        <w:rPr>
          <w:w w:val="95"/>
          <w:sz w:val="20"/>
        </w:rPr>
        <w:t>平地行動障礙：雖經別人扶持或使用輔具亦無法行動，且須別人協助才能操作輪椅或電動</w:t>
      </w:r>
      <w:r>
        <w:rPr>
          <w:spacing w:val="145"/>
          <w:sz w:val="20"/>
        </w:rPr>
        <w:t> </w:t>
      </w:r>
      <w:r>
        <w:rPr>
          <w:sz w:val="20"/>
        </w:rPr>
        <w:t>輪椅。</w:t>
      </w:r>
    </w:p>
    <w:p>
      <w:pPr>
        <w:pStyle w:val="ListParagraph"/>
        <w:numPr>
          <w:ilvl w:val="0"/>
          <w:numId w:val="1"/>
        </w:numPr>
        <w:tabs>
          <w:tab w:pos="2026" w:val="left" w:leader="none"/>
        </w:tabs>
        <w:spacing w:line="254" w:lineRule="exact" w:before="0" w:after="0"/>
        <w:ind w:left="2026" w:right="0" w:hanging="202"/>
        <w:jc w:val="left"/>
        <w:rPr>
          <w:sz w:val="20"/>
        </w:rPr>
      </w:pPr>
      <w:r>
        <w:rPr>
          <w:w w:val="95"/>
          <w:sz w:val="20"/>
        </w:rPr>
        <w:t>更衣障礙：須別人完全協助才能完成穿脱衣褲鞋襪（含義肢、支架）。</w:t>
      </w:r>
    </w:p>
    <w:p>
      <w:pPr>
        <w:pStyle w:val="BodyText"/>
        <w:spacing w:before="6"/>
        <w:ind w:left="1229"/>
      </w:pPr>
      <w:r>
        <w:rPr/>
        <w:t>（二）認知功能障礙：係指被保險人經專科醫師診斷判定為持續失智狀態（係指按「國際疾病傷害</w:t>
      </w:r>
    </w:p>
    <w:p>
      <w:pPr>
        <w:spacing w:after="0"/>
        <w:sectPr>
          <w:pgSz w:w="11910" w:h="16840"/>
          <w:pgMar w:header="0" w:footer="855" w:top="1380" w:bottom="1040" w:left="900" w:right="980"/>
        </w:sectPr>
      </w:pPr>
    </w:p>
    <w:p>
      <w:pPr>
        <w:pStyle w:val="BodyText"/>
        <w:spacing w:before="29"/>
        <w:ind w:left="1829"/>
      </w:pPr>
      <w:r>
        <w:rPr>
          <w:spacing w:val="24"/>
          <w:w w:val="95"/>
        </w:rPr>
        <w:t>及死因分類標準」第十版</w:t>
      </w:r>
      <w:r>
        <w:rPr>
          <w:w w:val="95"/>
        </w:rPr>
        <w:t>（</w:t>
      </w:r>
      <w:r>
        <w:rPr>
          <w:spacing w:val="115"/>
        </w:rPr>
        <w:t>  </w:t>
      </w:r>
      <w:r>
        <w:rPr>
          <w:w w:val="95"/>
        </w:rPr>
        <w:t>ICD-10-CM），</w:t>
      </w:r>
      <w:r>
        <w:rPr>
          <w:spacing w:val="24"/>
          <w:w w:val="95"/>
        </w:rPr>
        <w:t>如附件一所列項目），且依臨床失智量表</w:t>
      </w:r>
    </w:p>
    <w:p>
      <w:pPr>
        <w:pStyle w:val="BodyText"/>
        <w:spacing w:line="244" w:lineRule="auto" w:before="4"/>
        <w:ind w:left="1829" w:right="152"/>
      </w:pPr>
      <w:r>
        <w:rPr/>
        <w:t>（Clinical</w:t>
      </w:r>
      <w:r>
        <w:rPr>
          <w:spacing w:val="16"/>
        </w:rPr>
        <w:t> </w:t>
      </w:r>
      <w:r>
        <w:rPr/>
        <w:t>Dementia</w:t>
      </w:r>
      <w:r>
        <w:rPr>
          <w:spacing w:val="17"/>
        </w:rPr>
        <w:t> </w:t>
      </w:r>
      <w:r>
        <w:rPr/>
        <w:t>Rating</w:t>
      </w:r>
      <w:r>
        <w:rPr>
          <w:spacing w:val="16"/>
        </w:rPr>
        <w:t> </w:t>
      </w:r>
      <w:r>
        <w:rPr/>
        <w:t>Scale</w:t>
      </w:r>
      <w:r>
        <w:rPr>
          <w:spacing w:val="8"/>
        </w:rPr>
        <w:t>, </w:t>
      </w:r>
      <w:r>
        <w:rPr/>
        <w:t>CDR）評估達中度（含）</w:t>
      </w:r>
      <w:r>
        <w:rPr>
          <w:spacing w:val="3"/>
        </w:rPr>
        <w:t>以上(即 </w:t>
      </w:r>
      <w:r>
        <w:rPr/>
        <w:t>CDR</w:t>
      </w:r>
      <w:r>
        <w:rPr>
          <w:spacing w:val="3"/>
        </w:rPr>
        <w:t> 大於或等於 </w:t>
      </w:r>
      <w:r>
        <w:rPr/>
        <w:t>2</w:t>
      </w:r>
      <w:r>
        <w:rPr>
          <w:spacing w:val="-97"/>
        </w:rPr>
        <w:t> </w:t>
      </w:r>
      <w:r>
        <w:rPr/>
        <w:t>分，非各分項總和)者。</w:t>
      </w:r>
    </w:p>
    <w:p>
      <w:pPr>
        <w:pStyle w:val="BodyText"/>
        <w:spacing w:line="242" w:lineRule="auto"/>
        <w:ind w:left="1231" w:right="157" w:hanging="401"/>
      </w:pPr>
      <w:r>
        <w:rPr>
          <w:w w:val="95"/>
        </w:rPr>
        <w:t>八、「免責期間」：指被保險人經專科醫師診斷確定為長期照顧狀態之日起算，持續達九十日之期間而</w:t>
      </w:r>
      <w:r>
        <w:rPr>
          <w:spacing w:val="194"/>
        </w:rPr>
        <w:t> </w:t>
      </w:r>
      <w:r>
        <w:rPr/>
        <w:t>言。</w:t>
      </w:r>
    </w:p>
    <w:p>
      <w:pPr>
        <w:pStyle w:val="BodyText"/>
        <w:spacing w:line="242" w:lineRule="auto" w:before="1"/>
        <w:ind w:left="1231" w:right="157" w:hanging="401"/>
      </w:pPr>
      <w:r>
        <w:rPr>
          <w:w w:val="95"/>
        </w:rPr>
        <w:t>九、「長期照顧服務機構」：指與本公司合作，以提供長期照顧需求評估服務或長期照顧服務為目的，</w:t>
      </w:r>
      <w:r>
        <w:rPr>
          <w:spacing w:val="194"/>
        </w:rPr>
        <w:t> </w:t>
      </w:r>
      <w:r>
        <w:rPr/>
        <w:t>依長期照顧服務法設立之機構。</w:t>
      </w:r>
    </w:p>
    <w:p>
      <w:pPr>
        <w:pStyle w:val="BodyText"/>
        <w:spacing w:before="3"/>
        <w:ind w:left="830"/>
      </w:pPr>
      <w:r>
        <w:rPr/>
        <w:t>十、「長期照顧計畫」：指長期照顧服務機構為提供被保險人長期照顧服務而擬定之照顧計畫。</w:t>
      </w:r>
    </w:p>
    <w:p>
      <w:pPr>
        <w:pStyle w:val="BodyText"/>
        <w:spacing w:line="244" w:lineRule="auto" w:before="3"/>
        <w:ind w:left="1438" w:right="152" w:hanging="593"/>
        <w:jc w:val="both"/>
      </w:pPr>
      <w:r>
        <w:rPr>
          <w:w w:val="95"/>
        </w:rPr>
        <w:t>十一、「長期照顧給付年度」：指自「免責期間」屆滿的翌日起算之年度。自「免責期間」屆滿的翌日</w:t>
      </w:r>
      <w:r>
        <w:rPr>
          <w:spacing w:val="194"/>
        </w:rPr>
        <w:t> </w:t>
      </w:r>
      <w:r>
        <w:rPr>
          <w:w w:val="95"/>
        </w:rPr>
        <w:t>起算一年的期間為第一長期照顧給付年度，第一長期照顧給付年度屆滿的翌日起算一年的期間為</w:t>
      </w:r>
      <w:r>
        <w:rPr>
          <w:spacing w:val="171"/>
        </w:rPr>
        <w:t> </w:t>
      </w:r>
      <w:r>
        <w:rPr>
          <w:w w:val="95"/>
        </w:rPr>
        <w:t>第二長期照顧給付年度（</w:t>
      </w:r>
      <w:r>
        <w:rPr>
          <w:spacing w:val="1"/>
          <w:w w:val="95"/>
        </w:rPr>
        <w:t>例如「免責期間」屆滿的翌日為 </w:t>
      </w:r>
      <w:r>
        <w:rPr>
          <w:w w:val="95"/>
        </w:rPr>
        <w:t>110</w:t>
      </w:r>
      <w:r>
        <w:rPr>
          <w:spacing w:val="15"/>
          <w:w w:val="95"/>
        </w:rPr>
        <w:t> 年 </w:t>
      </w:r>
      <w:r>
        <w:rPr>
          <w:w w:val="95"/>
        </w:rPr>
        <w:t>7</w:t>
      </w:r>
      <w:r>
        <w:rPr>
          <w:spacing w:val="17"/>
          <w:w w:val="95"/>
        </w:rPr>
        <w:t> 月 </w:t>
      </w:r>
      <w:r>
        <w:rPr>
          <w:w w:val="95"/>
        </w:rPr>
        <w:t>1 日，則第一長期照顧給付</w:t>
      </w:r>
    </w:p>
    <w:p>
      <w:pPr>
        <w:pStyle w:val="BodyText"/>
        <w:spacing w:line="252" w:lineRule="exact"/>
        <w:ind w:left="1438"/>
        <w:jc w:val="both"/>
      </w:pPr>
      <w:r>
        <w:rPr>
          <w:spacing w:val="-6"/>
          <w:w w:val="95"/>
        </w:rPr>
        <w:t>年度為 </w:t>
      </w:r>
      <w:r>
        <w:rPr>
          <w:w w:val="95"/>
        </w:rPr>
        <w:t>111</w:t>
      </w:r>
      <w:r>
        <w:rPr>
          <w:spacing w:val="-14"/>
          <w:w w:val="95"/>
        </w:rPr>
        <w:t> 年 </w:t>
      </w:r>
      <w:r>
        <w:rPr>
          <w:w w:val="95"/>
        </w:rPr>
        <w:t>7</w:t>
      </w:r>
      <w:r>
        <w:rPr>
          <w:spacing w:val="-14"/>
          <w:w w:val="95"/>
        </w:rPr>
        <w:t> 月 </w:t>
      </w:r>
      <w:r>
        <w:rPr>
          <w:w w:val="95"/>
        </w:rPr>
        <w:t>1</w:t>
      </w:r>
      <w:r>
        <w:rPr>
          <w:spacing w:val="-11"/>
          <w:w w:val="95"/>
        </w:rPr>
        <w:t> 日至 </w:t>
      </w:r>
      <w:r>
        <w:rPr>
          <w:w w:val="95"/>
        </w:rPr>
        <w:t>112</w:t>
      </w:r>
      <w:r>
        <w:rPr>
          <w:spacing w:val="-15"/>
          <w:w w:val="95"/>
        </w:rPr>
        <w:t> 年 </w:t>
      </w:r>
      <w:r>
        <w:rPr>
          <w:w w:val="95"/>
        </w:rPr>
        <w:t>6</w:t>
      </w:r>
      <w:r>
        <w:rPr>
          <w:spacing w:val="-14"/>
          <w:w w:val="95"/>
        </w:rPr>
        <w:t> 月 </w:t>
      </w:r>
      <w:r>
        <w:rPr>
          <w:w w:val="95"/>
        </w:rPr>
        <w:t>30</w:t>
      </w:r>
      <w:r>
        <w:rPr>
          <w:spacing w:val="-6"/>
          <w:w w:val="95"/>
        </w:rPr>
        <w:t> 日，第二長期照顧給付年度為 </w:t>
      </w:r>
      <w:r>
        <w:rPr>
          <w:w w:val="95"/>
        </w:rPr>
        <w:t>112</w:t>
      </w:r>
      <w:r>
        <w:rPr>
          <w:spacing w:val="-15"/>
          <w:w w:val="95"/>
        </w:rPr>
        <w:t> 年 </w:t>
      </w:r>
      <w:r>
        <w:rPr>
          <w:w w:val="95"/>
        </w:rPr>
        <w:t>7</w:t>
      </w:r>
      <w:r>
        <w:rPr>
          <w:spacing w:val="-15"/>
          <w:w w:val="95"/>
        </w:rPr>
        <w:t> 月 </w:t>
      </w:r>
      <w:r>
        <w:rPr>
          <w:w w:val="95"/>
        </w:rPr>
        <w:t>1</w:t>
      </w:r>
      <w:r>
        <w:rPr>
          <w:spacing w:val="-11"/>
          <w:w w:val="95"/>
        </w:rPr>
        <w:t> 日至 </w:t>
      </w:r>
      <w:r>
        <w:rPr>
          <w:w w:val="95"/>
        </w:rPr>
        <w:t>113</w:t>
      </w:r>
      <w:r>
        <w:rPr>
          <w:spacing w:val="-10"/>
          <w:w w:val="95"/>
        </w:rPr>
        <w:t> 年</w:t>
      </w:r>
    </w:p>
    <w:p>
      <w:pPr>
        <w:pStyle w:val="BodyText"/>
        <w:spacing w:before="5"/>
        <w:ind w:left="1438"/>
        <w:jc w:val="both"/>
      </w:pPr>
      <w:r>
        <w:rPr>
          <w:w w:val="95"/>
        </w:rPr>
        <w:t>6</w:t>
      </w:r>
      <w:r>
        <w:rPr>
          <w:spacing w:val="-14"/>
          <w:w w:val="95"/>
        </w:rPr>
        <w:t> 月 </w:t>
      </w:r>
      <w:r>
        <w:rPr>
          <w:w w:val="95"/>
        </w:rPr>
        <w:t>30</w:t>
      </w:r>
      <w:r>
        <w:rPr>
          <w:spacing w:val="-12"/>
          <w:w w:val="95"/>
        </w:rPr>
        <w:t> 日</w:t>
      </w:r>
      <w:r>
        <w:rPr>
          <w:w w:val="95"/>
        </w:rPr>
        <w:t>），以此類推。</w:t>
      </w:r>
    </w:p>
    <w:p>
      <w:pPr>
        <w:pStyle w:val="BodyText"/>
        <w:spacing w:line="242" w:lineRule="auto" w:before="3"/>
        <w:ind w:left="1438" w:right="158" w:hanging="593"/>
      </w:pPr>
      <w:r>
        <w:rPr/>
        <w:drawing>
          <wp:anchor distT="0" distB="0" distL="0" distR="0" allowOverlap="1" layoutInCell="1" locked="0" behindDoc="1" simplePos="0" relativeHeight="487255040">
            <wp:simplePos x="0" y="0"/>
            <wp:positionH relativeFrom="page">
              <wp:posOffset>2873329</wp:posOffset>
            </wp:positionH>
            <wp:positionV relativeFrom="paragraph">
              <wp:posOffset>100329</wp:posOffset>
            </wp:positionV>
            <wp:extent cx="1834583" cy="442722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4583" cy="4427220"/>
                    </a:xfrm>
                    <a:prstGeom prst="rect">
                      <a:avLst/>
                    </a:prstGeom>
                  </pic:spPr>
                </pic:pic>
              </a:graphicData>
            </a:graphic>
          </wp:anchor>
        </w:drawing>
      </w:r>
      <w:r>
        <w:rPr>
          <w:w w:val="95"/>
        </w:rPr>
        <w:t>十二、「長期照顧保險金給付日」：指「免責期間」屆滿的翌日及以後每年與該日相當之日（如無相當</w:t>
      </w:r>
      <w:r>
        <w:rPr>
          <w:spacing w:val="178"/>
        </w:rPr>
        <w:t> </w:t>
      </w:r>
      <w:r>
        <w:rPr/>
        <w:t>日則為該月之末日）。</w:t>
      </w:r>
    </w:p>
    <w:p>
      <w:pPr>
        <w:pStyle w:val="BodyText"/>
        <w:spacing w:line="244" w:lineRule="auto" w:before="3"/>
        <w:ind w:left="1438" w:right="157" w:hanging="593"/>
        <w:jc w:val="both"/>
      </w:pPr>
      <w:r>
        <w:rPr>
          <w:w w:val="95"/>
        </w:rPr>
        <w:t>十三、「長期照顧服務未支領餘額」：指被保險人於該長期照顧給付年度未使用之長期照顧服務餘額，</w:t>
      </w:r>
      <w:r>
        <w:rPr>
          <w:spacing w:val="189"/>
        </w:rPr>
        <w:t> </w:t>
      </w:r>
      <w:r>
        <w:rPr>
          <w:w w:val="95"/>
        </w:rPr>
        <w:t>其計算方式為保險金額之十二倍扣除長期照顧服務機構已提供之長期照顧服務換算等值金額後之</w:t>
      </w:r>
      <w:r>
        <w:rPr>
          <w:spacing w:val="156"/>
        </w:rPr>
        <w:t> </w:t>
      </w:r>
      <w:r>
        <w:rPr/>
        <w:t>餘額。</w:t>
      </w:r>
    </w:p>
    <w:p>
      <w:pPr>
        <w:pStyle w:val="BodyText"/>
        <w:spacing w:line="242" w:lineRule="auto"/>
        <w:ind w:left="1438" w:right="155" w:hanging="593"/>
      </w:pPr>
      <w:r>
        <w:rPr>
          <w:w w:val="95"/>
        </w:rPr>
        <w:t>十四、「服務區域」：指臺北市、新北市、臺中市及高雄市內，長期照顧服務機構得提供服務之區域，</w:t>
      </w:r>
      <w:r>
        <w:rPr>
          <w:spacing w:val="181"/>
        </w:rPr>
        <w:t> </w:t>
      </w:r>
      <w:r>
        <w:rPr/>
        <w:t>並以實際提供服務時本公司官方網站公告之區域為準。</w:t>
      </w:r>
    </w:p>
    <w:p>
      <w:pPr>
        <w:pStyle w:val="BodyText"/>
        <w:spacing w:line="242" w:lineRule="auto"/>
        <w:ind w:left="1430" w:right="150" w:hanging="600"/>
      </w:pPr>
      <w:r>
        <w:rPr>
          <w:w w:val="95"/>
        </w:rPr>
        <w:t>十五、「保險金額」：指保險單所載本契約(不含其他附約、附加條款、批註條款)之保險金額，如該金</w:t>
      </w:r>
      <w:r>
        <w:rPr>
          <w:spacing w:val="201"/>
        </w:rPr>
        <w:t> </w:t>
      </w:r>
      <w:r>
        <w:rPr/>
        <w:t>額有所變更時，以變更後之金額為準。</w:t>
      </w:r>
    </w:p>
    <w:p>
      <w:pPr>
        <w:pStyle w:val="BodyText"/>
        <w:spacing w:line="242" w:lineRule="auto" w:before="3"/>
        <w:ind w:left="1430" w:right="156" w:hanging="600"/>
      </w:pPr>
      <w:r>
        <w:rPr>
          <w:w w:val="95"/>
        </w:rPr>
        <w:t>十六、「保險年齡」：按被保險人投保本契約時之足歲計算，但是未滿一歲的零數超過六個月者加算一</w:t>
      </w:r>
      <w:r>
        <w:rPr>
          <w:spacing w:val="195"/>
        </w:rPr>
        <w:t> </w:t>
      </w:r>
      <w:r>
        <w:rPr/>
        <w:t>歲，之後須每經過一個保險單年度始加計一歲。</w:t>
      </w:r>
    </w:p>
    <w:p>
      <w:pPr>
        <w:pStyle w:val="BodyText"/>
        <w:spacing w:before="4"/>
        <w:ind w:left="0"/>
        <w:rPr>
          <w:sz w:val="15"/>
        </w:rPr>
      </w:pPr>
    </w:p>
    <w:p>
      <w:pPr>
        <w:pStyle w:val="Heading2"/>
        <w:tabs>
          <w:tab w:pos="1034" w:val="left" w:leader="none"/>
        </w:tabs>
      </w:pPr>
      <w:r>
        <w:rPr/>
        <w:t>第三條</w:t>
        <w:tab/>
        <w:t>契約撤銷權</w:t>
      </w:r>
    </w:p>
    <w:p>
      <w:pPr>
        <w:pStyle w:val="BodyText"/>
        <w:spacing w:line="235" w:lineRule="exact"/>
        <w:ind w:left="833"/>
      </w:pPr>
      <w:r>
        <w:rPr/>
        <w:t>要保人於保險單送達的翌日起算十日內，得以書面或其他約定方式檢同保險單向本公司撤銷本契約。</w:t>
      </w:r>
    </w:p>
    <w:p>
      <w:pPr>
        <w:pStyle w:val="BodyText"/>
        <w:spacing w:line="244" w:lineRule="auto" w:before="6"/>
        <w:ind w:left="830" w:right="153"/>
        <w:jc w:val="both"/>
      </w:pPr>
      <w:r>
        <w:rPr>
          <w:w w:val="95"/>
        </w:rPr>
        <w:t>要保人依前項規定行使本契約撤銷權者，撤銷的效力應自要保人書面或其他約定方式之意思表示到達翌</w:t>
      </w:r>
      <w:r>
        <w:rPr>
          <w:spacing w:val="208"/>
        </w:rPr>
        <w:t> </w:t>
      </w:r>
      <w:r>
        <w:rPr>
          <w:w w:val="95"/>
        </w:rPr>
        <w:t>日零時起生效，本契約自始無效，本公司應無息退還要保人所繳保險費；本契約撤銷生效後所發生的保</w:t>
      </w:r>
      <w:r>
        <w:rPr>
          <w:spacing w:val="208"/>
        </w:rPr>
        <w:t> </w:t>
      </w:r>
      <w:r>
        <w:rPr>
          <w:w w:val="95"/>
        </w:rPr>
        <w:t>險事故，本公司不負保險責任。但契約撤銷生效前，若發生保險事故者，視為未撤銷，本公司仍應依本</w:t>
      </w:r>
      <w:r>
        <w:rPr>
          <w:spacing w:val="198"/>
        </w:rPr>
        <w:t> </w:t>
      </w:r>
      <w:r>
        <w:rPr/>
        <w:t>契約規定負保險責任。</w:t>
      </w:r>
    </w:p>
    <w:p>
      <w:pPr>
        <w:pStyle w:val="BodyText"/>
        <w:spacing w:before="9"/>
        <w:ind w:left="0"/>
        <w:rPr>
          <w:sz w:val="18"/>
        </w:rPr>
      </w:pPr>
    </w:p>
    <w:p>
      <w:pPr>
        <w:pStyle w:val="Heading2"/>
        <w:tabs>
          <w:tab w:pos="1034" w:val="left" w:leader="none"/>
        </w:tabs>
        <w:spacing w:line="348" w:lineRule="exact"/>
      </w:pPr>
      <w:r>
        <w:rPr/>
        <w:t>第四條</w:t>
        <w:tab/>
        <w:t>保險責任的開始及交付保險費</w:t>
      </w:r>
    </w:p>
    <w:p>
      <w:pPr>
        <w:pStyle w:val="BodyText"/>
        <w:spacing w:line="236" w:lineRule="exact"/>
        <w:ind w:left="833"/>
      </w:pPr>
      <w:r>
        <w:rPr/>
        <w:t>本公司應自同意承保並收取第一期保險費後負保險責任，並應發給保險單作為承保的憑證。</w:t>
      </w:r>
    </w:p>
    <w:p>
      <w:pPr>
        <w:pStyle w:val="BodyText"/>
        <w:spacing w:line="242" w:lineRule="auto" w:before="3"/>
        <w:ind w:left="830" w:right="157"/>
      </w:pPr>
      <w:r>
        <w:rPr>
          <w:w w:val="95"/>
        </w:rPr>
        <w:t>本公司如於同意承保前，預收相當於第一期保險費之金額時，其應負之保險責任，以同意承保時溯自預</w:t>
      </w:r>
      <w:r>
        <w:rPr>
          <w:spacing w:val="194"/>
        </w:rPr>
        <w:t> </w:t>
      </w:r>
      <w:r>
        <w:rPr/>
        <w:t>收相當於第一期保險費金額時開始。</w:t>
      </w:r>
    </w:p>
    <w:p>
      <w:pPr>
        <w:pStyle w:val="BodyText"/>
        <w:spacing w:before="3"/>
        <w:ind w:left="833"/>
      </w:pPr>
      <w:r>
        <w:rPr/>
        <w:t>前項情形，在本公司為同意承保與否之意思表示前發生應予給付之保險事故時，本公司仍負保險責任。</w:t>
      </w:r>
    </w:p>
    <w:p>
      <w:pPr>
        <w:pStyle w:val="BodyText"/>
        <w:spacing w:before="7"/>
        <w:ind w:left="0"/>
        <w:rPr>
          <w:sz w:val="15"/>
        </w:rPr>
      </w:pPr>
    </w:p>
    <w:p>
      <w:pPr>
        <w:pStyle w:val="Heading2"/>
        <w:tabs>
          <w:tab w:pos="1034" w:val="left" w:leader="none"/>
        </w:tabs>
      </w:pPr>
      <w:r>
        <w:rPr/>
        <w:t>第五條</w:t>
        <w:tab/>
        <w:t>保險範圍</w:t>
      </w:r>
    </w:p>
    <w:p>
      <w:pPr>
        <w:pStyle w:val="BodyText"/>
        <w:spacing w:line="235" w:lineRule="exact"/>
        <w:ind w:left="830"/>
      </w:pPr>
      <w:r>
        <w:rPr>
          <w:w w:val="95"/>
        </w:rPr>
        <w:t>被保險人於本契約有效期間內身故、致成完全失能程度或因疾病、傷害、體質衰弱或認知障礙經醫院專</w:t>
      </w:r>
    </w:p>
    <w:p>
      <w:pPr>
        <w:pStyle w:val="BodyText"/>
        <w:spacing w:line="244" w:lineRule="auto" w:before="3"/>
        <w:ind w:left="830" w:right="152"/>
      </w:pPr>
      <w:r>
        <w:rPr>
          <w:w w:val="95"/>
        </w:rPr>
        <w:t>科醫師診斷確定符合第二條之「長期照顧狀態」或於保險年齡到達九十九歲之保險單週年日仍生存者，</w:t>
      </w:r>
      <w:r>
        <w:rPr>
          <w:spacing w:val="199"/>
        </w:rPr>
        <w:t> </w:t>
      </w:r>
      <w:r>
        <w:rPr/>
        <w:t>本公司依照本契約約定給付保險金。</w:t>
      </w:r>
    </w:p>
    <w:p>
      <w:pPr>
        <w:pStyle w:val="BodyText"/>
        <w:spacing w:before="1"/>
        <w:ind w:left="0"/>
        <w:rPr>
          <w:sz w:val="15"/>
        </w:rPr>
      </w:pPr>
    </w:p>
    <w:p>
      <w:pPr>
        <w:pStyle w:val="Heading2"/>
        <w:tabs>
          <w:tab w:pos="1034" w:val="left" w:leader="none"/>
        </w:tabs>
        <w:spacing w:line="347" w:lineRule="exact"/>
      </w:pPr>
      <w:r>
        <w:rPr/>
        <w:t>第六條</w:t>
        <w:tab/>
        <w:t>第二期以後保險費的交付、寬限期間及契約效力的停止</w:t>
      </w:r>
    </w:p>
    <w:p>
      <w:pPr>
        <w:pStyle w:val="BodyText"/>
        <w:spacing w:line="235" w:lineRule="exact"/>
        <w:ind w:left="830"/>
      </w:pPr>
      <w:r>
        <w:rPr>
          <w:w w:val="95"/>
        </w:rPr>
        <w:t>分期繳納的第二期以後保險費，應照本契約所載交付方法及日期，向本公司所在地或指定地點交付，本</w:t>
      </w:r>
    </w:p>
    <w:p>
      <w:pPr>
        <w:pStyle w:val="BodyText"/>
        <w:spacing w:line="244" w:lineRule="auto" w:before="3"/>
        <w:ind w:left="830" w:right="153"/>
        <w:jc w:val="both"/>
      </w:pPr>
      <w:r>
        <w:rPr>
          <w:w w:val="95"/>
        </w:rPr>
        <w:t>公司將交付開發之憑證。第二期以後分期保險費到期未交付時，年繳或半年繳者，自催告到達翌日起三</w:t>
      </w:r>
      <w:r>
        <w:rPr>
          <w:spacing w:val="208"/>
        </w:rPr>
        <w:t> </w:t>
      </w:r>
      <w:r>
        <w:rPr>
          <w:w w:val="95"/>
        </w:rPr>
        <w:t>十日內為寬限期間；月繳或季繳者，則不另為催告，自保險單所載交付日期之翌日起三十日為寬限期</w:t>
      </w:r>
      <w:r>
        <w:rPr>
          <w:spacing w:val="143"/>
        </w:rPr>
        <w:t> </w:t>
      </w:r>
      <w:r>
        <w:rPr>
          <w:spacing w:val="144"/>
        </w:rPr>
        <w:t> </w:t>
      </w:r>
      <w:r>
        <w:rPr/>
        <w:t>間。</w:t>
      </w:r>
    </w:p>
    <w:p>
      <w:pPr>
        <w:pStyle w:val="BodyText"/>
        <w:spacing w:line="242" w:lineRule="auto"/>
        <w:ind w:left="830" w:right="157"/>
      </w:pPr>
      <w:r>
        <w:rPr>
          <w:w w:val="95"/>
        </w:rPr>
        <w:t>約定以金融機構轉帳或其他方式交付第二期以後的分期保險費者，本公司於知悉未能依此項約定受領保</w:t>
      </w:r>
      <w:r>
        <w:rPr>
          <w:spacing w:val="194"/>
        </w:rPr>
        <w:t> </w:t>
      </w:r>
      <w:r>
        <w:rPr/>
        <w:t>險費時，應催告要保人交付保險費，自催告到達翌日起三十日內為寬限期間。</w:t>
      </w:r>
    </w:p>
    <w:p>
      <w:pPr>
        <w:pStyle w:val="BodyText"/>
        <w:spacing w:line="244" w:lineRule="auto"/>
        <w:ind w:left="830" w:right="157"/>
      </w:pPr>
      <w:r>
        <w:rPr>
          <w:w w:val="95"/>
        </w:rPr>
        <w:t>前二項對要保人之催告，本公司另應通知被保險人以確保其權益。對被保險人之通知，依最後留存於本</w:t>
      </w:r>
      <w:r>
        <w:rPr>
          <w:spacing w:val="194"/>
        </w:rPr>
        <w:t> </w:t>
      </w:r>
      <w:r>
        <w:rPr/>
        <w:t>公司之聯絡資料，以書面、電子郵件、簡訊或其他約定方式擇一發出通知者，視為已完成。</w:t>
      </w:r>
    </w:p>
    <w:p>
      <w:pPr>
        <w:spacing w:after="0" w:line="244" w:lineRule="auto"/>
        <w:sectPr>
          <w:pgSz w:w="11910" w:h="16840"/>
          <w:pgMar w:header="0" w:footer="855" w:top="1360" w:bottom="1040" w:left="900" w:right="980"/>
        </w:sectPr>
      </w:pPr>
    </w:p>
    <w:p>
      <w:pPr>
        <w:pStyle w:val="BodyText"/>
        <w:spacing w:line="242" w:lineRule="auto" w:before="29"/>
        <w:ind w:left="830" w:right="153"/>
      </w:pPr>
      <w:r>
        <w:rPr>
          <w:w w:val="95"/>
        </w:rPr>
        <w:t>逾寬限期間仍未交付者，本契約自寬限期間終了翌日起停止效力。如在寬限期間內發生保險事故時，本</w:t>
      </w:r>
      <w:r>
        <w:rPr>
          <w:spacing w:val="198"/>
        </w:rPr>
        <w:t> </w:t>
      </w:r>
      <w:r>
        <w:rPr/>
        <w:t>公司仍負保險責任。</w:t>
      </w:r>
    </w:p>
    <w:p>
      <w:pPr>
        <w:pStyle w:val="BodyText"/>
        <w:spacing w:before="5"/>
        <w:ind w:left="0"/>
        <w:rPr>
          <w:sz w:val="15"/>
        </w:rPr>
      </w:pPr>
    </w:p>
    <w:p>
      <w:pPr>
        <w:pStyle w:val="Heading2"/>
        <w:tabs>
          <w:tab w:pos="1034" w:val="left" w:leader="none"/>
        </w:tabs>
      </w:pPr>
      <w:r>
        <w:rPr/>
        <w:t>第七條</w:t>
        <w:tab/>
      </w:r>
      <w:r>
        <w:rPr>
          <w:w w:val="95"/>
        </w:rPr>
        <w:t>本契約效力的恢復</w:t>
      </w:r>
    </w:p>
    <w:p>
      <w:pPr>
        <w:pStyle w:val="BodyText"/>
        <w:spacing w:line="235" w:lineRule="exact"/>
        <w:ind w:left="833"/>
      </w:pPr>
      <w:r>
        <w:rPr/>
        <w:t>本契約停止效力後，要保人得在停效日起二年內，申請復效。但保險期間屆滿後不得申請復效。</w:t>
      </w:r>
    </w:p>
    <w:p>
      <w:pPr>
        <w:pStyle w:val="BodyText"/>
        <w:spacing w:line="242" w:lineRule="auto" w:before="5"/>
        <w:ind w:left="830" w:right="193"/>
      </w:pPr>
      <w:r>
        <w:rPr>
          <w:w w:val="95"/>
        </w:rPr>
        <w:t>要保人於停止效力之日起六個月內提出前項復效申請，並經要保人清償保險費扣除停效期間的危險保險</w:t>
      </w:r>
      <w:r>
        <w:rPr>
          <w:spacing w:val="158"/>
        </w:rPr>
        <w:t> </w:t>
      </w:r>
      <w:r>
        <w:rPr/>
        <w:t>費後之餘額，自翌日上午零時起，開始恢復其效力。</w:t>
      </w:r>
    </w:p>
    <w:p>
      <w:pPr>
        <w:pStyle w:val="BodyText"/>
        <w:spacing w:line="242" w:lineRule="auto" w:before="3"/>
        <w:ind w:left="830" w:right="196"/>
        <w:jc w:val="both"/>
      </w:pPr>
      <w:r>
        <w:rPr>
          <w:w w:val="95"/>
        </w:rPr>
        <w:t>要保人於停止效力之日起六個月後提出第一項之復效申請者，本公司得於要保人之復效申請送達本公司</w:t>
      </w:r>
      <w:r>
        <w:rPr>
          <w:spacing w:val="165"/>
        </w:rPr>
        <w:t> </w:t>
      </w:r>
      <w:r>
        <w:rPr>
          <w:w w:val="95"/>
        </w:rPr>
        <w:t>之日起五日內要求要保人提供被保險人之可保證明。要保人如未於十日內交齊本公司要求提供之可保證</w:t>
      </w:r>
      <w:r>
        <w:rPr>
          <w:spacing w:val="155"/>
        </w:rPr>
        <w:t> </w:t>
      </w:r>
      <w:r>
        <w:rPr/>
        <w:t>明者，本公司得退回該次復效之申請。</w:t>
      </w:r>
    </w:p>
    <w:p>
      <w:pPr>
        <w:pStyle w:val="BodyText"/>
        <w:spacing w:before="4"/>
        <w:ind w:left="830"/>
      </w:pPr>
      <w:r>
        <w:rPr/>
        <w:t>被保險人之危險程度有重大變更已達拒絕承保程度者，本公司得拒絕其復效。</w:t>
      </w:r>
    </w:p>
    <w:p>
      <w:pPr>
        <w:pStyle w:val="BodyText"/>
        <w:spacing w:line="244" w:lineRule="auto" w:before="3"/>
        <w:ind w:left="830" w:right="196"/>
      </w:pPr>
      <w:r>
        <w:rPr>
          <w:w w:val="95"/>
        </w:rPr>
        <w:t>本公司未於第三項約定期限內要求要保人提供可保證明，或於收齊可保證明後十五日內不為拒絕者，視</w:t>
      </w:r>
      <w:r>
        <w:rPr>
          <w:spacing w:val="155"/>
        </w:rPr>
        <w:t> </w:t>
      </w:r>
      <w:r>
        <w:rPr/>
        <w:t>為同意復效，並經要保人清償第二項所約定之金額後，自翌日上午零時起，開始恢復其效力。</w:t>
      </w:r>
    </w:p>
    <w:p>
      <w:pPr>
        <w:pStyle w:val="BodyText"/>
        <w:spacing w:line="242" w:lineRule="auto"/>
        <w:ind w:left="835" w:right="191"/>
      </w:pPr>
      <w:r>
        <w:rPr/>
        <w:drawing>
          <wp:anchor distT="0" distB="0" distL="0" distR="0" allowOverlap="1" layoutInCell="1" locked="0" behindDoc="1" simplePos="0" relativeHeight="487255552">
            <wp:simplePos x="0" y="0"/>
            <wp:positionH relativeFrom="page">
              <wp:posOffset>2873329</wp:posOffset>
            </wp:positionH>
            <wp:positionV relativeFrom="paragraph">
              <wp:posOffset>98424</wp:posOffset>
            </wp:positionV>
            <wp:extent cx="1834583" cy="442722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4583" cy="4427220"/>
                    </a:xfrm>
                    <a:prstGeom prst="rect">
                      <a:avLst/>
                    </a:prstGeom>
                  </pic:spPr>
                </pic:pic>
              </a:graphicData>
            </a:graphic>
          </wp:anchor>
        </w:drawing>
      </w:r>
      <w:r>
        <w:rPr>
          <w:w w:val="95"/>
        </w:rPr>
        <w:t>要保人依第三項提出申請復效者，除有同項後段或第四項之情形外，於交齊可保證明，並清償第二項所</w:t>
      </w:r>
      <w:r>
        <w:rPr>
          <w:spacing w:val="155"/>
        </w:rPr>
        <w:t> </w:t>
      </w:r>
      <w:r>
        <w:rPr/>
        <w:t>約定之金額後，自翌日上午零時起，開始恢復其效力。</w:t>
      </w:r>
    </w:p>
    <w:p>
      <w:pPr>
        <w:pStyle w:val="BodyText"/>
        <w:spacing w:line="244" w:lineRule="auto" w:before="1"/>
        <w:ind w:left="835" w:right="158"/>
        <w:jc w:val="both"/>
      </w:pPr>
      <w:r>
        <w:rPr>
          <w:w w:val="95"/>
        </w:rPr>
        <w:t>基於保戶服務，本公司於保險契約停止效力後至得申請復效之期限屆滿前三個月，將以書面、電子郵</w:t>
      </w:r>
      <w:r>
        <w:rPr>
          <w:spacing w:val="143"/>
        </w:rPr>
        <w:t> </w:t>
      </w:r>
      <w:r>
        <w:rPr>
          <w:spacing w:val="144"/>
        </w:rPr>
        <w:t> </w:t>
      </w:r>
      <w:r>
        <w:rPr>
          <w:w w:val="95"/>
        </w:rPr>
        <w:t>件、簡訊或其他約定方式擇一通知要保人有行使第一項申請復效之權利，並載明要保人未於第一項約定</w:t>
      </w:r>
      <w:r>
        <w:rPr>
          <w:spacing w:val="198"/>
        </w:rPr>
        <w:t> </w:t>
      </w:r>
      <w:r>
        <w:rPr>
          <w:w w:val="95"/>
        </w:rPr>
        <w:t>期限屆滿前恢復保單效力者，契約效力將自第一項約定期限屆滿之日翌日上午零時起終止，以提醒要保</w:t>
      </w:r>
      <w:r>
        <w:rPr>
          <w:spacing w:val="188"/>
        </w:rPr>
        <w:t> </w:t>
      </w:r>
      <w:r>
        <w:rPr/>
        <w:t>人注意。</w:t>
      </w:r>
    </w:p>
    <w:p>
      <w:pPr>
        <w:pStyle w:val="BodyText"/>
        <w:spacing w:line="244" w:lineRule="auto"/>
        <w:ind w:left="833" w:right="1590" w:firstLine="2"/>
      </w:pPr>
      <w:r>
        <w:rPr>
          <w:w w:val="95"/>
        </w:rPr>
        <w:t>本公司已依要保人最後留於本公司之前項聯絡資料發出通知，視為已完成前項之通知。</w:t>
      </w:r>
      <w:r>
        <w:rPr>
          <w:spacing w:val="91"/>
          <w:w w:val="95"/>
        </w:rPr>
        <w:t> </w:t>
      </w:r>
      <w:r>
        <w:rPr/>
        <w:t>第一項約定期限屆滿時，本契約效力即行終止。</w:t>
      </w:r>
    </w:p>
    <w:p>
      <w:pPr>
        <w:pStyle w:val="BodyText"/>
        <w:spacing w:before="9"/>
        <w:ind w:left="0"/>
        <w:rPr>
          <w:sz w:val="14"/>
        </w:rPr>
      </w:pPr>
    </w:p>
    <w:p>
      <w:pPr>
        <w:pStyle w:val="Heading2"/>
        <w:tabs>
          <w:tab w:pos="1034" w:val="left" w:leader="none"/>
        </w:tabs>
      </w:pPr>
      <w:r>
        <w:rPr/>
        <w:t>第八條</w:t>
        <w:tab/>
        <w:t>告知義務與本契約的解除</w:t>
      </w:r>
    </w:p>
    <w:p>
      <w:pPr>
        <w:pStyle w:val="BodyText"/>
        <w:spacing w:line="235" w:lineRule="exact"/>
        <w:ind w:left="830"/>
      </w:pPr>
      <w:r>
        <w:rPr>
          <w:w w:val="95"/>
        </w:rPr>
        <w:t>要保人或被保險人在訂立本契約時，對於本公司要保書書面詢問的告知事項應據實說明，如有為隱匿或</w:t>
      </w:r>
    </w:p>
    <w:p>
      <w:pPr>
        <w:pStyle w:val="BodyText"/>
        <w:spacing w:line="244" w:lineRule="auto" w:before="3"/>
        <w:ind w:left="830" w:right="157"/>
      </w:pPr>
      <w:r>
        <w:rPr>
          <w:w w:val="95"/>
        </w:rPr>
        <w:t>遺漏不為說明，或為不實的說明，足以變更或減少本公司對於危險的估計者，本公司得解除契約，其保</w:t>
      </w:r>
      <w:r>
        <w:rPr>
          <w:spacing w:val="194"/>
        </w:rPr>
        <w:t> </w:t>
      </w:r>
      <w:r>
        <w:rPr/>
        <w:t>險事故發生後亦同。但危險的發生未基於其說明或未說明的事實時，不在此限。</w:t>
      </w:r>
    </w:p>
    <w:p>
      <w:pPr>
        <w:pStyle w:val="BodyText"/>
        <w:spacing w:line="244" w:lineRule="auto"/>
        <w:ind w:left="830" w:right="157"/>
      </w:pPr>
      <w:r>
        <w:rPr>
          <w:w w:val="95"/>
        </w:rPr>
        <w:t>前項解除契約權，自本公司知有解除之原因後，經過一個月不行使而消滅；或自契約訂立後，經過二年</w:t>
      </w:r>
      <w:r>
        <w:rPr>
          <w:spacing w:val="194"/>
        </w:rPr>
        <w:t> </w:t>
      </w:r>
      <w:r>
        <w:rPr/>
        <w:t>不行使而消滅。</w:t>
      </w:r>
    </w:p>
    <w:p>
      <w:pPr>
        <w:pStyle w:val="BodyText"/>
        <w:spacing w:before="9"/>
        <w:ind w:left="0"/>
        <w:rPr>
          <w:sz w:val="14"/>
        </w:rPr>
      </w:pPr>
    </w:p>
    <w:p>
      <w:pPr>
        <w:pStyle w:val="Heading2"/>
        <w:tabs>
          <w:tab w:pos="1034" w:val="left" w:leader="none"/>
        </w:tabs>
        <w:spacing w:line="348" w:lineRule="exact" w:before="1"/>
      </w:pPr>
      <w:r>
        <w:rPr/>
        <w:t>第九條</w:t>
        <w:tab/>
        <w:t>契約的終止（一）</w:t>
      </w:r>
    </w:p>
    <w:p>
      <w:pPr>
        <w:pStyle w:val="BodyText"/>
        <w:spacing w:line="236" w:lineRule="exact"/>
        <w:ind w:left="833"/>
      </w:pPr>
      <w:r>
        <w:rPr/>
        <w:t>要保人得隨時終止本契約。</w:t>
      </w:r>
    </w:p>
    <w:p>
      <w:pPr>
        <w:pStyle w:val="BodyText"/>
        <w:spacing w:before="3"/>
        <w:ind w:left="833"/>
      </w:pPr>
      <w:r>
        <w:rPr/>
        <w:t>前項契約之終止，自本公司收到要保人書面通知時，開始生效。</w:t>
      </w:r>
    </w:p>
    <w:p>
      <w:pPr>
        <w:pStyle w:val="BodyText"/>
        <w:spacing w:line="242" w:lineRule="auto" w:before="5"/>
        <w:ind w:left="830" w:right="157"/>
      </w:pPr>
      <w:r>
        <w:rPr>
          <w:w w:val="95"/>
        </w:rPr>
        <w:t>要保人依第一項約定終止本契約時，如有未到期保險費者，本公司應從當期已繳保險費扣除按日數比例</w:t>
      </w:r>
      <w:r>
        <w:rPr>
          <w:spacing w:val="194"/>
        </w:rPr>
        <w:t> </w:t>
      </w:r>
      <w:r>
        <w:rPr/>
        <w:t>計算已經過期間之保險費後，將其未到期保險費無息退還要保人。</w:t>
      </w:r>
    </w:p>
    <w:p>
      <w:pPr>
        <w:pStyle w:val="BodyText"/>
        <w:spacing w:before="4"/>
        <w:ind w:left="0"/>
        <w:rPr>
          <w:sz w:val="15"/>
        </w:rPr>
      </w:pPr>
    </w:p>
    <w:p>
      <w:pPr>
        <w:pStyle w:val="Heading2"/>
        <w:tabs>
          <w:tab w:pos="1034" w:val="left" w:leader="none"/>
        </w:tabs>
      </w:pPr>
      <w:r>
        <w:rPr/>
        <w:t>第十條</w:t>
        <w:tab/>
        <w:t>契約的終止（二）</w:t>
      </w:r>
    </w:p>
    <w:p>
      <w:pPr>
        <w:pStyle w:val="BodyText"/>
        <w:spacing w:line="235" w:lineRule="exact"/>
        <w:ind w:left="830"/>
      </w:pPr>
      <w:r>
        <w:rPr/>
        <w:t>本契約有效期間內，有下列情形之一時，其效力即行終止：</w:t>
      </w:r>
    </w:p>
    <w:p>
      <w:pPr>
        <w:pStyle w:val="BodyText"/>
        <w:spacing w:line="242" w:lineRule="auto" w:before="5"/>
        <w:ind w:left="1231" w:right="134" w:hanging="401"/>
      </w:pPr>
      <w:r>
        <w:rPr>
          <w:spacing w:val="16"/>
          <w:w w:val="95"/>
        </w:rPr>
        <w:t>一、被保險人身故</w:t>
      </w:r>
      <w:r>
        <w:rPr>
          <w:spacing w:val="14"/>
          <w:w w:val="95"/>
        </w:rPr>
        <w:t>（本公司按第十八條給付「身故保險金或喪葬費用保險金」或退還「已繳保險</w:t>
      </w:r>
      <w:r>
        <w:rPr>
          <w:spacing w:val="125"/>
          <w:w w:val="95"/>
        </w:rPr>
        <w:t> </w:t>
      </w:r>
      <w:r>
        <w:rPr/>
        <w:t>費」）。</w:t>
      </w:r>
    </w:p>
    <w:p>
      <w:pPr>
        <w:pStyle w:val="BodyText"/>
        <w:spacing w:line="244" w:lineRule="auto" w:before="1"/>
        <w:ind w:left="830" w:right="392"/>
      </w:pPr>
      <w:r>
        <w:rPr>
          <w:w w:val="95"/>
        </w:rPr>
        <w:t>二、被保險人依第十二條約定所累計給付之「長期照顧服務或長期照顧保險金」次數已達十六次者。</w:t>
      </w:r>
      <w:r>
        <w:rPr>
          <w:spacing w:val="149"/>
        </w:rPr>
        <w:t> </w:t>
      </w:r>
      <w:r>
        <w:rPr/>
        <w:t>三、被保險人依第十六條約定所累計給付之「完全失能生活扶助保險金」次數已達十六次者。</w:t>
      </w:r>
    </w:p>
    <w:p>
      <w:pPr>
        <w:pStyle w:val="BodyText"/>
        <w:spacing w:line="254" w:lineRule="exact"/>
        <w:ind w:left="830"/>
      </w:pPr>
      <w:r>
        <w:rPr/>
        <w:t>四、被保險人保險年齡到達九十九歲之保險單週年日。</w:t>
      </w:r>
    </w:p>
    <w:p>
      <w:pPr>
        <w:pStyle w:val="BodyText"/>
        <w:spacing w:before="6"/>
        <w:ind w:left="0"/>
        <w:rPr>
          <w:sz w:val="15"/>
        </w:rPr>
      </w:pPr>
    </w:p>
    <w:p>
      <w:pPr>
        <w:pStyle w:val="Heading2"/>
        <w:tabs>
          <w:tab w:pos="1236" w:val="left" w:leader="none"/>
        </w:tabs>
      </w:pPr>
      <w:r>
        <w:rPr/>
        <w:t>第十一條</w:t>
        <w:tab/>
        <w:t>長期照顧復健保險金的給付</w:t>
      </w:r>
    </w:p>
    <w:p>
      <w:pPr>
        <w:pStyle w:val="BodyText"/>
        <w:spacing w:line="235" w:lineRule="exact"/>
        <w:ind w:left="1030"/>
      </w:pPr>
      <w:r>
        <w:rPr>
          <w:w w:val="95"/>
        </w:rPr>
        <w:t>被保險人於本契約有效期間內，經醫院專科醫師診斷確定符合第二條約定之「長期照顧狀態」，並於</w:t>
      </w:r>
    </w:p>
    <w:p>
      <w:pPr>
        <w:pStyle w:val="BodyText"/>
        <w:spacing w:line="242" w:lineRule="auto" w:before="6"/>
        <w:ind w:left="1030" w:right="151"/>
      </w:pPr>
      <w:r>
        <w:rPr>
          <w:w w:val="95"/>
        </w:rPr>
        <w:t>免責期間屆滿時仍生存且持續符合「長期照顧狀態」者，本公司於免責期間屆滿之翌日，按保險金額</w:t>
      </w:r>
      <w:r>
        <w:rPr>
          <w:spacing w:val="190"/>
        </w:rPr>
        <w:t> </w:t>
      </w:r>
      <w:r>
        <w:rPr/>
        <w:t>的六倍，給付「長期照顧復健保險金」，惟終身以領取一次為限。</w:t>
      </w:r>
    </w:p>
    <w:p>
      <w:pPr>
        <w:pStyle w:val="Heading2"/>
        <w:spacing w:line="168" w:lineRule="auto" w:before="17"/>
        <w:ind w:left="1030" w:right="149"/>
      </w:pPr>
      <w:r>
        <w:rPr>
          <w:w w:val="95"/>
        </w:rPr>
        <w:t>被保險人於本契約有效期間內若已先符合「完全失能關懷保險金」之給付條件者，則不再給付「長期</w:t>
      </w:r>
      <w:r>
        <w:rPr>
          <w:spacing w:val="47"/>
        </w:rPr>
        <w:t> </w:t>
      </w:r>
      <w:r>
        <w:rPr>
          <w:spacing w:val="145"/>
        </w:rPr>
        <w:t> </w:t>
      </w:r>
      <w:r>
        <w:rPr/>
        <w:t>照顧復健保險金」。</w:t>
      </w:r>
    </w:p>
    <w:p>
      <w:pPr>
        <w:pStyle w:val="BodyText"/>
        <w:spacing w:before="2"/>
        <w:ind w:left="0"/>
        <w:rPr>
          <w:rFonts w:ascii="Microsoft JhengHei"/>
          <w:b/>
          <w:sz w:val="10"/>
        </w:rPr>
      </w:pPr>
    </w:p>
    <w:p>
      <w:pPr>
        <w:tabs>
          <w:tab w:pos="1236" w:val="left" w:leader="none"/>
        </w:tabs>
        <w:spacing w:line="346" w:lineRule="exact" w:before="0"/>
        <w:ind w:left="232" w:right="0" w:firstLine="0"/>
        <w:jc w:val="left"/>
        <w:rPr>
          <w:rFonts w:ascii="Microsoft JhengHei" w:eastAsia="Microsoft JhengHei" w:hint="eastAsia"/>
          <w:b/>
          <w:sz w:val="20"/>
        </w:rPr>
      </w:pPr>
      <w:r>
        <w:rPr>
          <w:rFonts w:ascii="Microsoft JhengHei" w:eastAsia="Microsoft JhengHei" w:hint="eastAsia"/>
          <w:b/>
          <w:sz w:val="20"/>
        </w:rPr>
        <w:t>第十二條</w:t>
        <w:tab/>
        <w:t>長期照顧服務或長期照顧保險金的給付</w:t>
      </w:r>
    </w:p>
    <w:p>
      <w:pPr>
        <w:pStyle w:val="BodyText"/>
        <w:spacing w:line="235" w:lineRule="exact"/>
        <w:ind w:left="1030"/>
      </w:pPr>
      <w:r>
        <w:rPr>
          <w:w w:val="95"/>
        </w:rPr>
        <w:t>被保險人於本契約有效期間內，經醫院專科醫師診斷確定符合第二條約定之「長期照顧狀態」，並於</w:t>
      </w:r>
    </w:p>
    <w:p>
      <w:pPr>
        <w:pStyle w:val="BodyText"/>
        <w:spacing w:before="5"/>
        <w:ind w:left="1030"/>
      </w:pPr>
      <w:r>
        <w:rPr>
          <w:w w:val="95"/>
        </w:rPr>
        <w:t>免責期間屆滿的翌日或其後每屆滿一年的相當日（如無相當日則為該月之末日）仍生存且符合「長期</w:t>
      </w:r>
    </w:p>
    <w:p>
      <w:pPr>
        <w:spacing w:after="0"/>
        <w:sectPr>
          <w:pgSz w:w="11910" w:h="16840"/>
          <w:pgMar w:header="0" w:footer="855" w:top="1360" w:bottom="1040" w:left="900" w:right="980"/>
        </w:sectPr>
      </w:pPr>
    </w:p>
    <w:p>
      <w:pPr>
        <w:pStyle w:val="BodyText"/>
        <w:spacing w:line="242" w:lineRule="auto" w:before="29"/>
        <w:ind w:left="1030" w:right="159"/>
      </w:pPr>
      <w:r>
        <w:rPr>
          <w:w w:val="95"/>
        </w:rPr>
        <w:t>照顧狀態」者，本公司按被保險人之申請，提供下列「長期照顧服務」或「長期照顧保險金」之給</w:t>
      </w:r>
      <w:r>
        <w:rPr>
          <w:spacing w:val="135"/>
        </w:rPr>
        <w:t> </w:t>
      </w:r>
      <w:r>
        <w:rPr>
          <w:spacing w:val="136"/>
        </w:rPr>
        <w:t> </w:t>
      </w:r>
      <w:r>
        <w:rPr/>
        <w:t>付：</w:t>
      </w:r>
    </w:p>
    <w:p>
      <w:pPr>
        <w:pStyle w:val="BodyText"/>
        <w:spacing w:line="242" w:lineRule="auto" w:before="4"/>
        <w:ind w:left="1430" w:right="156" w:hanging="401"/>
        <w:jc w:val="both"/>
      </w:pPr>
      <w:r>
        <w:rPr>
          <w:w w:val="95"/>
        </w:rPr>
        <w:t>一、「長期照顧服務」：本公司於符合給付條件之該「長期照顧給付年度」內，在保險金額的十二倍</w:t>
      </w:r>
      <w:r>
        <w:rPr>
          <w:spacing w:val="196"/>
        </w:rPr>
        <w:t> </w:t>
      </w:r>
      <w:r>
        <w:rPr>
          <w:w w:val="95"/>
        </w:rPr>
        <w:t>的額度內，指定長期照顧服務機構擬定「長期照顧計畫」，並由其按「長期照顧計畫」的內容於</w:t>
      </w:r>
      <w:r>
        <w:rPr>
          <w:spacing w:val="165"/>
        </w:rPr>
        <w:t> </w:t>
      </w:r>
      <w:r>
        <w:rPr/>
        <w:t>附件二的範圍內提供長期照顧服務。</w:t>
      </w:r>
    </w:p>
    <w:p>
      <w:pPr>
        <w:pStyle w:val="BodyText"/>
        <w:spacing w:before="3"/>
        <w:ind w:left="1030"/>
      </w:pPr>
      <w:r>
        <w:rPr/>
        <w:t>二、「長期照顧保險金」：本公司按保險金額的十二倍，給付長期照顧保險金。</w:t>
      </w:r>
    </w:p>
    <w:p>
      <w:pPr>
        <w:pStyle w:val="BodyText"/>
        <w:spacing w:before="3"/>
        <w:ind w:left="1030"/>
      </w:pPr>
      <w:r>
        <w:rPr>
          <w:w w:val="95"/>
        </w:rPr>
        <w:t>前項「長期照顧服務」與「長期照顧保險金」，被保險人僅得選擇其中一項給付。本公司累計給付之</w:t>
      </w:r>
    </w:p>
    <w:p>
      <w:pPr>
        <w:pStyle w:val="BodyText"/>
        <w:spacing w:line="225" w:lineRule="exact" w:before="6"/>
        <w:ind w:left="1030"/>
      </w:pPr>
      <w:r>
        <w:rPr/>
        <w:t>「長期照顧服務」或「長期照顧保險金」最高以十六次為限。</w:t>
      </w:r>
    </w:p>
    <w:p>
      <w:pPr>
        <w:pStyle w:val="Heading2"/>
        <w:spacing w:line="282" w:lineRule="exact"/>
        <w:ind w:left="1030"/>
      </w:pPr>
      <w:r>
        <w:rPr>
          <w:w w:val="95"/>
        </w:rPr>
        <w:t>被保險人於本契約有效期間內若已先符合「完全失能生活扶助保險金」之給付條件者，則不再給付</w:t>
      </w:r>
    </w:p>
    <w:p>
      <w:pPr>
        <w:spacing w:line="313" w:lineRule="exact" w:before="0"/>
        <w:ind w:left="1030" w:right="0" w:firstLine="0"/>
        <w:jc w:val="left"/>
        <w:rPr>
          <w:rFonts w:ascii="Microsoft JhengHei" w:eastAsia="Microsoft JhengHei" w:hint="eastAsia"/>
          <w:b/>
          <w:sz w:val="20"/>
        </w:rPr>
      </w:pPr>
      <w:r>
        <w:rPr>
          <w:rFonts w:ascii="Microsoft JhengHei" w:eastAsia="Microsoft JhengHei" w:hint="eastAsia"/>
          <w:b/>
          <w:sz w:val="20"/>
        </w:rPr>
        <w:t>「長期照顧服務或長期照顧保險金」。</w:t>
      </w:r>
    </w:p>
    <w:p>
      <w:pPr>
        <w:pStyle w:val="Heading2"/>
        <w:tabs>
          <w:tab w:pos="1236" w:val="left" w:leader="none"/>
        </w:tabs>
        <w:spacing w:line="348" w:lineRule="exact" w:before="153"/>
      </w:pPr>
      <w:r>
        <w:rPr/>
        <w:t>第十三條</w:t>
        <w:tab/>
        <w:t>長期照顧服務未支領餘額</w:t>
      </w:r>
    </w:p>
    <w:p>
      <w:pPr>
        <w:pStyle w:val="BodyText"/>
        <w:spacing w:line="236" w:lineRule="exact"/>
        <w:ind w:left="1058"/>
      </w:pPr>
      <w:r>
        <w:rPr/>
        <w:t>於給付長期照顧服務之期間發生下列情事者，本公司應結算「長期照顧服務未支領餘額」，並於結算</w:t>
      </w:r>
    </w:p>
    <w:p>
      <w:pPr>
        <w:pStyle w:val="BodyText"/>
        <w:spacing w:before="3"/>
        <w:ind w:left="1058"/>
      </w:pPr>
      <w:r>
        <w:rPr/>
        <w:drawing>
          <wp:anchor distT="0" distB="0" distL="0" distR="0" allowOverlap="1" layoutInCell="1" locked="0" behindDoc="1" simplePos="0" relativeHeight="487256064">
            <wp:simplePos x="0" y="0"/>
            <wp:positionH relativeFrom="page">
              <wp:posOffset>2873329</wp:posOffset>
            </wp:positionH>
            <wp:positionV relativeFrom="paragraph">
              <wp:posOffset>100329</wp:posOffset>
            </wp:positionV>
            <wp:extent cx="1834583" cy="442722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4583" cy="4427220"/>
                    </a:xfrm>
                    <a:prstGeom prst="rect">
                      <a:avLst/>
                    </a:prstGeom>
                  </pic:spPr>
                </pic:pic>
              </a:graphicData>
            </a:graphic>
          </wp:anchor>
        </w:drawing>
      </w:r>
      <w:r>
        <w:rPr/>
        <w:t>後十五日內給付予被保險人或其他應得之人：</w:t>
      </w:r>
    </w:p>
    <w:p>
      <w:pPr>
        <w:pStyle w:val="BodyText"/>
        <w:spacing w:line="244" w:lineRule="auto" w:before="3"/>
        <w:ind w:left="1058" w:right="1964"/>
      </w:pPr>
      <w:r>
        <w:rPr>
          <w:w w:val="95"/>
        </w:rPr>
        <w:t>一、被保險人處於「服務區域」以外之地區致長期照顧服務機構無法提供服務。</w:t>
      </w:r>
      <w:r>
        <w:rPr>
          <w:spacing w:val="64"/>
          <w:w w:val="95"/>
        </w:rPr>
        <w:t> </w:t>
      </w:r>
      <w:r>
        <w:rPr/>
        <w:t>二、被保險人身故。</w:t>
      </w:r>
    </w:p>
    <w:p>
      <w:pPr>
        <w:pStyle w:val="BodyText"/>
        <w:spacing w:line="255" w:lineRule="exact"/>
        <w:ind w:left="1058"/>
      </w:pPr>
      <w:r>
        <w:rPr/>
        <w:t>三、當次長期照顧服務之長期照顧給付年度屆滿。</w:t>
      </w:r>
    </w:p>
    <w:p>
      <w:pPr>
        <w:pStyle w:val="BodyText"/>
        <w:spacing w:before="5"/>
        <w:ind w:left="1058"/>
      </w:pPr>
      <w:r>
        <w:rPr/>
        <w:t>四、因不可歸責於長期照顧服務機構之事由致無法提供服務。</w:t>
      </w:r>
    </w:p>
    <w:p>
      <w:pPr>
        <w:pStyle w:val="BodyText"/>
        <w:spacing w:before="3"/>
        <w:ind w:left="1058"/>
      </w:pPr>
      <w:r>
        <w:rPr/>
        <w:t>五、因上述各款以外之事由而由被保險人主動向本公司請求申領「長期照顧服務未支領餘額」。</w:t>
      </w:r>
    </w:p>
    <w:p>
      <w:pPr>
        <w:pStyle w:val="BodyText"/>
        <w:spacing w:before="6"/>
        <w:ind w:left="0"/>
        <w:rPr>
          <w:sz w:val="15"/>
        </w:rPr>
      </w:pPr>
    </w:p>
    <w:p>
      <w:pPr>
        <w:pStyle w:val="Heading2"/>
        <w:tabs>
          <w:tab w:pos="1236" w:val="left" w:leader="none"/>
        </w:tabs>
      </w:pPr>
      <w:r>
        <w:rPr/>
        <w:t>第十四條</w:t>
        <w:tab/>
        <w:t>長期照顧服務或長期照顧保險金給付之暫停</w:t>
      </w:r>
    </w:p>
    <w:p>
      <w:pPr>
        <w:pStyle w:val="BodyText"/>
        <w:spacing w:line="235" w:lineRule="exact"/>
        <w:ind w:left="1032"/>
      </w:pPr>
      <w:r>
        <w:rPr>
          <w:w w:val="95"/>
        </w:rPr>
        <w:t>本公司依第十二條給付之「長期照顧服務或長期照顧保險金」，若有下列情形之一者，本公司將暫停</w:t>
      </w:r>
    </w:p>
    <w:p>
      <w:pPr>
        <w:pStyle w:val="BodyText"/>
        <w:spacing w:line="242" w:lineRule="auto" w:before="6"/>
        <w:ind w:left="1030" w:right="3992" w:firstLine="2"/>
      </w:pPr>
      <w:r>
        <w:rPr>
          <w:w w:val="95"/>
        </w:rPr>
        <w:t>該次及嗣後「長期照顧服務或長期照顧保險金」之給付：</w:t>
      </w:r>
      <w:r>
        <w:rPr>
          <w:spacing w:val="1"/>
          <w:w w:val="95"/>
        </w:rPr>
        <w:t> </w:t>
      </w:r>
      <w:r>
        <w:rPr/>
        <w:t>一、被保險人「長期照顧狀態」已消滅者。</w:t>
      </w:r>
    </w:p>
    <w:p>
      <w:pPr>
        <w:pStyle w:val="BodyText"/>
        <w:ind w:left="1030"/>
      </w:pPr>
      <w:r>
        <w:rPr/>
        <w:t>二、受益人未依本契約第二十五條之約定檢齊相關申請文件。</w:t>
      </w:r>
    </w:p>
    <w:p>
      <w:pPr>
        <w:pStyle w:val="BodyText"/>
        <w:spacing w:line="244" w:lineRule="auto" w:before="6"/>
        <w:ind w:left="1030" w:right="154"/>
        <w:jc w:val="both"/>
      </w:pPr>
      <w:r>
        <w:rPr>
          <w:w w:val="95"/>
        </w:rPr>
        <w:t>被保險人於本契約有效期間內發生前項第一款之情形，要保人得繼續繳交保險費至本契約繳費期間屆</w:t>
      </w:r>
      <w:r>
        <w:rPr>
          <w:spacing w:val="197"/>
        </w:rPr>
        <w:t> </w:t>
      </w:r>
      <w:r>
        <w:rPr>
          <w:w w:val="95"/>
        </w:rPr>
        <w:t>滿，使本契約繼續有效。惟被保險人嗣後於本契約有效期間內，若再符合前條約定之給付條件時，本</w:t>
      </w:r>
      <w:r>
        <w:rPr>
          <w:spacing w:val="187"/>
        </w:rPr>
        <w:t> </w:t>
      </w:r>
      <w:r>
        <w:rPr/>
        <w:t>公司仍依前條約定給付「長期照顧服務或長期照顧保險金」並豁免保險費。</w:t>
      </w:r>
    </w:p>
    <w:p>
      <w:pPr>
        <w:pStyle w:val="BodyText"/>
        <w:spacing w:line="244" w:lineRule="auto"/>
        <w:ind w:left="1030" w:right="154"/>
        <w:jc w:val="both"/>
      </w:pPr>
      <w:r>
        <w:rPr>
          <w:w w:val="95"/>
        </w:rPr>
        <w:t>因第一項第二款情形暫停給付「長期照顧服務或長期照顧保險金」者，於受益人補齊相關申請文件</w:t>
      </w:r>
      <w:r>
        <w:rPr>
          <w:spacing w:val="143"/>
        </w:rPr>
        <w:t> </w:t>
      </w:r>
      <w:r>
        <w:rPr>
          <w:spacing w:val="144"/>
        </w:rPr>
        <w:t> </w:t>
      </w:r>
      <w:r>
        <w:rPr>
          <w:w w:val="95"/>
        </w:rPr>
        <w:t>後，本公司就暫停給付期間內被保險人符合「長期照顧狀態」而未給付之保險金部分，應於補齊文件</w:t>
      </w:r>
      <w:r>
        <w:rPr>
          <w:spacing w:val="187"/>
        </w:rPr>
        <w:t> </w:t>
      </w:r>
      <w:r>
        <w:rPr/>
        <w:t>後五日內補足之。</w:t>
      </w:r>
    </w:p>
    <w:p>
      <w:pPr>
        <w:pStyle w:val="BodyText"/>
        <w:spacing w:before="8"/>
        <w:ind w:left="0"/>
        <w:rPr>
          <w:sz w:val="14"/>
        </w:rPr>
      </w:pPr>
    </w:p>
    <w:p>
      <w:pPr>
        <w:pStyle w:val="Heading2"/>
        <w:tabs>
          <w:tab w:pos="1236" w:val="left" w:leader="none"/>
        </w:tabs>
      </w:pPr>
      <w:r>
        <w:rPr/>
        <w:t>第十五條</w:t>
        <w:tab/>
        <w:t>完全失能關懷保險金的給付</w:t>
      </w:r>
    </w:p>
    <w:p>
      <w:pPr>
        <w:pStyle w:val="BodyText"/>
        <w:spacing w:line="235" w:lineRule="exact"/>
        <w:ind w:left="1030"/>
      </w:pPr>
      <w:r>
        <w:rPr>
          <w:w w:val="95"/>
        </w:rPr>
        <w:t>被保險人於本契約有效期間內，經醫師診斷確定符合附表所列完全失能程度之一者，本公司以失能診</w:t>
      </w:r>
    </w:p>
    <w:p>
      <w:pPr>
        <w:pStyle w:val="BodyText"/>
        <w:spacing w:line="226" w:lineRule="exact" w:before="3"/>
        <w:ind w:left="1030"/>
      </w:pPr>
      <w:r>
        <w:rPr/>
        <w:t>斷確定日之保險金額的六倍，給付「完全失能關懷保險金」，惟終身以領取一次為限。</w:t>
      </w:r>
    </w:p>
    <w:p>
      <w:pPr>
        <w:pStyle w:val="Heading2"/>
        <w:spacing w:line="170" w:lineRule="auto" w:before="47"/>
        <w:ind w:left="1030" w:right="150"/>
        <w:jc w:val="both"/>
      </w:pPr>
      <w:r>
        <w:rPr>
          <w:w w:val="95"/>
        </w:rPr>
        <w:t>被保險人於本契約有效期間內同時符合「長期照顧復健保險金」及「完全失能關懷保險金」的給付條</w:t>
      </w:r>
      <w:r>
        <w:rPr>
          <w:spacing w:val="50"/>
        </w:rPr>
        <w:t>  </w:t>
      </w:r>
      <w:r>
        <w:rPr>
          <w:spacing w:val="51"/>
        </w:rPr>
        <w:t> </w:t>
      </w:r>
      <w:r>
        <w:rPr>
          <w:w w:val="95"/>
        </w:rPr>
        <w:t>件時，本公司僅給付「完全失能關懷保險金」；若已先符合「長期照顧復健保險金」之給付條件者，</w:t>
      </w:r>
      <w:r>
        <w:rPr>
          <w:spacing w:val="46"/>
        </w:rPr>
        <w:t> </w:t>
      </w:r>
      <w:r>
        <w:rPr>
          <w:spacing w:val="144"/>
        </w:rPr>
        <w:t> </w:t>
      </w:r>
      <w:r>
        <w:rPr/>
        <w:t>則不給付「完全失能關懷保險金」。</w:t>
      </w:r>
    </w:p>
    <w:p>
      <w:pPr>
        <w:pStyle w:val="BodyText"/>
        <w:spacing w:line="242" w:lineRule="exact"/>
        <w:ind w:left="1032"/>
      </w:pPr>
      <w:r>
        <w:rPr/>
        <w:t>被保險人同時致成附表所列二項以上完全失能程度者，本公司僅給付一項完全失能關懷保險金。</w:t>
      </w:r>
    </w:p>
    <w:p>
      <w:pPr>
        <w:pStyle w:val="BodyText"/>
        <w:spacing w:before="6"/>
        <w:ind w:left="0"/>
        <w:rPr>
          <w:sz w:val="15"/>
        </w:rPr>
      </w:pPr>
    </w:p>
    <w:p>
      <w:pPr>
        <w:pStyle w:val="Heading2"/>
        <w:tabs>
          <w:tab w:pos="1236" w:val="left" w:leader="none"/>
        </w:tabs>
      </w:pPr>
      <w:r>
        <w:rPr/>
        <w:t>第十六條</w:t>
        <w:tab/>
        <w:t>完全失能生活扶助保險金的給付</w:t>
      </w:r>
    </w:p>
    <w:p>
      <w:pPr>
        <w:pStyle w:val="BodyText"/>
        <w:spacing w:line="235" w:lineRule="exact"/>
        <w:ind w:left="1030"/>
      </w:pPr>
      <w:r>
        <w:rPr>
          <w:w w:val="95"/>
        </w:rPr>
        <w:t>被保險人於本契約有效期間內，經醫師診斷確定符合附表所列完全失能程度之一者，本公司以失能診</w:t>
      </w:r>
    </w:p>
    <w:p>
      <w:pPr>
        <w:pStyle w:val="BodyText"/>
        <w:spacing w:before="6"/>
        <w:ind w:left="1030" w:right="153"/>
      </w:pPr>
      <w:r>
        <w:rPr>
          <w:w w:val="95"/>
        </w:rPr>
        <w:t>斷確定日之保險金額的十二倍，給付第一次「完全失能生活扶助保險金」，並自失能診斷確定日起每</w:t>
      </w:r>
      <w:r>
        <w:rPr>
          <w:spacing w:val="198"/>
        </w:rPr>
        <w:t> </w:t>
      </w:r>
      <w:r>
        <w:rPr>
          <w:w w:val="95"/>
          <w:position w:val="1"/>
        </w:rPr>
        <w:t>屆滿一年之日，被保險人仍生存時，本公司按保險金額的十二倍，給付第二次</w:t>
      </w:r>
      <w:r>
        <w:rPr>
          <w:rFonts w:ascii="Times New Roman" w:eastAsia="Times New Roman"/>
          <w:w w:val="95"/>
        </w:rPr>
        <w:t>(</w:t>
      </w:r>
      <w:r>
        <w:rPr>
          <w:w w:val="95"/>
          <w:position w:val="1"/>
        </w:rPr>
        <w:t>含</w:t>
      </w:r>
      <w:r>
        <w:rPr>
          <w:rFonts w:ascii="Times New Roman" w:eastAsia="Times New Roman"/>
          <w:w w:val="95"/>
        </w:rPr>
        <w:t>)</w:t>
      </w:r>
      <w:r>
        <w:rPr>
          <w:w w:val="95"/>
          <w:position w:val="1"/>
        </w:rPr>
        <w:t>以後之「完全失能</w:t>
      </w:r>
    </w:p>
    <w:p>
      <w:pPr>
        <w:spacing w:line="177" w:lineRule="auto" w:before="58"/>
        <w:ind w:left="1030" w:right="154" w:firstLine="0"/>
        <w:jc w:val="left"/>
        <w:rPr>
          <w:rFonts w:ascii="Microsoft JhengHei" w:eastAsia="Microsoft JhengHei" w:hint="eastAsia"/>
          <w:b/>
          <w:sz w:val="20"/>
        </w:rPr>
      </w:pPr>
      <w:r>
        <w:rPr>
          <w:sz w:val="20"/>
        </w:rPr>
        <w:t>生活扶助保險金」，惟本公司累計給付「完全失能生活扶助保險金」之次數以十六次為給付上限。</w:t>
      </w:r>
      <w:r>
        <w:rPr>
          <w:spacing w:val="1"/>
          <w:sz w:val="20"/>
        </w:rPr>
        <w:t> </w:t>
      </w:r>
      <w:r>
        <w:rPr>
          <w:rFonts w:ascii="Microsoft JhengHei" w:eastAsia="Microsoft JhengHei" w:hint="eastAsia"/>
          <w:b/>
          <w:w w:val="95"/>
          <w:sz w:val="20"/>
        </w:rPr>
        <w:t>被保險人於本契約有效期間內同時符合「長期照顧服務或長期照顧保險金」及「完全失能生活扶助保</w:t>
      </w:r>
      <w:r>
        <w:rPr>
          <w:rFonts w:ascii="Microsoft JhengHei" w:eastAsia="Microsoft JhengHei" w:hint="eastAsia"/>
          <w:b/>
          <w:spacing w:val="48"/>
          <w:sz w:val="20"/>
        </w:rPr>
        <w:t>  </w:t>
      </w:r>
      <w:r>
        <w:rPr>
          <w:rFonts w:ascii="Microsoft JhengHei" w:eastAsia="Microsoft JhengHei" w:hint="eastAsia"/>
          <w:b/>
          <w:spacing w:val="49"/>
          <w:sz w:val="20"/>
        </w:rPr>
        <w:t> </w:t>
      </w:r>
      <w:r>
        <w:rPr>
          <w:rFonts w:ascii="Microsoft JhengHei" w:eastAsia="Microsoft JhengHei" w:hint="eastAsia"/>
          <w:b/>
          <w:w w:val="95"/>
          <w:sz w:val="20"/>
        </w:rPr>
        <w:t>險金」的給付條件時，本公司僅給付「完全失能生活扶助保險金」；若已先符合「長期照顧服務或長</w:t>
      </w:r>
      <w:r>
        <w:rPr>
          <w:rFonts w:ascii="Microsoft JhengHei" w:eastAsia="Microsoft JhengHei" w:hint="eastAsia"/>
          <w:b/>
          <w:spacing w:val="45"/>
          <w:sz w:val="20"/>
        </w:rPr>
        <w:t>  </w:t>
      </w:r>
      <w:r>
        <w:rPr>
          <w:rFonts w:ascii="Microsoft JhengHei" w:eastAsia="Microsoft JhengHei" w:hint="eastAsia"/>
          <w:b/>
          <w:spacing w:val="46"/>
          <w:sz w:val="20"/>
        </w:rPr>
        <w:t> </w:t>
      </w:r>
      <w:r>
        <w:rPr>
          <w:rFonts w:ascii="Microsoft JhengHei" w:eastAsia="Microsoft JhengHei" w:hint="eastAsia"/>
          <w:b/>
          <w:sz w:val="20"/>
        </w:rPr>
        <w:t>期照顧保險金」之給付條件者，則不給付「完全失能生活扶助保險金」。</w:t>
      </w:r>
    </w:p>
    <w:p>
      <w:pPr>
        <w:pStyle w:val="BodyText"/>
        <w:spacing w:line="240" w:lineRule="exact"/>
        <w:ind w:left="1032"/>
      </w:pPr>
      <w:r>
        <w:rPr/>
        <w:t>被保險人同時致成附表所列二項以上完全失能程度者，本公司僅給付一項完全失能生活扶助保險金。</w:t>
      </w:r>
    </w:p>
    <w:p>
      <w:pPr>
        <w:pStyle w:val="BodyText"/>
        <w:spacing w:before="6"/>
        <w:ind w:left="0"/>
        <w:rPr>
          <w:sz w:val="15"/>
        </w:rPr>
      </w:pPr>
    </w:p>
    <w:p>
      <w:pPr>
        <w:pStyle w:val="Heading2"/>
        <w:tabs>
          <w:tab w:pos="1236" w:val="left" w:leader="none"/>
        </w:tabs>
      </w:pPr>
      <w:r>
        <w:rPr/>
        <w:t>第十七條</w:t>
        <w:tab/>
        <w:t>祝壽保險金的給付</w:t>
      </w:r>
    </w:p>
    <w:p>
      <w:pPr>
        <w:pStyle w:val="BodyText"/>
        <w:spacing w:line="235" w:lineRule="exact"/>
        <w:ind w:left="1030"/>
      </w:pPr>
      <w:r>
        <w:rPr>
          <w:w w:val="95"/>
        </w:rPr>
        <w:t>被保險人於本契約有效期間且保險年齡到達九十九歲之保險單週年日仍生存時，本公司以保險金額為</w:t>
      </w:r>
    </w:p>
    <w:p>
      <w:pPr>
        <w:pStyle w:val="BodyText"/>
        <w:spacing w:before="5"/>
        <w:ind w:left="1030"/>
      </w:pPr>
      <w:r>
        <w:rPr>
          <w:w w:val="95"/>
        </w:rPr>
        <w:t>準，按年繳繳費方式無息計算自契約生效日起至「繳費期間屆滿日」止，所應繳保險費總額的一點零</w:t>
      </w:r>
    </w:p>
    <w:p>
      <w:pPr>
        <w:spacing w:after="0"/>
        <w:sectPr>
          <w:pgSz w:w="11910" w:h="16840"/>
          <w:pgMar w:header="0" w:footer="855" w:top="1360" w:bottom="1040" w:left="900" w:right="980"/>
        </w:sectPr>
      </w:pPr>
    </w:p>
    <w:p>
      <w:pPr>
        <w:pStyle w:val="BodyText"/>
        <w:spacing w:line="242" w:lineRule="auto" w:before="29"/>
        <w:ind w:left="1030" w:right="157"/>
      </w:pPr>
      <w:r>
        <w:rPr>
          <w:w w:val="95"/>
        </w:rPr>
        <w:t>五倍扣除累計應給付之「長期照顧復健保險金」、「長期照顧服務或長期照顧保險金」、「完全失能</w:t>
      </w:r>
      <w:r>
        <w:rPr>
          <w:spacing w:val="184"/>
        </w:rPr>
        <w:t> </w:t>
      </w:r>
      <w:r>
        <w:rPr/>
        <w:t>關懷保險金」及「完全失能生活扶助保險金」總額後之餘額，給付祝壽保險金。</w:t>
      </w:r>
    </w:p>
    <w:p>
      <w:pPr>
        <w:pStyle w:val="BodyText"/>
        <w:spacing w:line="242" w:lineRule="auto" w:before="4"/>
        <w:ind w:left="1030" w:right="156"/>
        <w:jc w:val="both"/>
      </w:pPr>
      <w:r>
        <w:rPr>
          <w:w w:val="95"/>
        </w:rPr>
        <w:t>如累計應給付之「長期照顧復健保險金」、「長期照顧服務或長期照顧保險金」、「完全失能關懷保</w:t>
      </w:r>
      <w:r>
        <w:rPr>
          <w:spacing w:val="195"/>
        </w:rPr>
        <w:t> </w:t>
      </w:r>
      <w:r>
        <w:rPr>
          <w:w w:val="95"/>
        </w:rPr>
        <w:t>險金」及「完全失能生活扶助保險金」總額已達前項所稱應繳保險費總額的一點零五倍者，本公司不</w:t>
      </w:r>
      <w:r>
        <w:rPr>
          <w:spacing w:val="185"/>
        </w:rPr>
        <w:t> </w:t>
      </w:r>
      <w:r>
        <w:rPr/>
        <w:t>再給付祝壽保險金。</w:t>
      </w:r>
    </w:p>
    <w:p>
      <w:pPr>
        <w:pStyle w:val="BodyText"/>
        <w:spacing w:before="4"/>
        <w:ind w:left="0"/>
        <w:rPr>
          <w:sz w:val="15"/>
        </w:rPr>
      </w:pPr>
    </w:p>
    <w:p>
      <w:pPr>
        <w:pStyle w:val="Heading2"/>
        <w:tabs>
          <w:tab w:pos="1236" w:val="left" w:leader="none"/>
        </w:tabs>
        <w:spacing w:line="348" w:lineRule="exact"/>
      </w:pPr>
      <w:r>
        <w:rPr/>
        <w:t>第十八條</w:t>
        <w:tab/>
        <w:t>身故保險金或喪葬費用保險金的給付</w:t>
      </w:r>
    </w:p>
    <w:p>
      <w:pPr>
        <w:pStyle w:val="BodyText"/>
        <w:spacing w:line="236" w:lineRule="exact"/>
        <w:ind w:left="1037"/>
      </w:pPr>
      <w:r>
        <w:rPr>
          <w:w w:val="95"/>
        </w:rPr>
        <w:t>被保險人於本契約有效期間內身故者，本公司以保險單上所記載身故時之保險金額為準，按年繳繳費</w:t>
      </w:r>
    </w:p>
    <w:p>
      <w:pPr>
        <w:pStyle w:val="BodyText"/>
        <w:spacing w:line="244" w:lineRule="auto" w:before="3"/>
        <w:ind w:left="1037" w:right="151"/>
        <w:jc w:val="both"/>
      </w:pPr>
      <w:r>
        <w:rPr/>
        <w:drawing>
          <wp:anchor distT="0" distB="0" distL="0" distR="0" allowOverlap="1" layoutInCell="1" locked="0" behindDoc="1" simplePos="0" relativeHeight="487256576">
            <wp:simplePos x="0" y="0"/>
            <wp:positionH relativeFrom="page">
              <wp:posOffset>2873329</wp:posOffset>
            </wp:positionH>
            <wp:positionV relativeFrom="paragraph">
              <wp:posOffset>926338</wp:posOffset>
            </wp:positionV>
            <wp:extent cx="1834583" cy="442722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4583" cy="4427220"/>
                    </a:xfrm>
                    <a:prstGeom prst="rect">
                      <a:avLst/>
                    </a:prstGeom>
                  </pic:spPr>
                </pic:pic>
              </a:graphicData>
            </a:graphic>
          </wp:anchor>
        </w:drawing>
      </w:r>
      <w:r>
        <w:rPr>
          <w:w w:val="95"/>
        </w:rPr>
        <w:t>方式無息計算自契約生效日起至「被保險人身故日」或「繳費期間屆滿日」二者較早屆至之日止所應</w:t>
      </w:r>
      <w:r>
        <w:rPr>
          <w:spacing w:val="193"/>
        </w:rPr>
        <w:t> </w:t>
      </w:r>
      <w:r>
        <w:rPr>
          <w:w w:val="95"/>
        </w:rPr>
        <w:t>繳保險費總額的一點零五倍扣除累計應給付「長期照顧復健保險金」、「長期照顧服務或長期照顧保</w:t>
      </w:r>
      <w:r>
        <w:rPr>
          <w:spacing w:val="193"/>
        </w:rPr>
        <w:t> </w:t>
      </w:r>
      <w:r>
        <w:rPr>
          <w:w w:val="95"/>
        </w:rPr>
        <w:t>險金」、「完全失能關懷保險金」及「完全失能生活扶助保險金」總額後之餘額，給付身故保險金。</w:t>
      </w:r>
      <w:r>
        <w:rPr>
          <w:spacing w:val="193"/>
        </w:rPr>
        <w:t> </w:t>
      </w:r>
      <w:r>
        <w:rPr>
          <w:w w:val="95"/>
        </w:rPr>
        <w:t>如累計應給付之「長期照顧復健保險金」、「長期照顧服務或長期照顧保險金」、「完全失能關懷保</w:t>
      </w:r>
      <w:r>
        <w:rPr>
          <w:spacing w:val="193"/>
        </w:rPr>
        <w:t> </w:t>
      </w:r>
      <w:r>
        <w:rPr>
          <w:w w:val="95"/>
        </w:rPr>
        <w:t>險金」及「完全失能生活扶助保險金」總額已達前項所稱應繳保險費總額的一點零五倍者，本公司不</w:t>
      </w:r>
      <w:r>
        <w:rPr>
          <w:spacing w:val="183"/>
        </w:rPr>
        <w:t> </w:t>
      </w:r>
      <w:r>
        <w:rPr/>
        <w:t>再給付身故保險金。</w:t>
      </w:r>
    </w:p>
    <w:p>
      <w:pPr>
        <w:pStyle w:val="Heading2"/>
        <w:spacing w:line="170" w:lineRule="auto" w:before="3"/>
        <w:ind w:left="1037" w:right="158"/>
      </w:pPr>
      <w:r>
        <w:rPr>
          <w:w w:val="95"/>
        </w:rPr>
        <w:t>被保險人於本契約有效且於繳費期間內身故者，本契約當期已繳付之未到期保險費將不予退還，亦不</w:t>
      </w:r>
      <w:r>
        <w:rPr>
          <w:spacing w:val="87"/>
        </w:rPr>
        <w:t> </w:t>
      </w:r>
      <w:r>
        <w:rPr>
          <w:spacing w:val="88"/>
        </w:rPr>
        <w:t> </w:t>
      </w:r>
      <w:r>
        <w:rPr/>
        <w:t>併入身故保險金內給付。</w:t>
      </w:r>
    </w:p>
    <w:p>
      <w:pPr>
        <w:pStyle w:val="BodyText"/>
        <w:spacing w:line="244" w:lineRule="exact"/>
        <w:ind w:left="1037"/>
      </w:pPr>
      <w:r>
        <w:rPr/>
        <w:t>訂立本契約時，以受監護宣告尚未撤銷者為被保險人，其身故保險金變更為喪葬費用保險金。</w:t>
      </w:r>
    </w:p>
    <w:p>
      <w:pPr>
        <w:pStyle w:val="BodyText"/>
        <w:spacing w:line="242" w:lineRule="auto" w:before="6"/>
        <w:ind w:left="1037" w:right="154"/>
        <w:jc w:val="both"/>
      </w:pPr>
      <w:r>
        <w:rPr>
          <w:w w:val="95"/>
        </w:rPr>
        <w:t>前項被保險人於民國九十九年二月三日（含）以後所投保之喪葬費用保險金額總和（不限本公司），</w:t>
      </w:r>
      <w:r>
        <w:rPr>
          <w:spacing w:val="190"/>
        </w:rPr>
        <w:t> </w:t>
      </w:r>
      <w:r>
        <w:rPr>
          <w:w w:val="95"/>
        </w:rPr>
        <w:t>不得超過遺產及贈與稅法第十七條有關遺產稅喪葬費扣除額之半數，其超過部分本公司不負給付責</w:t>
      </w:r>
      <w:r>
        <w:rPr>
          <w:spacing w:val="129"/>
        </w:rPr>
        <w:t> </w:t>
      </w:r>
      <w:r>
        <w:rPr>
          <w:spacing w:val="130"/>
        </w:rPr>
        <w:t> </w:t>
      </w:r>
      <w:r>
        <w:rPr/>
        <w:t>任，本公司並應無息退還該超過部分之已繳保險費。</w:t>
      </w:r>
    </w:p>
    <w:p>
      <w:pPr>
        <w:pStyle w:val="BodyText"/>
        <w:spacing w:line="242" w:lineRule="auto" w:before="3"/>
        <w:ind w:left="1037" w:right="151"/>
        <w:jc w:val="both"/>
      </w:pPr>
      <w:r>
        <w:rPr>
          <w:w w:val="95"/>
        </w:rPr>
        <w:t>前項情形，如要保人向二家（含）以上保險公司投保，或向同一保險公司投保數個保險契(附)約，且</w:t>
      </w:r>
      <w:r>
        <w:rPr>
          <w:spacing w:val="193"/>
        </w:rPr>
        <w:t> </w:t>
      </w:r>
      <w:r>
        <w:rPr>
          <w:w w:val="95"/>
        </w:rPr>
        <w:t>其投保之喪葬費用保險金額合計超過前項所定之限額者，本公司於所承保之喪葬費用金額範圍內，依</w:t>
      </w:r>
      <w:r>
        <w:rPr>
          <w:spacing w:val="193"/>
        </w:rPr>
        <w:t> </w:t>
      </w:r>
      <w:r>
        <w:rPr>
          <w:w w:val="95"/>
        </w:rPr>
        <w:t>各要保書所載之要保時間先後，依約給付喪葬費用保險金至前項喪葬費用額度上限為止，如有二家以</w:t>
      </w:r>
      <w:r>
        <w:rPr>
          <w:spacing w:val="193"/>
        </w:rPr>
        <w:t> </w:t>
      </w:r>
      <w:r>
        <w:rPr>
          <w:w w:val="95"/>
        </w:rPr>
        <w:t>上保險公司之保險契約要保時間相同或無法區分其要保時間之先後者，各該保險公司應依其喪葬費用</w:t>
      </w:r>
      <w:r>
        <w:rPr>
          <w:spacing w:val="183"/>
        </w:rPr>
        <w:t> </w:t>
      </w:r>
      <w:r>
        <w:rPr/>
        <w:t>保險金額與扣除要保時間在先之保險公司應理賠之金額後所餘之限額比例分擔其責任。</w:t>
      </w:r>
    </w:p>
    <w:p>
      <w:pPr>
        <w:pStyle w:val="BodyText"/>
        <w:spacing w:before="8"/>
        <w:ind w:left="0"/>
        <w:rPr>
          <w:sz w:val="15"/>
        </w:rPr>
      </w:pPr>
    </w:p>
    <w:p>
      <w:pPr>
        <w:pStyle w:val="Heading2"/>
        <w:tabs>
          <w:tab w:pos="1236" w:val="left" w:leader="none"/>
        </w:tabs>
        <w:spacing w:line="348" w:lineRule="exact"/>
      </w:pPr>
      <w:r>
        <w:rPr/>
        <w:t>第十九條</w:t>
        <w:tab/>
        <w:t>長期照顧服務之規格</w:t>
      </w:r>
    </w:p>
    <w:p>
      <w:pPr>
        <w:pStyle w:val="BodyText"/>
        <w:spacing w:line="236" w:lineRule="exact"/>
        <w:ind w:left="1058"/>
      </w:pPr>
      <w:r>
        <w:rPr/>
        <w:t>本公司提供長期照顧服務之規格應符合下列標準：</w:t>
      </w:r>
    </w:p>
    <w:p>
      <w:pPr>
        <w:pStyle w:val="BodyText"/>
        <w:spacing w:before="3"/>
        <w:ind w:left="1058"/>
      </w:pPr>
      <w:r>
        <w:rPr/>
        <w:t>一、長期照顧服務機構之資格：</w:t>
      </w:r>
    </w:p>
    <w:p>
      <w:pPr>
        <w:pStyle w:val="BodyText"/>
        <w:spacing w:line="244" w:lineRule="auto" w:before="3"/>
        <w:ind w:left="1058" w:right="586" w:firstLine="379"/>
      </w:pPr>
      <w:r>
        <w:rPr>
          <w:w w:val="95"/>
        </w:rPr>
        <w:t>須為依長期照顧服務法設立，以提供長期照顧需求評估服務或長期照顧服務為目的之機構。</w:t>
      </w:r>
      <w:r>
        <w:rPr>
          <w:spacing w:val="108"/>
        </w:rPr>
        <w:t> </w:t>
      </w:r>
      <w:r>
        <w:rPr/>
        <w:t>二、服務內容：</w:t>
      </w:r>
    </w:p>
    <w:p>
      <w:pPr>
        <w:pStyle w:val="BodyText"/>
        <w:spacing w:line="255" w:lineRule="exact"/>
        <w:ind w:left="1438"/>
      </w:pPr>
      <w:r>
        <w:rPr/>
        <w:t>應符合附件二所列之內容。</w:t>
      </w:r>
    </w:p>
    <w:p>
      <w:pPr>
        <w:pStyle w:val="BodyText"/>
        <w:spacing w:before="6"/>
        <w:ind w:left="0"/>
        <w:rPr>
          <w:sz w:val="15"/>
        </w:rPr>
      </w:pPr>
    </w:p>
    <w:p>
      <w:pPr>
        <w:pStyle w:val="Heading2"/>
        <w:tabs>
          <w:tab w:pos="1236" w:val="left" w:leader="none"/>
        </w:tabs>
      </w:pPr>
      <w:r>
        <w:rPr/>
        <w:t>第二十條</w:t>
        <w:tab/>
        <w:t>異動之通知</w:t>
      </w:r>
    </w:p>
    <w:p>
      <w:pPr>
        <w:pStyle w:val="BodyText"/>
        <w:spacing w:line="235" w:lineRule="exact"/>
        <w:ind w:left="1058"/>
      </w:pPr>
      <w:r>
        <w:rPr/>
        <w:t>本契約有效期間內本公司有變更長期照顧服務機構、服務內容及價格之權利，並應於變更之三個月前</w:t>
      </w:r>
    </w:p>
    <w:p>
      <w:pPr>
        <w:pStyle w:val="BodyText"/>
        <w:spacing w:before="6"/>
        <w:ind w:left="1058"/>
      </w:pPr>
      <w:r>
        <w:rPr/>
        <w:t>以網站公告或以其他約定方式通知要保人。</w:t>
      </w:r>
    </w:p>
    <w:p>
      <w:pPr>
        <w:pStyle w:val="BodyText"/>
        <w:spacing w:before="2"/>
        <w:ind w:left="1058"/>
      </w:pPr>
      <w:r>
        <w:rPr/>
        <w:t>本公司變更長期照顧服務機構或服務內容時，仍應符合前條約定之規格。</w:t>
      </w:r>
    </w:p>
    <w:p>
      <w:pPr>
        <w:pStyle w:val="BodyText"/>
        <w:spacing w:before="7"/>
        <w:ind w:left="0"/>
        <w:rPr>
          <w:sz w:val="15"/>
        </w:rPr>
      </w:pPr>
    </w:p>
    <w:p>
      <w:pPr>
        <w:pStyle w:val="Heading2"/>
        <w:tabs>
          <w:tab w:pos="1435" w:val="left" w:leader="none"/>
        </w:tabs>
      </w:pPr>
      <w:r>
        <w:rPr/>
        <w:t>第二十一條</w:t>
        <w:tab/>
        <w:t>補償機制</w:t>
      </w:r>
    </w:p>
    <w:p>
      <w:pPr>
        <w:pStyle w:val="BodyText"/>
        <w:spacing w:line="235" w:lineRule="exact"/>
      </w:pPr>
      <w:r>
        <w:rPr>
          <w:w w:val="95"/>
        </w:rPr>
        <w:t>因可歸責於本公司或長期照顧服務機構之事由致本公司未依長期照顧計畫提供服務或提供不符合第</w:t>
      </w:r>
    </w:p>
    <w:p>
      <w:pPr>
        <w:pStyle w:val="BodyText"/>
        <w:spacing w:line="242" w:lineRule="auto" w:before="5"/>
        <w:ind w:right="157"/>
      </w:pPr>
      <w:r>
        <w:rPr>
          <w:w w:val="95"/>
        </w:rPr>
        <w:t>十九條所約定規格之服務時，除該服務不計入服務時數外，本公司另應給付補償金予被保險人或其</w:t>
      </w:r>
      <w:r>
        <w:rPr>
          <w:spacing w:val="180"/>
        </w:rPr>
        <w:t> </w:t>
      </w:r>
      <w:r>
        <w:rPr/>
        <w:t>他應得之人。</w:t>
      </w:r>
    </w:p>
    <w:p>
      <w:pPr>
        <w:pStyle w:val="BodyText"/>
        <w:spacing w:line="242" w:lineRule="auto" w:before="3"/>
        <w:ind w:right="149"/>
      </w:pPr>
      <w:r>
        <w:rPr>
          <w:w w:val="95"/>
        </w:rPr>
        <w:t>前項補償金之金額為「未依長期照顧計畫提供服務之服務時數或提供不符合第十九條所約定規格之</w:t>
      </w:r>
      <w:r>
        <w:rPr>
          <w:spacing w:val="188"/>
        </w:rPr>
        <w:t> </w:t>
      </w:r>
      <w:r>
        <w:rPr/>
        <w:t>服務時數」乘以附件二所對應該項服務方案之服務費用。</w:t>
      </w:r>
    </w:p>
    <w:p>
      <w:pPr>
        <w:pStyle w:val="BodyText"/>
        <w:spacing w:before="5"/>
        <w:ind w:left="0"/>
        <w:rPr>
          <w:sz w:val="15"/>
        </w:rPr>
      </w:pPr>
    </w:p>
    <w:p>
      <w:pPr>
        <w:pStyle w:val="Heading2"/>
        <w:tabs>
          <w:tab w:pos="1435" w:val="left" w:leader="none"/>
        </w:tabs>
      </w:pPr>
      <w:r>
        <w:rPr/>
        <w:t>第二十二條</w:t>
        <w:tab/>
        <w:t>豁免保險費</w:t>
      </w:r>
    </w:p>
    <w:p>
      <w:pPr>
        <w:pStyle w:val="BodyText"/>
        <w:spacing w:line="235" w:lineRule="exact"/>
      </w:pPr>
      <w:r>
        <w:rPr>
          <w:w w:val="95"/>
        </w:rPr>
        <w:t>被保險人於本契約有效期間內，經醫院專科醫師診斷確定符合第二條所約定之「長期照顧狀態」，</w:t>
      </w:r>
    </w:p>
    <w:p>
      <w:pPr>
        <w:pStyle w:val="BodyText"/>
        <w:spacing w:line="242" w:lineRule="auto" w:before="5"/>
        <w:ind w:right="148"/>
        <w:jc w:val="both"/>
      </w:pPr>
      <w:r>
        <w:rPr>
          <w:w w:val="95"/>
        </w:rPr>
        <w:t>並於免責期間屆滿時仍生存且持續符合「長期照顧狀態」者，或被保險人於本契約有效期間內經醫</w:t>
      </w:r>
      <w:r>
        <w:rPr>
          <w:spacing w:val="199"/>
        </w:rPr>
        <w:t> </w:t>
      </w:r>
      <w:r>
        <w:rPr>
          <w:w w:val="95"/>
        </w:rPr>
        <w:t>院專科醫師診斷確定符合條款附表所列完全失能等級之一者，本公司將溯自「長期照顧狀態」或完</w:t>
      </w:r>
      <w:r>
        <w:rPr>
          <w:spacing w:val="199"/>
        </w:rPr>
        <w:t> </w:t>
      </w:r>
      <w:r>
        <w:rPr>
          <w:w w:val="95"/>
        </w:rPr>
        <w:t>全失能診斷確定之日起，豁免本契約（不含其他附約、附加條款、批註條款）長期照顧或完全失能</w:t>
      </w:r>
      <w:r>
        <w:rPr>
          <w:spacing w:val="199"/>
        </w:rPr>
        <w:t> </w:t>
      </w:r>
      <w:r>
        <w:rPr>
          <w:w w:val="95"/>
        </w:rPr>
        <w:t>期間之保險費。惟第九條「契約的終止（一）」、第三十三條「保險金額之減少」之約定即不再適</w:t>
      </w:r>
      <w:r>
        <w:rPr>
          <w:spacing w:val="189"/>
        </w:rPr>
        <w:t> </w:t>
      </w:r>
      <w:r>
        <w:rPr/>
        <w:t>用。</w:t>
      </w:r>
    </w:p>
    <w:p>
      <w:pPr>
        <w:pStyle w:val="BodyText"/>
        <w:spacing w:before="7"/>
      </w:pPr>
      <w:r>
        <w:rPr/>
        <w:t>本契約保險費豁免期間，被保險人若未繼續符合「長期照顧狀態」時，本公司即停止豁免保險費。</w:t>
      </w:r>
    </w:p>
    <w:p>
      <w:pPr>
        <w:spacing w:after="0"/>
        <w:sectPr>
          <w:pgSz w:w="11910" w:h="16840"/>
          <w:pgMar w:header="0" w:footer="855" w:top="1360" w:bottom="1040" w:left="900" w:right="980"/>
        </w:sectPr>
      </w:pPr>
    </w:p>
    <w:p>
      <w:pPr>
        <w:pStyle w:val="Heading2"/>
        <w:tabs>
          <w:tab w:pos="1435" w:val="left" w:leader="none"/>
        </w:tabs>
        <w:spacing w:line="310" w:lineRule="exact"/>
      </w:pPr>
      <w:r>
        <w:rPr/>
        <w:t>第二十三條</w:t>
        <w:tab/>
        <w:t>保險事故的通知與保險金的申請時間</w:t>
      </w:r>
    </w:p>
    <w:p>
      <w:pPr>
        <w:pStyle w:val="BodyText"/>
        <w:spacing w:line="235" w:lineRule="exact"/>
      </w:pPr>
      <w:r>
        <w:rPr>
          <w:w w:val="95"/>
        </w:rPr>
        <w:t>要保人或受益人應於知悉本公司應負保險責任之事故後十日內通知本公司，並於通知後儘速檢具所</w:t>
      </w:r>
    </w:p>
    <w:p>
      <w:pPr>
        <w:pStyle w:val="BodyText"/>
        <w:spacing w:before="5"/>
      </w:pPr>
      <w:r>
        <w:rPr/>
        <w:t>需文件向本公司申請給付保險金或提供長期照顧服務。</w:t>
      </w:r>
    </w:p>
    <w:p>
      <w:pPr>
        <w:pStyle w:val="BodyText"/>
        <w:spacing w:line="244" w:lineRule="auto" w:before="3"/>
        <w:ind w:right="149"/>
        <w:jc w:val="both"/>
      </w:pPr>
      <w:r>
        <w:rPr>
          <w:w w:val="95"/>
        </w:rPr>
        <w:t>本公司應於收齊前項文件後十五日內，給付除第二次（含）以後之「長期照顧保險金」或「完全失</w:t>
      </w:r>
      <w:r>
        <w:rPr>
          <w:spacing w:val="198"/>
        </w:rPr>
        <w:t> </w:t>
      </w:r>
      <w:r>
        <w:rPr>
          <w:w w:val="95"/>
        </w:rPr>
        <w:t>能生活扶助保險金」外的保險金；第二次（含）以後之「長期照顧保險金」，本公司應於該長期照</w:t>
      </w:r>
      <w:r>
        <w:rPr>
          <w:spacing w:val="198"/>
        </w:rPr>
        <w:t> </w:t>
      </w:r>
      <w:r>
        <w:rPr>
          <w:w w:val="95"/>
        </w:rPr>
        <w:t>顧給付年度開始日給付之；第二次（含）以後之「完全失能生活扶助保險金」，本公司應於該失能</w:t>
      </w:r>
      <w:r>
        <w:rPr>
          <w:spacing w:val="198"/>
        </w:rPr>
        <w:t> </w:t>
      </w:r>
      <w:r>
        <w:rPr>
          <w:w w:val="95"/>
        </w:rPr>
        <w:t>診斷確定日之週年日給付之。但因可歸責於本公司之事由致未在前述約定期限內為給付者，應按年</w:t>
      </w:r>
      <w:r>
        <w:rPr>
          <w:spacing w:val="188"/>
        </w:rPr>
        <w:t> </w:t>
      </w:r>
      <w:r>
        <w:rPr/>
        <w:t>利一分加計利息給付。</w:t>
      </w:r>
    </w:p>
    <w:p>
      <w:pPr>
        <w:pStyle w:val="BodyText"/>
        <w:spacing w:line="274" w:lineRule="exact"/>
      </w:pPr>
      <w:r>
        <w:rPr>
          <w:w w:val="95"/>
        </w:rPr>
        <w:t>本公司給付第十二條第二次（含）以後之「長期照顧服務或長期照顧保險金</w:t>
      </w:r>
      <w:r>
        <w:rPr>
          <w:rFonts w:ascii="Microsoft JhengHei" w:eastAsia="Microsoft JhengHei" w:hint="eastAsia"/>
          <w:b/>
          <w:w w:val="95"/>
        </w:rPr>
        <w:t>」</w:t>
      </w:r>
      <w:r>
        <w:rPr>
          <w:w w:val="95"/>
        </w:rPr>
        <w:t>或第十六條第二次</w:t>
      </w:r>
    </w:p>
    <w:p>
      <w:pPr>
        <w:pStyle w:val="BodyText"/>
        <w:spacing w:line="235" w:lineRule="exact"/>
      </w:pPr>
      <w:r>
        <w:rPr>
          <w:w w:val="95"/>
        </w:rPr>
        <w:t>（含）以後之「完全失能生活扶助保險金」時，若因可歸責於本公司之事由致逾應給付日未給付</w:t>
      </w:r>
    </w:p>
    <w:p>
      <w:pPr>
        <w:pStyle w:val="BodyText"/>
        <w:spacing w:before="5"/>
      </w:pPr>
      <w:r>
        <w:rPr/>
        <w:t>時，應按年利一分加計利息給付。</w:t>
      </w:r>
    </w:p>
    <w:p>
      <w:pPr>
        <w:pStyle w:val="BodyText"/>
        <w:spacing w:line="242" w:lineRule="auto" w:before="3"/>
        <w:ind w:right="156"/>
        <w:jc w:val="both"/>
      </w:pPr>
      <w:r>
        <w:rPr/>
        <w:drawing>
          <wp:anchor distT="0" distB="0" distL="0" distR="0" allowOverlap="1" layoutInCell="1" locked="0" behindDoc="1" simplePos="0" relativeHeight="487257088">
            <wp:simplePos x="0" y="0"/>
            <wp:positionH relativeFrom="page">
              <wp:posOffset>2873329</wp:posOffset>
            </wp:positionH>
            <wp:positionV relativeFrom="paragraph">
              <wp:posOffset>431038</wp:posOffset>
            </wp:positionV>
            <wp:extent cx="1834583" cy="442722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4583" cy="4427220"/>
                    </a:xfrm>
                    <a:prstGeom prst="rect">
                      <a:avLst/>
                    </a:prstGeom>
                  </pic:spPr>
                </pic:pic>
              </a:graphicData>
            </a:graphic>
          </wp:anchor>
        </w:drawing>
      </w:r>
      <w:r>
        <w:rPr>
          <w:w w:val="95"/>
        </w:rPr>
        <w:t>本公司應於收齊第一項文件後十五日內，開始給付第一次「長期照顧服務」之「長期照顧計畫」；</w:t>
      </w:r>
      <w:r>
        <w:rPr>
          <w:spacing w:val="191"/>
        </w:rPr>
        <w:t> </w:t>
      </w:r>
      <w:r>
        <w:rPr>
          <w:w w:val="95"/>
        </w:rPr>
        <w:t>第二次（含）以後之「長期照顧服務」，本公司應於該長期照顧給付年度開始日開始給付之。但因</w:t>
      </w:r>
      <w:r>
        <w:rPr>
          <w:spacing w:val="191"/>
        </w:rPr>
        <w:t> </w:t>
      </w:r>
      <w:r>
        <w:rPr>
          <w:w w:val="95"/>
        </w:rPr>
        <w:t>可歸責於本公司或長期照顧服務機構之事由致未在前述約定期限內或期日開始給付者，應另給付按</w:t>
      </w:r>
      <w:r>
        <w:rPr>
          <w:spacing w:val="181"/>
        </w:rPr>
        <w:t> </w:t>
      </w:r>
      <w:r>
        <w:rPr/>
        <w:t>年利一分計算之利息。</w:t>
      </w:r>
    </w:p>
    <w:p>
      <w:pPr>
        <w:pStyle w:val="BodyText"/>
        <w:spacing w:line="244" w:lineRule="auto" w:before="7"/>
        <w:ind w:right="155"/>
        <w:jc w:val="both"/>
      </w:pPr>
      <w:r>
        <w:rPr>
          <w:w w:val="95"/>
        </w:rPr>
        <w:t>本公司依第十四條第三項開始給付「長期照顧服務」或補足「長期照顧保險金」或「長期照顧服務</w:t>
      </w:r>
      <w:r>
        <w:rPr>
          <w:spacing w:val="192"/>
        </w:rPr>
        <w:t> </w:t>
      </w:r>
      <w:r>
        <w:rPr>
          <w:w w:val="95"/>
        </w:rPr>
        <w:t>未支領餘額」時，若因可歸責於本公司之事由致未於受益人補齊文件後五日內開始給付或補足時，</w:t>
      </w:r>
      <w:r>
        <w:rPr>
          <w:spacing w:val="182"/>
        </w:rPr>
        <w:t> </w:t>
      </w:r>
      <w:r>
        <w:rPr/>
        <w:t>應另給付按年利一分計算之利息。</w:t>
      </w:r>
    </w:p>
    <w:p>
      <w:pPr>
        <w:pStyle w:val="BodyText"/>
        <w:spacing w:before="10"/>
        <w:ind w:left="0"/>
        <w:rPr>
          <w:sz w:val="14"/>
        </w:rPr>
      </w:pPr>
    </w:p>
    <w:p>
      <w:pPr>
        <w:pStyle w:val="Heading2"/>
        <w:tabs>
          <w:tab w:pos="1435" w:val="left" w:leader="none"/>
        </w:tabs>
        <w:spacing w:line="348" w:lineRule="exact"/>
      </w:pPr>
      <w:r>
        <w:rPr/>
        <w:t>第二十四條</w:t>
        <w:tab/>
        <w:t>失蹤處理</w:t>
      </w:r>
    </w:p>
    <w:p>
      <w:pPr>
        <w:pStyle w:val="BodyText"/>
        <w:spacing w:line="236" w:lineRule="exact"/>
      </w:pPr>
      <w:r>
        <w:rPr>
          <w:w w:val="95"/>
        </w:rPr>
        <w:t>被保險人在本契約有效期間內失蹤時，如經法院宣告死亡者，本公司根據判決內所確定死亡時日為</w:t>
      </w:r>
    </w:p>
    <w:p>
      <w:pPr>
        <w:pStyle w:val="BodyText"/>
        <w:spacing w:line="244" w:lineRule="auto" w:before="3"/>
        <w:ind w:right="154"/>
        <w:jc w:val="both"/>
      </w:pPr>
      <w:r>
        <w:rPr>
          <w:w w:val="95"/>
        </w:rPr>
        <w:t>準，依本契約第十八條約定給付身故保險金或喪葬費用保險金；如要保人或受益人能提出證明文</w:t>
      </w:r>
      <w:r>
        <w:rPr>
          <w:spacing w:val="141"/>
        </w:rPr>
        <w:t> </w:t>
      </w:r>
      <w:r>
        <w:rPr>
          <w:spacing w:val="142"/>
        </w:rPr>
        <w:t> </w:t>
      </w:r>
      <w:r>
        <w:rPr>
          <w:w w:val="95"/>
        </w:rPr>
        <w:t>件，足以認為被保險人極可能因意外傷害事故而死亡者，本公司應依意外傷害事故發生日為準，依</w:t>
      </w:r>
      <w:r>
        <w:rPr>
          <w:spacing w:val="183"/>
        </w:rPr>
        <w:t> </w:t>
      </w:r>
      <w:r>
        <w:rPr/>
        <w:t>本契約第十八條約定給付身故保險金或喪葬費用保險金。</w:t>
      </w:r>
    </w:p>
    <w:p>
      <w:pPr>
        <w:pStyle w:val="BodyText"/>
        <w:spacing w:line="244" w:lineRule="auto"/>
        <w:ind w:right="149"/>
        <w:jc w:val="both"/>
      </w:pPr>
      <w:r>
        <w:rPr>
          <w:w w:val="95"/>
        </w:rPr>
        <w:t>前項情形，本公司給付身故保險金或喪葬費用保險金後，如發現被保險人生還時，要保人或受益人</w:t>
      </w:r>
      <w:r>
        <w:rPr>
          <w:spacing w:val="198"/>
        </w:rPr>
        <w:t> </w:t>
      </w:r>
      <w:r>
        <w:rPr>
          <w:w w:val="95"/>
        </w:rPr>
        <w:t>應將該筆已領之退還已繳保險費或身故保險金或喪葬費用保險金歸還本公司，其間若有應給付保險</w:t>
      </w:r>
      <w:r>
        <w:rPr>
          <w:spacing w:val="188"/>
        </w:rPr>
        <w:t> </w:t>
      </w:r>
      <w:r>
        <w:rPr/>
        <w:t>金之情事發生者，仍應予給付。但有應繳之保險費，本公司仍得予以扣除。</w:t>
      </w:r>
    </w:p>
    <w:p>
      <w:pPr>
        <w:pStyle w:val="BodyText"/>
        <w:spacing w:before="8"/>
        <w:ind w:left="0"/>
        <w:rPr>
          <w:sz w:val="14"/>
        </w:rPr>
      </w:pPr>
    </w:p>
    <w:p>
      <w:pPr>
        <w:pStyle w:val="Heading2"/>
        <w:tabs>
          <w:tab w:pos="1435" w:val="left" w:leader="none"/>
        </w:tabs>
      </w:pPr>
      <w:r>
        <w:rPr/>
        <w:t>第二十五條</w:t>
        <w:tab/>
        <w:t>長期照顧復健保險金、長期照顧服務或長期照顧保險金的申領</w:t>
      </w:r>
    </w:p>
    <w:p>
      <w:pPr>
        <w:pStyle w:val="BodyText"/>
        <w:spacing w:line="235" w:lineRule="exact"/>
      </w:pPr>
      <w:r>
        <w:rPr/>
        <w:t>受益人申領「長期照顧復健保險金」、「長期照顧服務或長期照顧保險金」時，應檢具下列文件：</w:t>
      </w:r>
    </w:p>
    <w:p>
      <w:pPr>
        <w:pStyle w:val="BodyText"/>
        <w:spacing w:before="6"/>
      </w:pPr>
      <w:r>
        <w:rPr/>
        <w:t>一、保險單或其謄本。</w:t>
      </w:r>
    </w:p>
    <w:p>
      <w:pPr>
        <w:pStyle w:val="BodyText"/>
        <w:spacing w:line="244" w:lineRule="auto" w:before="3"/>
        <w:ind w:left="1630" w:right="151" w:hanging="406"/>
        <w:jc w:val="both"/>
      </w:pPr>
      <w:r>
        <w:rPr>
          <w:w w:val="95"/>
        </w:rPr>
        <w:t>二、最近一個月內醫院所開具符合第二條約定之長期照顧狀態的診斷證明書及相關專科醫師開具之</w:t>
      </w:r>
      <w:r>
        <w:rPr>
          <w:spacing w:val="186"/>
        </w:rPr>
        <w:t> </w:t>
      </w:r>
      <w:r>
        <w:rPr/>
        <w:t>巴氏量表（Barthel</w:t>
      </w:r>
      <w:r>
        <w:rPr>
          <w:spacing w:val="19"/>
        </w:rPr>
        <w:t> </w:t>
      </w:r>
      <w:r>
        <w:rPr/>
        <w:t>Index）或臨床失智評分量表（CDR）或其他專業評量表。（但要保人或被保險人為醫師時，不得為被保險人出具診斷證明書或相關診斷評量表。）</w:t>
      </w:r>
    </w:p>
    <w:p>
      <w:pPr>
        <w:pStyle w:val="BodyText"/>
        <w:spacing w:line="244" w:lineRule="auto"/>
        <w:ind w:right="5601"/>
      </w:pPr>
      <w:r>
        <w:rPr>
          <w:spacing w:val="-1"/>
        </w:rPr>
        <w:t>三、長期照顧狀態之相關病歷摘要。</w:t>
      </w:r>
      <w:r>
        <w:rPr/>
        <w:t>四、保險金申請書。</w:t>
      </w:r>
    </w:p>
    <w:p>
      <w:pPr>
        <w:pStyle w:val="BodyText"/>
        <w:spacing w:line="254" w:lineRule="exact"/>
      </w:pPr>
      <w:r>
        <w:rPr/>
        <w:t>五、受益人的身分證明。</w:t>
      </w:r>
    </w:p>
    <w:p>
      <w:pPr>
        <w:pStyle w:val="BodyText"/>
        <w:spacing w:line="242" w:lineRule="auto" w:before="1"/>
        <w:ind w:right="149"/>
        <w:jc w:val="both"/>
      </w:pPr>
      <w:r>
        <w:rPr>
          <w:w w:val="95"/>
        </w:rPr>
        <w:t>受益人依第十二條申領「長期照顧服務或長期照顧保險金」時，除第一次「長期照顧服務或長期照</w:t>
      </w:r>
      <w:r>
        <w:rPr>
          <w:spacing w:val="198"/>
        </w:rPr>
        <w:t> </w:t>
      </w:r>
      <w:r>
        <w:rPr>
          <w:w w:val="95"/>
        </w:rPr>
        <w:t>顧保險金」得併同前項約定辦理外，並應於嗣後每一給付日的五日前檢齊前項第二款至第四款文件</w:t>
      </w:r>
      <w:r>
        <w:rPr>
          <w:spacing w:val="188"/>
        </w:rPr>
        <w:t> </w:t>
      </w:r>
      <w:r>
        <w:rPr/>
        <w:t>覆查。</w:t>
      </w:r>
    </w:p>
    <w:p>
      <w:pPr>
        <w:pStyle w:val="BodyText"/>
        <w:spacing w:line="242" w:lineRule="auto" w:before="3"/>
        <w:ind w:right="150"/>
        <w:jc w:val="both"/>
      </w:pPr>
      <w:r>
        <w:rPr>
          <w:w w:val="95"/>
        </w:rPr>
        <w:t>受益人依第十一條、第十二條申領保險金時，本公司基於審核保險金之需要，得派員或轉請其他醫</w:t>
      </w:r>
      <w:r>
        <w:rPr>
          <w:spacing w:val="197"/>
        </w:rPr>
        <w:t> </w:t>
      </w:r>
      <w:r>
        <w:rPr>
          <w:w w:val="95"/>
        </w:rPr>
        <w:t>院之專科醫師審查被保險人之狀態，並得對被保險人的身體予以檢驗；另得徵詢其他醫師之醫學專</w:t>
      </w:r>
      <w:r>
        <w:rPr>
          <w:spacing w:val="197"/>
        </w:rPr>
        <w:t> </w:t>
      </w:r>
      <w:r>
        <w:rPr>
          <w:w w:val="95"/>
        </w:rPr>
        <w:t>業意見，並得經被保險人同意調閱被保險人之就醫相關資料，因此所生之費用由本公司負擔。但不</w:t>
      </w:r>
      <w:r>
        <w:rPr>
          <w:spacing w:val="187"/>
        </w:rPr>
        <w:t> </w:t>
      </w:r>
      <w:r>
        <w:rPr/>
        <w:t>因此延展本公司依第二十三條約定應給付之期限。</w:t>
      </w:r>
    </w:p>
    <w:p>
      <w:pPr>
        <w:pStyle w:val="BodyText"/>
        <w:spacing w:before="8"/>
        <w:ind w:left="0"/>
        <w:rPr>
          <w:sz w:val="15"/>
        </w:rPr>
      </w:pPr>
    </w:p>
    <w:p>
      <w:pPr>
        <w:pStyle w:val="Heading2"/>
        <w:tabs>
          <w:tab w:pos="1435" w:val="left" w:leader="none"/>
        </w:tabs>
      </w:pPr>
      <w:r>
        <w:rPr/>
        <w:t>第二十六條</w:t>
        <w:tab/>
        <w:t>祝壽保險金的申領</w:t>
      </w:r>
    </w:p>
    <w:p>
      <w:pPr>
        <w:pStyle w:val="BodyText"/>
        <w:spacing w:line="235" w:lineRule="exact"/>
      </w:pPr>
      <w:r>
        <w:rPr/>
        <w:t>受益人申領「祝壽保險金」時，應檢具下列文件：</w:t>
      </w:r>
    </w:p>
    <w:p>
      <w:pPr>
        <w:pStyle w:val="BodyText"/>
        <w:spacing w:line="242" w:lineRule="auto" w:before="6"/>
        <w:ind w:right="6801"/>
      </w:pPr>
      <w:r>
        <w:rPr>
          <w:spacing w:val="-1"/>
        </w:rPr>
        <w:t>一、保險單或其謄本。</w:t>
      </w:r>
      <w:r>
        <w:rPr/>
        <w:t>二、保險金申請書。</w:t>
      </w:r>
    </w:p>
    <w:p>
      <w:pPr>
        <w:pStyle w:val="BodyText"/>
      </w:pPr>
      <w:r>
        <w:rPr/>
        <w:t>三、受益人的身分證明。</w:t>
      </w:r>
    </w:p>
    <w:p>
      <w:pPr>
        <w:pStyle w:val="BodyText"/>
        <w:spacing w:before="6"/>
        <w:ind w:left="0"/>
        <w:rPr>
          <w:sz w:val="15"/>
        </w:rPr>
      </w:pPr>
    </w:p>
    <w:p>
      <w:pPr>
        <w:pStyle w:val="Heading2"/>
        <w:tabs>
          <w:tab w:pos="1435" w:val="left" w:leader="none"/>
        </w:tabs>
        <w:spacing w:line="348" w:lineRule="exact" w:before="1"/>
      </w:pPr>
      <w:r>
        <w:rPr/>
        <w:t>第二十七條</w:t>
        <w:tab/>
        <w:t>身故保險金或喪葬費用保險金的申領</w:t>
      </w:r>
    </w:p>
    <w:p>
      <w:pPr>
        <w:pStyle w:val="BodyText"/>
        <w:spacing w:line="236" w:lineRule="exact"/>
      </w:pPr>
      <w:r>
        <w:rPr/>
        <w:t>受益人申領「身故保險金或喪葬費用保險金」時，應檢具下列文件：</w:t>
      </w:r>
    </w:p>
    <w:p>
      <w:pPr>
        <w:spacing w:after="0" w:line="236" w:lineRule="exact"/>
        <w:sectPr>
          <w:pgSz w:w="11910" w:h="16840"/>
          <w:pgMar w:header="0" w:footer="855" w:top="1360" w:bottom="1040" w:left="900" w:right="980"/>
        </w:sectPr>
      </w:pPr>
    </w:p>
    <w:p>
      <w:pPr>
        <w:pStyle w:val="BodyText"/>
        <w:spacing w:before="29"/>
      </w:pPr>
      <w:r>
        <w:rPr/>
        <w:t>一、保險單或其謄本。</w:t>
      </w:r>
    </w:p>
    <w:p>
      <w:pPr>
        <w:pStyle w:val="BodyText"/>
        <w:spacing w:line="244" w:lineRule="auto" w:before="4"/>
        <w:ind w:right="5001"/>
      </w:pPr>
      <w:r>
        <w:rPr>
          <w:spacing w:val="-1"/>
        </w:rPr>
        <w:t>二、被保險人死亡證明書及除戶戶籍謄本。</w:t>
      </w:r>
      <w:r>
        <w:rPr/>
        <w:t>三、保險金申請書。</w:t>
      </w:r>
    </w:p>
    <w:p>
      <w:pPr>
        <w:pStyle w:val="BodyText"/>
        <w:spacing w:line="254" w:lineRule="exact"/>
      </w:pPr>
      <w:r>
        <w:rPr>
          <w:w w:val="95"/>
        </w:rPr>
        <w:t>四、受益人的身分證明。</w:t>
      </w:r>
    </w:p>
    <w:p>
      <w:pPr>
        <w:pStyle w:val="BodyText"/>
        <w:spacing w:before="6"/>
        <w:ind w:left="0"/>
        <w:rPr>
          <w:sz w:val="15"/>
        </w:rPr>
      </w:pPr>
    </w:p>
    <w:p>
      <w:pPr>
        <w:pStyle w:val="Heading2"/>
        <w:tabs>
          <w:tab w:pos="1435" w:val="left" w:leader="none"/>
        </w:tabs>
      </w:pPr>
      <w:r>
        <w:rPr/>
        <w:t>第二十八條</w:t>
        <w:tab/>
      </w:r>
      <w:r>
        <w:rPr>
          <w:w w:val="95"/>
        </w:rPr>
        <w:t>退還已繳保險費的申請</w:t>
      </w:r>
    </w:p>
    <w:p>
      <w:pPr>
        <w:pStyle w:val="BodyText"/>
        <w:spacing w:line="235" w:lineRule="exact"/>
        <w:ind w:left="1241"/>
      </w:pPr>
      <w:r>
        <w:rPr/>
        <w:t>要保人或應得之人依第十八條或第二十四條約定申請退還已繳保險費時，應檢具下列文件：</w:t>
      </w:r>
    </w:p>
    <w:p>
      <w:pPr>
        <w:pStyle w:val="BodyText"/>
        <w:spacing w:line="242" w:lineRule="auto" w:before="5"/>
        <w:ind w:left="1241" w:right="6784"/>
      </w:pPr>
      <w:r>
        <w:rPr>
          <w:spacing w:val="-1"/>
        </w:rPr>
        <w:t>一、保險單或其謄本。</w:t>
      </w:r>
      <w:r>
        <w:rPr/>
        <w:t>二、申請書。</w:t>
      </w:r>
    </w:p>
    <w:p>
      <w:pPr>
        <w:pStyle w:val="BodyText"/>
        <w:spacing w:line="244" w:lineRule="auto" w:before="1"/>
        <w:ind w:left="1241" w:right="4985"/>
      </w:pPr>
      <w:r>
        <w:rPr>
          <w:spacing w:val="-1"/>
        </w:rPr>
        <w:t>三、被保險人死亡證明書及除戶戶籍謄本。</w:t>
      </w:r>
      <w:r>
        <w:rPr/>
        <w:t>四、要保人或應得之人的身分證明。</w:t>
      </w:r>
    </w:p>
    <w:p>
      <w:pPr>
        <w:pStyle w:val="BodyText"/>
        <w:spacing w:before="1"/>
        <w:ind w:left="0"/>
        <w:rPr>
          <w:sz w:val="15"/>
        </w:rPr>
      </w:pPr>
    </w:p>
    <w:p>
      <w:pPr>
        <w:pStyle w:val="Heading2"/>
        <w:tabs>
          <w:tab w:pos="1435" w:val="left" w:leader="none"/>
        </w:tabs>
        <w:spacing w:before="1"/>
      </w:pPr>
      <w:r>
        <w:rPr/>
        <w:t>第二十九條</w:t>
        <w:tab/>
        <w:t>完全失能關懷保險金及完全失能生活扶助保險金的申領</w:t>
      </w:r>
    </w:p>
    <w:p>
      <w:pPr>
        <w:pStyle w:val="BodyText"/>
        <w:spacing w:line="235" w:lineRule="exact"/>
      </w:pPr>
      <w:r>
        <w:rPr/>
        <w:drawing>
          <wp:anchor distT="0" distB="0" distL="0" distR="0" allowOverlap="1" layoutInCell="1" locked="0" behindDoc="1" simplePos="0" relativeHeight="487257600">
            <wp:simplePos x="0" y="0"/>
            <wp:positionH relativeFrom="page">
              <wp:posOffset>2873329</wp:posOffset>
            </wp:positionH>
            <wp:positionV relativeFrom="paragraph">
              <wp:posOffset>84912</wp:posOffset>
            </wp:positionV>
            <wp:extent cx="1834583" cy="442722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4583" cy="4427220"/>
                    </a:xfrm>
                    <a:prstGeom prst="rect">
                      <a:avLst/>
                    </a:prstGeom>
                  </pic:spPr>
                </pic:pic>
              </a:graphicData>
            </a:graphic>
          </wp:anchor>
        </w:drawing>
      </w:r>
      <w:r>
        <w:rPr/>
        <w:t>受益人申領「完全失能關懷保險金」及「完全失能生活扶助保險金」時，應檢具下列文件：</w:t>
      </w:r>
    </w:p>
    <w:p>
      <w:pPr>
        <w:pStyle w:val="BodyText"/>
        <w:spacing w:line="244" w:lineRule="auto" w:before="3"/>
        <w:ind w:right="6801"/>
      </w:pPr>
      <w:r>
        <w:rPr>
          <w:spacing w:val="-1"/>
        </w:rPr>
        <w:t>一、保險單或其謄本。</w:t>
      </w:r>
      <w:r>
        <w:rPr/>
        <w:t>二、失能診斷書。</w:t>
      </w:r>
    </w:p>
    <w:p>
      <w:pPr>
        <w:pStyle w:val="BodyText"/>
        <w:spacing w:line="255" w:lineRule="exact"/>
      </w:pPr>
      <w:r>
        <w:rPr/>
        <w:t>三、保險金申請書。</w:t>
      </w:r>
    </w:p>
    <w:p>
      <w:pPr>
        <w:pStyle w:val="BodyText"/>
        <w:spacing w:before="5"/>
      </w:pPr>
      <w:r>
        <w:rPr/>
        <w:t>四、受益人的身分證明。</w:t>
      </w:r>
    </w:p>
    <w:p>
      <w:pPr>
        <w:pStyle w:val="BodyText"/>
        <w:spacing w:line="242" w:lineRule="auto" w:before="3"/>
        <w:ind w:right="148"/>
        <w:jc w:val="both"/>
      </w:pPr>
      <w:r>
        <w:rPr>
          <w:w w:val="95"/>
        </w:rPr>
        <w:t>受益人申領完全失能關懷保險金及完全失能生活扶助保險金時，本公司基於審核保險金之需要，得</w:t>
      </w:r>
      <w:r>
        <w:rPr>
          <w:spacing w:val="199"/>
        </w:rPr>
        <w:t> </w:t>
      </w:r>
      <w:r>
        <w:rPr>
          <w:w w:val="95"/>
        </w:rPr>
        <w:t>對被保險人的身體予以檢驗，另得徵詢其他醫師之醫學專業意見，並得經受益人同意調閱被保險人</w:t>
      </w:r>
      <w:r>
        <w:rPr>
          <w:spacing w:val="199"/>
        </w:rPr>
        <w:t> </w:t>
      </w:r>
      <w:r>
        <w:rPr>
          <w:w w:val="95"/>
        </w:rPr>
        <w:t>之就醫相關資料。因此所生之費用由本公司負擔。但不因此延展保險公司依第二十三條約定應給付</w:t>
      </w:r>
      <w:r>
        <w:rPr>
          <w:spacing w:val="189"/>
        </w:rPr>
        <w:t> </w:t>
      </w:r>
      <w:r>
        <w:rPr/>
        <w:t>之期限。</w:t>
      </w:r>
    </w:p>
    <w:p>
      <w:pPr>
        <w:pStyle w:val="BodyText"/>
        <w:spacing w:before="7"/>
        <w:ind w:left="0"/>
        <w:rPr>
          <w:sz w:val="15"/>
        </w:rPr>
      </w:pPr>
    </w:p>
    <w:p>
      <w:pPr>
        <w:pStyle w:val="Heading2"/>
        <w:tabs>
          <w:tab w:pos="1236" w:val="left" w:leader="none"/>
        </w:tabs>
      </w:pPr>
      <w:r>
        <w:rPr/>
        <w:t>第三十條</w:t>
        <w:tab/>
      </w:r>
      <w:r>
        <w:rPr>
          <w:w w:val="95"/>
        </w:rPr>
        <w:t>除外責任</w:t>
      </w:r>
    </w:p>
    <w:p>
      <w:pPr>
        <w:pStyle w:val="BodyText"/>
        <w:spacing w:line="235" w:lineRule="exact"/>
        <w:ind w:left="1058"/>
      </w:pPr>
      <w:r>
        <w:rPr/>
        <w:t>被保險人因下列情形之一，致成「長期照顧狀態」者，本公司不負給付第十一條、第十二條保險金及</w:t>
      </w:r>
    </w:p>
    <w:p>
      <w:pPr>
        <w:pStyle w:val="BodyText"/>
        <w:spacing w:before="6"/>
        <w:ind w:left="1058"/>
      </w:pPr>
      <w:r>
        <w:rPr/>
        <w:t>第二十二條豁免保險費之責任：</w:t>
      </w:r>
    </w:p>
    <w:p>
      <w:pPr>
        <w:pStyle w:val="BodyText"/>
        <w:spacing w:line="244" w:lineRule="auto" w:before="2"/>
        <w:ind w:left="1058" w:right="4366"/>
      </w:pPr>
      <w:r>
        <w:rPr>
          <w:w w:val="95"/>
        </w:rPr>
        <w:t>一、被保險人之故意行為（包括自殺及自殺未遂）。</w:t>
      </w:r>
      <w:r>
        <w:rPr>
          <w:spacing w:val="1"/>
          <w:w w:val="95"/>
        </w:rPr>
        <w:t> </w:t>
      </w:r>
      <w:r>
        <w:rPr/>
        <w:t>二、被保險人之犯罪行為。</w:t>
      </w:r>
    </w:p>
    <w:p>
      <w:pPr>
        <w:pStyle w:val="BodyText"/>
        <w:spacing w:line="254" w:lineRule="exact"/>
        <w:ind w:left="1058"/>
      </w:pPr>
      <w:r>
        <w:rPr/>
        <w:t>三、被保險人非法施用防制毒品相關法令所稱之毒品。</w:t>
      </w:r>
    </w:p>
    <w:p>
      <w:pPr>
        <w:pStyle w:val="BodyText"/>
        <w:spacing w:line="244" w:lineRule="auto" w:before="3"/>
        <w:ind w:left="1058" w:right="153"/>
      </w:pPr>
      <w:r>
        <w:rPr>
          <w:w w:val="95"/>
        </w:rPr>
        <w:t>被保險人因下列事由身故或致成附表所列完全失能程度之一者，本公司不負給付第十五條、第十六條</w:t>
      </w:r>
      <w:r>
        <w:rPr>
          <w:spacing w:val="160"/>
        </w:rPr>
        <w:t> </w:t>
      </w:r>
      <w:r>
        <w:rPr/>
        <w:t>及第十八條保險金及第二十二條豁免保險費之責任：</w:t>
      </w:r>
    </w:p>
    <w:p>
      <w:pPr>
        <w:pStyle w:val="BodyText"/>
        <w:spacing w:line="255" w:lineRule="exact"/>
        <w:ind w:left="1058"/>
      </w:pPr>
      <w:r>
        <w:rPr/>
        <w:t>一、要保人故意致被保險人於死。</w:t>
      </w:r>
    </w:p>
    <w:p>
      <w:pPr>
        <w:pStyle w:val="BodyText"/>
        <w:spacing w:line="242" w:lineRule="auto" w:before="6"/>
        <w:ind w:left="1459" w:right="157" w:hanging="401"/>
      </w:pPr>
      <w:r>
        <w:rPr>
          <w:w w:val="95"/>
        </w:rPr>
        <w:t>二、被保險人故意自殺或自成失能。但自契約訂立或復效之日起二年後故意自殺致死者，本公司仍負</w:t>
      </w:r>
      <w:r>
        <w:rPr>
          <w:spacing w:val="156"/>
        </w:rPr>
        <w:t> </w:t>
      </w:r>
      <w:r>
        <w:rPr/>
        <w:t>給付第十八條身故保險金或喪葬費用保險金之責任。</w:t>
      </w:r>
    </w:p>
    <w:p>
      <w:pPr>
        <w:pStyle w:val="BodyText"/>
        <w:spacing w:before="1"/>
        <w:ind w:left="1058"/>
      </w:pPr>
      <w:r>
        <w:rPr/>
        <w:t>三、被保險人因犯罪處死、拒捕或越獄致死或失能。</w:t>
      </w:r>
    </w:p>
    <w:p>
      <w:pPr>
        <w:pStyle w:val="BodyText"/>
        <w:spacing w:line="242" w:lineRule="auto" w:before="5"/>
        <w:ind w:left="1058" w:right="151"/>
      </w:pPr>
      <w:r>
        <w:rPr>
          <w:w w:val="95"/>
        </w:rPr>
        <w:t>前項第一款及第三十一條情形致被保險人成附表所列完全失能程度之一時，本公司按第十五條及第十</w:t>
      </w:r>
      <w:r>
        <w:rPr>
          <w:spacing w:val="162"/>
        </w:rPr>
        <w:t> </w:t>
      </w:r>
      <w:r>
        <w:rPr/>
        <w:t>六條的約定給付完全失能關懷保險金及完全失能生活扶助保險金。</w:t>
      </w:r>
    </w:p>
    <w:p>
      <w:pPr>
        <w:pStyle w:val="BodyText"/>
        <w:spacing w:before="4"/>
        <w:ind w:left="0"/>
        <w:rPr>
          <w:sz w:val="15"/>
        </w:rPr>
      </w:pPr>
    </w:p>
    <w:p>
      <w:pPr>
        <w:pStyle w:val="Heading2"/>
        <w:tabs>
          <w:tab w:pos="1435" w:val="left" w:leader="none"/>
        </w:tabs>
      </w:pPr>
      <w:r>
        <w:rPr/>
        <w:t>第三十一條</w:t>
        <w:tab/>
        <w:t>受益人受益權之喪失</w:t>
      </w:r>
    </w:p>
    <w:p>
      <w:pPr>
        <w:pStyle w:val="BodyText"/>
        <w:spacing w:line="235" w:lineRule="exact"/>
      </w:pPr>
      <w:r>
        <w:rPr/>
        <w:t>受益人故意致被保險人於死或雖未致死者，喪失其受益權。</w:t>
      </w:r>
    </w:p>
    <w:p>
      <w:pPr>
        <w:pStyle w:val="BodyText"/>
        <w:spacing w:line="244" w:lineRule="auto" w:before="5"/>
        <w:ind w:right="145"/>
        <w:jc w:val="both"/>
      </w:pPr>
      <w:r>
        <w:rPr>
          <w:w w:val="95"/>
        </w:rPr>
        <w:t>前項情形，如因該受益人喪失受益權，而致無受益人受領保險金時，其保險金作為被保險人遺產。</w:t>
      </w:r>
      <w:r>
        <w:rPr>
          <w:spacing w:val="202"/>
        </w:rPr>
        <w:t> </w:t>
      </w:r>
      <w:r>
        <w:rPr>
          <w:w w:val="95"/>
        </w:rPr>
        <w:t>如有其他受益人者，喪失受益權之受益人原應得之部分，按其他受益人原約定比例分歸其他受益</w:t>
      </w:r>
      <w:r>
        <w:rPr>
          <w:spacing w:val="140"/>
        </w:rPr>
        <w:t> </w:t>
      </w:r>
      <w:r>
        <w:rPr>
          <w:spacing w:val="141"/>
        </w:rPr>
        <w:t> </w:t>
      </w:r>
      <w:r>
        <w:rPr/>
        <w:t>人。</w:t>
      </w:r>
    </w:p>
    <w:p>
      <w:pPr>
        <w:pStyle w:val="BodyText"/>
        <w:spacing w:before="10"/>
        <w:ind w:left="0"/>
        <w:rPr>
          <w:sz w:val="14"/>
        </w:rPr>
      </w:pPr>
    </w:p>
    <w:p>
      <w:pPr>
        <w:pStyle w:val="Heading2"/>
        <w:tabs>
          <w:tab w:pos="1435" w:val="left" w:leader="none"/>
        </w:tabs>
        <w:spacing w:line="348" w:lineRule="exact"/>
      </w:pPr>
      <w:r>
        <w:rPr/>
        <w:t>第三十二條</w:t>
        <w:tab/>
        <w:t>欠繳保險費的扣除</w:t>
      </w:r>
    </w:p>
    <w:p>
      <w:pPr>
        <w:pStyle w:val="BodyText"/>
        <w:spacing w:line="236" w:lineRule="exact"/>
        <w:ind w:left="1030"/>
      </w:pPr>
      <w:r>
        <w:rPr>
          <w:w w:val="95"/>
        </w:rPr>
        <w:t>本公司給付各項保險金或長期照顧服務未支領餘額時，如要保人有欠繳保險費未還清者，本公司得先</w:t>
      </w:r>
    </w:p>
    <w:p>
      <w:pPr>
        <w:pStyle w:val="BodyText"/>
        <w:spacing w:before="3"/>
        <w:ind w:left="1030"/>
      </w:pPr>
      <w:r>
        <w:rPr/>
        <w:t>抵銷上述欠繳保險費後給付其餘額。</w:t>
      </w:r>
    </w:p>
    <w:p>
      <w:pPr>
        <w:pStyle w:val="BodyText"/>
        <w:spacing w:before="6"/>
        <w:ind w:left="0"/>
        <w:rPr>
          <w:sz w:val="15"/>
        </w:rPr>
      </w:pPr>
    </w:p>
    <w:p>
      <w:pPr>
        <w:pStyle w:val="Heading2"/>
        <w:tabs>
          <w:tab w:pos="1435" w:val="left" w:leader="none"/>
        </w:tabs>
      </w:pPr>
      <w:r>
        <w:rPr/>
        <w:t>第三十三條</w:t>
        <w:tab/>
        <w:t>保險金額之減少</w:t>
      </w:r>
    </w:p>
    <w:p>
      <w:pPr>
        <w:pStyle w:val="BodyText"/>
        <w:spacing w:line="235" w:lineRule="exact"/>
      </w:pPr>
      <w:r>
        <w:rPr>
          <w:w w:val="95"/>
        </w:rPr>
        <w:t>要保人在本契約有效期間內，得申請減少保險金額，但減額後的保險金額，不得低於本保險最低承</w:t>
      </w:r>
    </w:p>
    <w:p>
      <w:pPr>
        <w:pStyle w:val="BodyText"/>
        <w:spacing w:before="6"/>
      </w:pPr>
      <w:r>
        <w:rPr/>
        <w:t>保金額，其減少部分依第九條契約的終止（一）之約定處理。</w:t>
      </w:r>
    </w:p>
    <w:p>
      <w:pPr>
        <w:spacing w:after="0"/>
        <w:sectPr>
          <w:pgSz w:w="11910" w:h="16840"/>
          <w:pgMar w:header="0" w:footer="855" w:top="1360" w:bottom="1040" w:left="900" w:right="980"/>
        </w:sectPr>
      </w:pPr>
    </w:p>
    <w:p>
      <w:pPr>
        <w:pStyle w:val="Heading2"/>
        <w:tabs>
          <w:tab w:pos="1435" w:val="left" w:leader="none"/>
        </w:tabs>
        <w:spacing w:line="310" w:lineRule="exact"/>
      </w:pPr>
      <w:r>
        <w:rPr/>
        <w:t>第三十四條</w:t>
        <w:tab/>
        <w:t>不分紅保險單</w:t>
      </w:r>
    </w:p>
    <w:p>
      <w:pPr>
        <w:pStyle w:val="BodyText"/>
        <w:spacing w:line="235" w:lineRule="exact"/>
      </w:pPr>
      <w:r>
        <w:rPr/>
        <w:t>本保險為不分紅保單，不參加紅利分配，並無紅利給付項目。</w:t>
      </w:r>
    </w:p>
    <w:p>
      <w:pPr>
        <w:pStyle w:val="BodyText"/>
        <w:spacing w:before="6"/>
        <w:ind w:left="0"/>
        <w:rPr>
          <w:sz w:val="15"/>
        </w:rPr>
      </w:pPr>
    </w:p>
    <w:p>
      <w:pPr>
        <w:pStyle w:val="Heading2"/>
        <w:tabs>
          <w:tab w:pos="1435" w:val="left" w:leader="none"/>
        </w:tabs>
      </w:pPr>
      <w:r>
        <w:rPr/>
        <w:t>第三十五條</w:t>
        <w:tab/>
        <w:t>投保年齡的計算及錯誤的處理</w:t>
      </w:r>
    </w:p>
    <w:p>
      <w:pPr>
        <w:pStyle w:val="BodyText"/>
        <w:spacing w:line="235" w:lineRule="exact"/>
      </w:pPr>
      <w:r>
        <w:rPr>
          <w:w w:val="95"/>
        </w:rPr>
        <w:t>要保人在申請投保時，應將被保險人出生年月日在要保書填明。被保險人的投保年齡，以足歲計</w:t>
      </w:r>
    </w:p>
    <w:p>
      <w:pPr>
        <w:pStyle w:val="BodyText"/>
        <w:spacing w:line="242" w:lineRule="auto" w:before="5"/>
        <w:ind w:right="4200"/>
      </w:pPr>
      <w:r>
        <w:rPr/>
        <w:t>算，但未滿一歲的零數超過六個月者，加算一歲。</w:t>
      </w:r>
      <w:r>
        <w:rPr>
          <w:spacing w:val="1"/>
        </w:rPr>
        <w:t> </w:t>
      </w:r>
      <w:r>
        <w:rPr>
          <w:w w:val="95"/>
        </w:rPr>
        <w:t>被保險人的投保年齡發生錯誤時，依下列規定辦理：</w:t>
      </w:r>
    </w:p>
    <w:p>
      <w:pPr>
        <w:pStyle w:val="BodyText"/>
        <w:spacing w:line="242" w:lineRule="auto" w:before="4"/>
        <w:ind w:left="1625" w:right="156" w:hanging="401"/>
      </w:pPr>
      <w:r>
        <w:rPr>
          <w:w w:val="95"/>
        </w:rPr>
        <w:t>一、真實投保年齡較本公司保險費率表所載最高年齡為大者，本契約無效，其已繳保險費無息退還</w:t>
      </w:r>
      <w:r>
        <w:rPr>
          <w:spacing w:val="181"/>
        </w:rPr>
        <w:t> </w:t>
      </w:r>
      <w:r>
        <w:rPr/>
        <w:t>要保人。</w:t>
      </w:r>
    </w:p>
    <w:p>
      <w:pPr>
        <w:pStyle w:val="BodyText"/>
        <w:spacing w:line="244" w:lineRule="auto"/>
        <w:ind w:left="1625" w:right="143" w:hanging="401"/>
        <w:jc w:val="both"/>
      </w:pPr>
      <w:r>
        <w:rPr>
          <w:w w:val="95"/>
        </w:rPr>
        <w:t>二、因投保年齡的錯誤，而致溢繳保險費者，本公司無息退還溢繳部分的保險費。但在發生保險事</w:t>
      </w:r>
      <w:r>
        <w:rPr>
          <w:spacing w:val="204"/>
        </w:rPr>
        <w:t> </w:t>
      </w:r>
      <w:r>
        <w:rPr>
          <w:w w:val="95"/>
        </w:rPr>
        <w:t>故後始發覺且其錯誤發生在本公司者，本公司按原繳保險費與應繳保險費的比例提高保險金</w:t>
      </w:r>
      <w:r>
        <w:rPr>
          <w:spacing w:val="131"/>
        </w:rPr>
        <w:t> </w:t>
      </w:r>
      <w:r>
        <w:rPr>
          <w:spacing w:val="132"/>
        </w:rPr>
        <w:t> </w:t>
      </w:r>
      <w:r>
        <w:rPr/>
        <w:t>額，而不退還溢繳部分的保險費。</w:t>
      </w:r>
    </w:p>
    <w:p>
      <w:pPr>
        <w:pStyle w:val="BodyText"/>
        <w:spacing w:line="242" w:lineRule="auto"/>
        <w:ind w:left="1625" w:right="152" w:hanging="401"/>
        <w:jc w:val="both"/>
      </w:pPr>
      <w:r>
        <w:rPr/>
        <w:drawing>
          <wp:anchor distT="0" distB="0" distL="0" distR="0" allowOverlap="1" layoutInCell="1" locked="0" behindDoc="1" simplePos="0" relativeHeight="487258112">
            <wp:simplePos x="0" y="0"/>
            <wp:positionH relativeFrom="page">
              <wp:posOffset>2873329</wp:posOffset>
            </wp:positionH>
            <wp:positionV relativeFrom="paragraph">
              <wp:posOffset>263017</wp:posOffset>
            </wp:positionV>
            <wp:extent cx="1834583" cy="442722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834583" cy="4427220"/>
                    </a:xfrm>
                    <a:prstGeom prst="rect">
                      <a:avLst/>
                    </a:prstGeom>
                  </pic:spPr>
                </pic:pic>
              </a:graphicData>
            </a:graphic>
          </wp:anchor>
        </w:drawing>
      </w:r>
      <w:r>
        <w:rPr>
          <w:w w:val="95"/>
        </w:rPr>
        <w:t>三、因投保年齡的錯誤，而致短繳保險費者，要保人得補繳短繳的保險費或按照所付的保險費與被</w:t>
      </w:r>
      <w:r>
        <w:rPr>
          <w:spacing w:val="195"/>
        </w:rPr>
        <w:t> </w:t>
      </w:r>
      <w:r>
        <w:rPr>
          <w:w w:val="95"/>
        </w:rPr>
        <w:t>保險人的真實年齡比例減少保險金額。但在發生保險事故後始發覺且其錯誤不可歸責於本公司</w:t>
      </w:r>
      <w:r>
        <w:rPr>
          <w:spacing w:val="164"/>
        </w:rPr>
        <w:t> </w:t>
      </w:r>
      <w:r>
        <w:rPr/>
        <w:t>者，要保人不得要求補繳短繳的保險費。</w:t>
      </w:r>
    </w:p>
    <w:p>
      <w:pPr>
        <w:pStyle w:val="BodyText"/>
        <w:spacing w:line="242" w:lineRule="auto" w:before="2"/>
        <w:ind w:right="148"/>
      </w:pPr>
      <w:r>
        <w:rPr>
          <w:w w:val="95"/>
        </w:rPr>
        <w:t>前項第一款、第二款前段情形，其錯誤原因歸責於本公司者，應加計利息退還保險費，其利息按本</w:t>
      </w:r>
      <w:r>
        <w:rPr>
          <w:spacing w:val="189"/>
        </w:rPr>
        <w:t> </w:t>
      </w:r>
      <w:r>
        <w:rPr/>
        <w:t>保單之預定利率與民法第二百零三條法定週年利率兩者取其大之值。</w:t>
      </w:r>
    </w:p>
    <w:p>
      <w:pPr>
        <w:pStyle w:val="BodyText"/>
        <w:spacing w:before="5"/>
        <w:ind w:left="0"/>
        <w:rPr>
          <w:sz w:val="15"/>
        </w:rPr>
      </w:pPr>
    </w:p>
    <w:p>
      <w:pPr>
        <w:pStyle w:val="Heading2"/>
        <w:tabs>
          <w:tab w:pos="1435" w:val="left" w:leader="none"/>
        </w:tabs>
      </w:pPr>
      <w:r>
        <w:rPr/>
        <w:t>第三十六條</w:t>
        <w:tab/>
        <w:t>受益人的指定及變更</w:t>
      </w:r>
    </w:p>
    <w:p>
      <w:pPr>
        <w:pStyle w:val="BodyText"/>
        <w:spacing w:line="235" w:lineRule="exact"/>
      </w:pPr>
      <w:r>
        <w:rPr>
          <w:w w:val="95"/>
        </w:rPr>
        <w:t>長期照顧復健保險金、長期照顧服務或長期照顧服務未支領餘額、長期照顧保險金、完全失能關懷</w:t>
      </w:r>
    </w:p>
    <w:p>
      <w:pPr>
        <w:pStyle w:val="BodyText"/>
        <w:spacing w:before="5"/>
      </w:pPr>
      <w:r>
        <w:rPr/>
        <w:t>保險金及完全失能生活扶助保險金的受益人，為被保險人本人，本公司不受理其指定或變更。</w:t>
      </w:r>
    </w:p>
    <w:p>
      <w:pPr>
        <w:pStyle w:val="BodyText"/>
        <w:spacing w:line="244" w:lineRule="auto" w:before="3"/>
        <w:ind w:right="149"/>
        <w:jc w:val="both"/>
      </w:pPr>
      <w:r>
        <w:rPr>
          <w:w w:val="95"/>
        </w:rPr>
        <w:t>被保險人身故時，如長期照顧復健保險金、長期照顧服務、長期照顧服務未支領餘額、長期照顧保</w:t>
      </w:r>
      <w:r>
        <w:rPr>
          <w:spacing w:val="198"/>
        </w:rPr>
        <w:t> </w:t>
      </w:r>
      <w:r>
        <w:rPr>
          <w:w w:val="95"/>
        </w:rPr>
        <w:t>險金或完全失能生活扶助保險金尚未給付或未完全給付，則以被保險人身故時之法定繼承人為受益</w:t>
      </w:r>
      <w:r>
        <w:rPr>
          <w:spacing w:val="188"/>
        </w:rPr>
        <w:t> </w:t>
      </w:r>
      <w:r>
        <w:rPr/>
        <w:t>人。</w:t>
      </w:r>
    </w:p>
    <w:p>
      <w:pPr>
        <w:pStyle w:val="BodyText"/>
        <w:spacing w:line="244" w:lineRule="auto"/>
        <w:ind w:right="237"/>
      </w:pPr>
      <w:r>
        <w:rPr>
          <w:w w:val="95"/>
        </w:rPr>
        <w:t>除第一項約定外，要保人得依下列規定指定或變更受益人，並應符合指定或變更當時法令之規定</w:t>
      </w:r>
      <w:r>
        <w:rPr>
          <w:w w:val="95"/>
          <w:sz w:val="16"/>
        </w:rPr>
        <w:t>：</w:t>
      </w:r>
      <w:r>
        <w:rPr>
          <w:spacing w:val="158"/>
          <w:sz w:val="16"/>
        </w:rPr>
        <w:t> </w:t>
      </w:r>
      <w:r>
        <w:rPr/>
        <w:t>一、於訂立本契約時，經被保險人同意指定受益人。</w:t>
      </w:r>
    </w:p>
    <w:p>
      <w:pPr>
        <w:pStyle w:val="BodyText"/>
        <w:spacing w:line="244" w:lineRule="auto"/>
        <w:ind w:left="1630" w:right="157" w:hanging="406"/>
      </w:pPr>
      <w:r>
        <w:rPr>
          <w:w w:val="95"/>
        </w:rPr>
        <w:t>二、於保險事故發生前經被保險人同意變更受益人，如要保人未將前述變更通知本公司者，不得對</w:t>
      </w:r>
      <w:r>
        <w:rPr>
          <w:spacing w:val="180"/>
        </w:rPr>
        <w:t> </w:t>
      </w:r>
      <w:r>
        <w:rPr/>
        <w:t>抗本公司。</w:t>
      </w:r>
    </w:p>
    <w:p>
      <w:pPr>
        <w:pStyle w:val="BodyText"/>
        <w:spacing w:line="242" w:lineRule="auto"/>
        <w:ind w:right="151"/>
      </w:pPr>
      <w:r>
        <w:rPr>
          <w:w w:val="95"/>
        </w:rPr>
        <w:t>前項受益人的變更，於要保人檢具申請書及被保險人的同意書（要、被保險人為同一人時為申請書</w:t>
      </w:r>
      <w:r>
        <w:rPr>
          <w:spacing w:val="186"/>
        </w:rPr>
        <w:t> </w:t>
      </w:r>
      <w:r>
        <w:rPr/>
        <w:t>或電子申請文件）送達本公司時，本公司應即予批註或發給批註書。</w:t>
      </w:r>
    </w:p>
    <w:p>
      <w:pPr>
        <w:pStyle w:val="BodyText"/>
        <w:spacing w:line="242" w:lineRule="auto"/>
        <w:ind w:right="153"/>
      </w:pPr>
      <w:r>
        <w:rPr>
          <w:w w:val="95"/>
        </w:rPr>
        <w:t>身故保險金或喪葬費用保險金之受益人同時或先於被保險人本人身故者，除要保人已另行指定受益</w:t>
      </w:r>
      <w:r>
        <w:rPr>
          <w:spacing w:val="184"/>
        </w:rPr>
        <w:t> </w:t>
      </w:r>
      <w:r>
        <w:rPr/>
        <w:t>人外，以被保險人身故時之法定繼承人為本契約受益人。</w:t>
      </w:r>
    </w:p>
    <w:p>
      <w:pPr>
        <w:pStyle w:val="BodyText"/>
      </w:pPr>
      <w:r>
        <w:rPr/>
        <w:t>本契約受益人為法定繼承人時，其受益順序及應得比例適用民法繼承編之相關規定。</w:t>
      </w:r>
    </w:p>
    <w:p>
      <w:pPr>
        <w:pStyle w:val="BodyText"/>
        <w:spacing w:before="3"/>
        <w:ind w:left="0"/>
        <w:rPr>
          <w:sz w:val="15"/>
        </w:rPr>
      </w:pPr>
    </w:p>
    <w:p>
      <w:pPr>
        <w:pStyle w:val="Heading2"/>
        <w:tabs>
          <w:tab w:pos="1435" w:val="left" w:leader="none"/>
        </w:tabs>
        <w:spacing w:line="348" w:lineRule="exact"/>
      </w:pPr>
      <w:r>
        <w:rPr/>
        <w:t>第三十七條</w:t>
        <w:tab/>
        <w:t>變更住所</w:t>
      </w:r>
    </w:p>
    <w:p>
      <w:pPr>
        <w:pStyle w:val="BodyText"/>
        <w:spacing w:line="236" w:lineRule="exact"/>
      </w:pPr>
      <w:r>
        <w:rPr/>
        <w:t>要保人的住所有變更時，應即以書面或其他約定方式通知本公司。</w:t>
      </w:r>
    </w:p>
    <w:p>
      <w:pPr>
        <w:pStyle w:val="BodyText"/>
        <w:spacing w:before="3"/>
      </w:pPr>
      <w:r>
        <w:rPr/>
        <w:t>要保人不為前項通知者，本公司之各項通知，得以本契約所載要保人之最後住所發送之。</w:t>
      </w:r>
    </w:p>
    <w:p>
      <w:pPr>
        <w:pStyle w:val="BodyText"/>
        <w:spacing w:before="6"/>
        <w:ind w:left="0"/>
        <w:rPr>
          <w:sz w:val="15"/>
        </w:rPr>
      </w:pPr>
    </w:p>
    <w:p>
      <w:pPr>
        <w:pStyle w:val="Heading2"/>
        <w:tabs>
          <w:tab w:pos="1435" w:val="left" w:leader="none"/>
        </w:tabs>
      </w:pPr>
      <w:r>
        <w:rPr/>
        <w:t>第三十八條</w:t>
        <w:tab/>
        <w:t>時效</w:t>
      </w:r>
    </w:p>
    <w:p>
      <w:pPr>
        <w:pStyle w:val="BodyText"/>
        <w:spacing w:line="235" w:lineRule="exact"/>
      </w:pPr>
      <w:r>
        <w:rPr/>
        <w:t>由本契約所生的權利，自得為請求之日起，經過二年不行使而消滅。</w:t>
      </w:r>
    </w:p>
    <w:p>
      <w:pPr>
        <w:pStyle w:val="BodyText"/>
        <w:spacing w:before="6"/>
        <w:ind w:left="0"/>
        <w:rPr>
          <w:sz w:val="15"/>
        </w:rPr>
      </w:pPr>
    </w:p>
    <w:p>
      <w:pPr>
        <w:pStyle w:val="Heading2"/>
        <w:tabs>
          <w:tab w:pos="1435" w:val="left" w:leader="none"/>
        </w:tabs>
        <w:spacing w:line="348" w:lineRule="exact" w:before="1"/>
      </w:pPr>
      <w:r>
        <w:rPr/>
        <w:t>第三十九條</w:t>
        <w:tab/>
        <w:t>批註</w:t>
      </w:r>
    </w:p>
    <w:p>
      <w:pPr>
        <w:pStyle w:val="BodyText"/>
        <w:spacing w:line="236" w:lineRule="exact"/>
      </w:pPr>
      <w:r>
        <w:rPr>
          <w:w w:val="95"/>
        </w:rPr>
        <w:t>本契約內容的變更，或記載事項的增刪，除第三十六條約定者外，應經要保人與本公司雙方書面或</w:t>
      </w:r>
    </w:p>
    <w:p>
      <w:pPr>
        <w:pStyle w:val="BodyText"/>
        <w:spacing w:before="3"/>
      </w:pPr>
      <w:r>
        <w:rPr/>
        <w:t>其他約定方式同意，並由本公司即予批註或發給批註書。</w:t>
      </w:r>
    </w:p>
    <w:p>
      <w:pPr>
        <w:pStyle w:val="BodyText"/>
        <w:spacing w:before="6"/>
        <w:ind w:left="0"/>
        <w:rPr>
          <w:sz w:val="15"/>
        </w:rPr>
      </w:pPr>
    </w:p>
    <w:p>
      <w:pPr>
        <w:pStyle w:val="Heading2"/>
        <w:tabs>
          <w:tab w:pos="1236" w:val="left" w:leader="none"/>
        </w:tabs>
      </w:pPr>
      <w:r>
        <w:rPr/>
        <w:t>第四十條</w:t>
        <w:tab/>
        <w:t>管轄法院</w:t>
      </w:r>
    </w:p>
    <w:p>
      <w:pPr>
        <w:pStyle w:val="BodyText"/>
        <w:spacing w:line="235" w:lineRule="exact"/>
      </w:pPr>
      <w:r>
        <w:rPr>
          <w:w w:val="95"/>
        </w:rPr>
        <w:t>因本契約涉訟者，同意以要保人住所地地方法院為第一審管轄法院，要保人的住所在中華民國境外</w:t>
      </w:r>
    </w:p>
    <w:p>
      <w:pPr>
        <w:pStyle w:val="BodyText"/>
        <w:spacing w:line="242" w:lineRule="auto" w:before="6"/>
        <w:ind w:right="157"/>
      </w:pPr>
      <w:r>
        <w:rPr>
          <w:w w:val="95"/>
        </w:rPr>
        <w:t>時，以本公司總公司所在地地方法院為第一審管轄法院。但不得排除消費者保護法第四十七條及民</w:t>
      </w:r>
      <w:r>
        <w:rPr>
          <w:spacing w:val="180"/>
        </w:rPr>
        <w:t> </w:t>
      </w:r>
      <w:r>
        <w:rPr/>
        <w:t>事訴訟法第四百三十六條之九小額訴訟管轄法院之適用。</w:t>
      </w:r>
    </w:p>
    <w:p>
      <w:pPr>
        <w:spacing w:after="0" w:line="242" w:lineRule="auto"/>
        <w:sectPr>
          <w:pgSz w:w="11910" w:h="16840"/>
          <w:pgMar w:header="0" w:footer="855" w:top="1360" w:bottom="1040" w:left="900" w:right="980"/>
        </w:sectPr>
      </w:pPr>
    </w:p>
    <w:p>
      <w:pPr>
        <w:pStyle w:val="Heading2"/>
        <w:tabs>
          <w:tab w:pos="1037" w:val="left" w:leader="none"/>
        </w:tabs>
        <w:spacing w:line="331" w:lineRule="exact"/>
        <w:ind w:left="235"/>
      </w:pPr>
      <w:r>
        <w:rPr/>
        <w:drawing>
          <wp:anchor distT="0" distB="0" distL="0" distR="0" allowOverlap="1" layoutInCell="1" locked="0" behindDoc="1" simplePos="0" relativeHeight="487258624">
            <wp:simplePos x="0" y="0"/>
            <wp:positionH relativeFrom="page">
              <wp:posOffset>2873329</wp:posOffset>
            </wp:positionH>
            <wp:positionV relativeFrom="paragraph">
              <wp:posOffset>2264791</wp:posOffset>
            </wp:positionV>
            <wp:extent cx="1834583" cy="442722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834583" cy="4427220"/>
                    </a:xfrm>
                    <a:prstGeom prst="rect">
                      <a:avLst/>
                    </a:prstGeom>
                  </pic:spPr>
                </pic:pic>
              </a:graphicData>
            </a:graphic>
          </wp:anchor>
        </w:drawing>
      </w:r>
      <w:r>
        <w:rPr/>
        <w:t>附件一</w:t>
        <w:tab/>
        <w:t>第二條第七款第二目所稱疾病如次：</w:t>
      </w:r>
    </w:p>
    <w:tbl>
      <w:tblPr>
        <w:tblW w:w="0" w:type="auto"/>
        <w:jc w:val="left"/>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5"/>
        <w:gridCol w:w="7372"/>
      </w:tblGrid>
      <w:tr>
        <w:trPr>
          <w:trHeight w:val="261" w:hRule="atLeast"/>
        </w:trPr>
        <w:tc>
          <w:tcPr>
            <w:tcW w:w="2235" w:type="dxa"/>
            <w:tcBorders>
              <w:bottom w:val="single" w:sz="4" w:space="0" w:color="000000"/>
              <w:right w:val="single" w:sz="4" w:space="0" w:color="000000"/>
            </w:tcBorders>
          </w:tcPr>
          <w:p>
            <w:pPr>
              <w:pStyle w:val="TableParagraph"/>
              <w:spacing w:line="194" w:lineRule="exact" w:before="0"/>
              <w:ind w:left="389" w:right="373"/>
              <w:jc w:val="center"/>
              <w:rPr>
                <w:sz w:val="20"/>
              </w:rPr>
            </w:pPr>
            <w:r>
              <w:rPr>
                <w:rFonts w:ascii="Arial MT" w:eastAsia="Arial MT"/>
                <w:sz w:val="20"/>
              </w:rPr>
              <w:t>ICD-10-CM</w:t>
            </w:r>
            <w:r>
              <w:rPr>
                <w:position w:val="1"/>
                <w:sz w:val="20"/>
              </w:rPr>
              <w:t>編碼</w:t>
            </w:r>
          </w:p>
        </w:tc>
        <w:tc>
          <w:tcPr>
            <w:tcW w:w="7372" w:type="dxa"/>
            <w:tcBorders>
              <w:left w:val="single" w:sz="4" w:space="0" w:color="000000"/>
              <w:bottom w:val="single" w:sz="4" w:space="0" w:color="000000"/>
            </w:tcBorders>
          </w:tcPr>
          <w:p>
            <w:pPr>
              <w:pStyle w:val="TableParagraph"/>
              <w:spacing w:line="216" w:lineRule="exact" w:before="0"/>
              <w:ind w:left="223" w:right="186"/>
              <w:jc w:val="center"/>
              <w:rPr>
                <w:sz w:val="20"/>
              </w:rPr>
            </w:pPr>
            <w:r>
              <w:rPr>
                <w:sz w:val="20"/>
              </w:rPr>
              <w:t>疾病名稱</w:t>
            </w:r>
          </w:p>
        </w:tc>
      </w:tr>
      <w:tr>
        <w:trPr>
          <w:trHeight w:val="599" w:hRule="atLeast"/>
        </w:trPr>
        <w:tc>
          <w:tcPr>
            <w:tcW w:w="2235" w:type="dxa"/>
            <w:tcBorders>
              <w:top w:val="single" w:sz="4" w:space="0" w:color="000000"/>
              <w:bottom w:val="single" w:sz="4" w:space="0" w:color="000000"/>
              <w:right w:val="single" w:sz="4" w:space="0" w:color="000000"/>
            </w:tcBorders>
          </w:tcPr>
          <w:p>
            <w:pPr>
              <w:pStyle w:val="TableParagraph"/>
              <w:spacing w:before="130"/>
              <w:ind w:left="387" w:right="373"/>
              <w:jc w:val="center"/>
              <w:rPr>
                <w:rFonts w:ascii="Arial MT"/>
                <w:sz w:val="20"/>
              </w:rPr>
            </w:pPr>
            <w:r>
              <w:rPr>
                <w:rFonts w:ascii="Arial MT"/>
                <w:sz w:val="20"/>
              </w:rPr>
              <w:t>F01</w:t>
            </w:r>
          </w:p>
        </w:tc>
        <w:tc>
          <w:tcPr>
            <w:tcW w:w="7372" w:type="dxa"/>
            <w:tcBorders>
              <w:top w:val="single" w:sz="4" w:space="0" w:color="000000"/>
              <w:left w:val="single" w:sz="4" w:space="0" w:color="000000"/>
              <w:bottom w:val="single" w:sz="4" w:space="0" w:color="000000"/>
            </w:tcBorders>
          </w:tcPr>
          <w:p>
            <w:pPr>
              <w:pStyle w:val="TableParagraph"/>
              <w:spacing w:line="248" w:lineRule="exact" w:before="0"/>
              <w:ind w:left="223" w:right="188"/>
              <w:jc w:val="center"/>
              <w:rPr>
                <w:sz w:val="20"/>
              </w:rPr>
            </w:pPr>
            <w:r>
              <w:rPr>
                <w:sz w:val="20"/>
              </w:rPr>
              <w:t>血管性失智症</w:t>
            </w:r>
          </w:p>
          <w:p>
            <w:pPr>
              <w:pStyle w:val="TableParagraph"/>
              <w:spacing w:line="228" w:lineRule="exact" w:before="0"/>
              <w:ind w:left="221" w:right="189"/>
              <w:jc w:val="center"/>
              <w:rPr>
                <w:rFonts w:ascii="Arial MT"/>
                <w:sz w:val="20"/>
              </w:rPr>
            </w:pPr>
            <w:r>
              <w:rPr>
                <w:rFonts w:ascii="Arial MT"/>
                <w:sz w:val="20"/>
              </w:rPr>
              <w:t>Vascular</w:t>
            </w:r>
            <w:r>
              <w:rPr>
                <w:rFonts w:ascii="Arial MT"/>
                <w:spacing w:val="-3"/>
                <w:sz w:val="20"/>
              </w:rPr>
              <w:t> </w:t>
            </w:r>
            <w:r>
              <w:rPr>
                <w:rFonts w:ascii="Arial MT"/>
                <w:sz w:val="20"/>
              </w:rPr>
              <w:t>dementia</w:t>
            </w:r>
          </w:p>
        </w:tc>
      </w:tr>
      <w:tr>
        <w:trPr>
          <w:trHeight w:val="460" w:hRule="atLeast"/>
        </w:trPr>
        <w:tc>
          <w:tcPr>
            <w:tcW w:w="2235" w:type="dxa"/>
            <w:tcBorders>
              <w:top w:val="single" w:sz="4" w:space="0" w:color="000000"/>
              <w:bottom w:val="single" w:sz="4" w:space="0" w:color="000000"/>
              <w:right w:val="single" w:sz="4" w:space="0" w:color="000000"/>
            </w:tcBorders>
          </w:tcPr>
          <w:p>
            <w:pPr>
              <w:pStyle w:val="TableParagraph"/>
              <w:spacing w:before="81"/>
              <w:ind w:left="388" w:right="373"/>
              <w:jc w:val="center"/>
              <w:rPr>
                <w:rFonts w:ascii="Times New Roman"/>
                <w:sz w:val="20"/>
              </w:rPr>
            </w:pPr>
            <w:r>
              <w:rPr>
                <w:rFonts w:ascii="Times New Roman"/>
                <w:sz w:val="20"/>
              </w:rPr>
              <w:t>F02</w:t>
            </w:r>
          </w:p>
        </w:tc>
        <w:tc>
          <w:tcPr>
            <w:tcW w:w="7372" w:type="dxa"/>
            <w:tcBorders>
              <w:top w:val="single" w:sz="4" w:space="0" w:color="000000"/>
              <w:left w:val="single" w:sz="4" w:space="0" w:color="000000"/>
              <w:bottom w:val="single" w:sz="4" w:space="0" w:color="000000"/>
            </w:tcBorders>
          </w:tcPr>
          <w:p>
            <w:pPr>
              <w:pStyle w:val="TableParagraph"/>
              <w:spacing w:line="180" w:lineRule="exact" w:before="0"/>
              <w:ind w:left="223" w:right="189"/>
              <w:jc w:val="center"/>
              <w:rPr>
                <w:sz w:val="20"/>
              </w:rPr>
            </w:pPr>
            <w:r>
              <w:rPr>
                <w:sz w:val="20"/>
              </w:rPr>
              <w:t>歸類於他處其他疾病所致之失智症</w:t>
            </w:r>
          </w:p>
          <w:p>
            <w:pPr>
              <w:pStyle w:val="TableParagraph"/>
              <w:spacing w:before="16"/>
              <w:ind w:left="218" w:right="189"/>
              <w:jc w:val="center"/>
              <w:rPr>
                <w:rFonts w:ascii="Times New Roman"/>
                <w:sz w:val="20"/>
              </w:rPr>
            </w:pPr>
            <w:r>
              <w:rPr>
                <w:rFonts w:ascii="Times New Roman"/>
                <w:sz w:val="20"/>
              </w:rPr>
              <w:t>Dementia</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other</w:t>
            </w:r>
            <w:r>
              <w:rPr>
                <w:rFonts w:ascii="Times New Roman"/>
                <w:spacing w:val="-1"/>
                <w:sz w:val="20"/>
              </w:rPr>
              <w:t> </w:t>
            </w:r>
            <w:r>
              <w:rPr>
                <w:rFonts w:ascii="Times New Roman"/>
                <w:sz w:val="20"/>
              </w:rPr>
              <w:t>diseases</w:t>
            </w:r>
            <w:r>
              <w:rPr>
                <w:rFonts w:ascii="Times New Roman"/>
                <w:spacing w:val="-3"/>
                <w:sz w:val="20"/>
              </w:rPr>
              <w:t> </w:t>
            </w:r>
            <w:r>
              <w:rPr>
                <w:rFonts w:ascii="Times New Roman"/>
                <w:sz w:val="20"/>
              </w:rPr>
              <w:t>classified</w:t>
            </w:r>
            <w:r>
              <w:rPr>
                <w:rFonts w:ascii="Times New Roman"/>
                <w:spacing w:val="-1"/>
                <w:sz w:val="20"/>
              </w:rPr>
              <w:t> </w:t>
            </w:r>
            <w:r>
              <w:rPr>
                <w:rFonts w:ascii="Times New Roman"/>
                <w:sz w:val="20"/>
              </w:rPr>
              <w:t>elsewhere</w:t>
            </w:r>
          </w:p>
        </w:tc>
      </w:tr>
      <w:tr>
        <w:trPr>
          <w:trHeight w:val="729" w:hRule="atLeast"/>
        </w:trPr>
        <w:tc>
          <w:tcPr>
            <w:tcW w:w="2235" w:type="dxa"/>
            <w:tcBorders>
              <w:top w:val="single" w:sz="4" w:space="0" w:color="000000"/>
              <w:bottom w:val="single" w:sz="4" w:space="0" w:color="000000"/>
              <w:right w:val="single" w:sz="4" w:space="0" w:color="000000"/>
            </w:tcBorders>
          </w:tcPr>
          <w:p>
            <w:pPr>
              <w:pStyle w:val="TableParagraph"/>
              <w:spacing w:before="13"/>
              <w:ind w:left="0"/>
              <w:rPr>
                <w:rFonts w:ascii="Microsoft JhengHei"/>
                <w:b/>
                <w:sz w:val="11"/>
              </w:rPr>
            </w:pPr>
          </w:p>
          <w:p>
            <w:pPr>
              <w:pStyle w:val="TableParagraph"/>
              <w:spacing w:before="0"/>
              <w:ind w:left="388" w:right="373"/>
              <w:jc w:val="center"/>
              <w:rPr>
                <w:rFonts w:ascii="Times New Roman"/>
                <w:sz w:val="20"/>
              </w:rPr>
            </w:pPr>
            <w:r>
              <w:rPr>
                <w:rFonts w:ascii="Times New Roman"/>
                <w:sz w:val="20"/>
              </w:rPr>
              <w:t>F03</w:t>
            </w:r>
          </w:p>
        </w:tc>
        <w:tc>
          <w:tcPr>
            <w:tcW w:w="7372" w:type="dxa"/>
            <w:tcBorders>
              <w:top w:val="single" w:sz="4" w:space="0" w:color="000000"/>
              <w:left w:val="single" w:sz="4" w:space="0" w:color="000000"/>
              <w:bottom w:val="single" w:sz="4" w:space="0" w:color="000000"/>
            </w:tcBorders>
          </w:tcPr>
          <w:p>
            <w:pPr>
              <w:pStyle w:val="TableParagraph"/>
              <w:spacing w:before="79"/>
              <w:ind w:left="223" w:right="186"/>
              <w:jc w:val="center"/>
              <w:rPr>
                <w:sz w:val="20"/>
              </w:rPr>
            </w:pPr>
            <w:r>
              <w:rPr>
                <w:sz w:val="20"/>
              </w:rPr>
              <w:t>未特定之失智症</w:t>
            </w:r>
          </w:p>
          <w:p>
            <w:pPr>
              <w:pStyle w:val="TableParagraph"/>
              <w:spacing w:before="9"/>
              <w:ind w:left="223" w:right="189"/>
              <w:jc w:val="center"/>
              <w:rPr>
                <w:rFonts w:ascii="Times New Roman"/>
                <w:sz w:val="20"/>
              </w:rPr>
            </w:pPr>
            <w:r>
              <w:rPr>
                <w:rFonts w:ascii="Times New Roman"/>
                <w:sz w:val="20"/>
              </w:rPr>
              <w:t>Unspecified</w:t>
            </w:r>
            <w:r>
              <w:rPr>
                <w:rFonts w:ascii="Times New Roman"/>
                <w:spacing w:val="-3"/>
                <w:sz w:val="20"/>
              </w:rPr>
              <w:t> </w:t>
            </w:r>
            <w:r>
              <w:rPr>
                <w:rFonts w:ascii="Times New Roman"/>
                <w:sz w:val="20"/>
              </w:rPr>
              <w:t>dementia</w:t>
            </w:r>
          </w:p>
        </w:tc>
      </w:tr>
      <w:tr>
        <w:trPr>
          <w:trHeight w:val="729" w:hRule="atLeast"/>
        </w:trPr>
        <w:tc>
          <w:tcPr>
            <w:tcW w:w="2235" w:type="dxa"/>
            <w:tcBorders>
              <w:top w:val="single" w:sz="4" w:space="0" w:color="000000"/>
              <w:bottom w:val="single" w:sz="4" w:space="0" w:color="000000"/>
              <w:right w:val="single" w:sz="4" w:space="0" w:color="000000"/>
            </w:tcBorders>
          </w:tcPr>
          <w:p>
            <w:pPr>
              <w:pStyle w:val="TableParagraph"/>
              <w:spacing w:before="13"/>
              <w:ind w:left="0"/>
              <w:rPr>
                <w:rFonts w:ascii="Microsoft JhengHei"/>
                <w:b/>
                <w:sz w:val="11"/>
              </w:rPr>
            </w:pPr>
          </w:p>
          <w:p>
            <w:pPr>
              <w:pStyle w:val="TableParagraph"/>
              <w:spacing w:before="0"/>
              <w:ind w:left="388" w:right="373"/>
              <w:jc w:val="center"/>
              <w:rPr>
                <w:rFonts w:ascii="Times New Roman"/>
                <w:sz w:val="20"/>
              </w:rPr>
            </w:pPr>
            <w:r>
              <w:rPr>
                <w:rFonts w:ascii="Times New Roman"/>
                <w:sz w:val="20"/>
              </w:rPr>
              <w:t>F04</w:t>
            </w:r>
          </w:p>
        </w:tc>
        <w:tc>
          <w:tcPr>
            <w:tcW w:w="7372" w:type="dxa"/>
            <w:tcBorders>
              <w:top w:val="single" w:sz="4" w:space="0" w:color="000000"/>
              <w:left w:val="single" w:sz="4" w:space="0" w:color="000000"/>
              <w:bottom w:val="single" w:sz="4" w:space="0" w:color="000000"/>
            </w:tcBorders>
          </w:tcPr>
          <w:p>
            <w:pPr>
              <w:pStyle w:val="TableParagraph"/>
              <w:spacing w:before="79"/>
              <w:ind w:left="223" w:right="189"/>
              <w:jc w:val="center"/>
              <w:rPr>
                <w:sz w:val="20"/>
              </w:rPr>
            </w:pPr>
            <w:r>
              <w:rPr>
                <w:sz w:val="20"/>
              </w:rPr>
              <w:t>已知生理狀況引起的失憶症</w:t>
            </w:r>
          </w:p>
          <w:p>
            <w:pPr>
              <w:pStyle w:val="TableParagraph"/>
              <w:spacing w:before="9"/>
              <w:ind w:left="221" w:right="189"/>
              <w:jc w:val="center"/>
              <w:rPr>
                <w:rFonts w:ascii="Times New Roman"/>
                <w:sz w:val="20"/>
              </w:rPr>
            </w:pPr>
            <w:r>
              <w:rPr>
                <w:rFonts w:ascii="Times New Roman"/>
                <w:sz w:val="20"/>
              </w:rPr>
              <w:t>Amnestic</w:t>
            </w:r>
            <w:r>
              <w:rPr>
                <w:rFonts w:ascii="Times New Roman"/>
                <w:spacing w:val="-3"/>
                <w:sz w:val="20"/>
              </w:rPr>
              <w:t> </w:t>
            </w:r>
            <w:r>
              <w:rPr>
                <w:rFonts w:ascii="Times New Roman"/>
                <w:sz w:val="20"/>
              </w:rPr>
              <w:t>disorder</w:t>
            </w:r>
            <w:r>
              <w:rPr>
                <w:rFonts w:ascii="Times New Roman"/>
                <w:spacing w:val="-3"/>
                <w:sz w:val="20"/>
              </w:rPr>
              <w:t> </w:t>
            </w:r>
            <w:r>
              <w:rPr>
                <w:rFonts w:ascii="Times New Roman"/>
                <w:sz w:val="20"/>
              </w:rPr>
              <w:t>due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known</w:t>
            </w:r>
            <w:r>
              <w:rPr>
                <w:rFonts w:ascii="Times New Roman"/>
                <w:spacing w:val="-2"/>
                <w:sz w:val="20"/>
              </w:rPr>
              <w:t> </w:t>
            </w:r>
            <w:r>
              <w:rPr>
                <w:rFonts w:ascii="Times New Roman"/>
                <w:sz w:val="20"/>
              </w:rPr>
              <w:t>physiological</w:t>
            </w:r>
            <w:r>
              <w:rPr>
                <w:rFonts w:ascii="Times New Roman"/>
                <w:spacing w:val="-3"/>
                <w:sz w:val="20"/>
              </w:rPr>
              <w:t> </w:t>
            </w:r>
            <w:r>
              <w:rPr>
                <w:rFonts w:ascii="Times New Roman"/>
                <w:sz w:val="20"/>
              </w:rPr>
              <w:t>condition</w:t>
            </w:r>
          </w:p>
        </w:tc>
      </w:tr>
      <w:tr>
        <w:trPr>
          <w:trHeight w:val="491" w:hRule="atLeast"/>
        </w:trPr>
        <w:tc>
          <w:tcPr>
            <w:tcW w:w="2235" w:type="dxa"/>
            <w:tcBorders>
              <w:top w:val="single" w:sz="4" w:space="0" w:color="000000"/>
              <w:bottom w:val="single" w:sz="4" w:space="0" w:color="000000"/>
              <w:right w:val="single" w:sz="4" w:space="0" w:color="000000"/>
            </w:tcBorders>
          </w:tcPr>
          <w:p>
            <w:pPr>
              <w:pStyle w:val="TableParagraph"/>
              <w:spacing w:before="95"/>
              <w:ind w:left="389" w:right="372"/>
              <w:jc w:val="center"/>
              <w:rPr>
                <w:rFonts w:ascii="Times New Roman"/>
                <w:sz w:val="20"/>
              </w:rPr>
            </w:pPr>
            <w:r>
              <w:rPr>
                <w:rFonts w:ascii="Times New Roman"/>
                <w:sz w:val="20"/>
              </w:rPr>
              <w:t>F06.0</w:t>
            </w:r>
          </w:p>
        </w:tc>
        <w:tc>
          <w:tcPr>
            <w:tcW w:w="7372" w:type="dxa"/>
            <w:tcBorders>
              <w:top w:val="single" w:sz="4" w:space="0" w:color="000000"/>
              <w:left w:val="single" w:sz="4" w:space="0" w:color="000000"/>
              <w:bottom w:val="single" w:sz="4" w:space="0" w:color="000000"/>
            </w:tcBorders>
          </w:tcPr>
          <w:p>
            <w:pPr>
              <w:pStyle w:val="TableParagraph"/>
              <w:spacing w:line="216" w:lineRule="exact" w:before="0"/>
              <w:ind w:left="223" w:right="187"/>
              <w:jc w:val="center"/>
              <w:rPr>
                <w:sz w:val="20"/>
              </w:rPr>
            </w:pPr>
            <w:r>
              <w:rPr>
                <w:sz w:val="20"/>
              </w:rPr>
              <w:t>已知生理狀況引起有幻覺的精神病症</w:t>
            </w:r>
          </w:p>
          <w:p>
            <w:pPr>
              <w:pStyle w:val="TableParagraph"/>
              <w:spacing w:before="11"/>
              <w:ind w:left="218" w:right="189"/>
              <w:jc w:val="center"/>
              <w:rPr>
                <w:rFonts w:ascii="Times New Roman"/>
                <w:sz w:val="20"/>
              </w:rPr>
            </w:pPr>
            <w:r>
              <w:rPr>
                <w:rFonts w:ascii="Times New Roman"/>
                <w:sz w:val="20"/>
              </w:rPr>
              <w:t>Psychotic</w:t>
            </w:r>
            <w:r>
              <w:rPr>
                <w:rFonts w:ascii="Times New Roman"/>
                <w:spacing w:val="-4"/>
                <w:sz w:val="20"/>
              </w:rPr>
              <w:t> </w:t>
            </w:r>
            <w:r>
              <w:rPr>
                <w:rFonts w:ascii="Times New Roman"/>
                <w:sz w:val="20"/>
              </w:rPr>
              <w:t>disorder with</w:t>
            </w:r>
            <w:r>
              <w:rPr>
                <w:rFonts w:ascii="Times New Roman"/>
                <w:spacing w:val="-2"/>
                <w:sz w:val="20"/>
              </w:rPr>
              <w:t> </w:t>
            </w:r>
            <w:r>
              <w:rPr>
                <w:rFonts w:ascii="Times New Roman"/>
                <w:sz w:val="20"/>
              </w:rPr>
              <w:t>hallucinations</w:t>
            </w:r>
            <w:r>
              <w:rPr>
                <w:rFonts w:ascii="Times New Roman"/>
                <w:spacing w:val="-5"/>
                <w:sz w:val="20"/>
              </w:rPr>
              <w:t> </w:t>
            </w:r>
            <w:r>
              <w:rPr>
                <w:rFonts w:ascii="Times New Roman"/>
                <w:sz w:val="20"/>
              </w:rPr>
              <w:t>due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known</w:t>
            </w:r>
            <w:r>
              <w:rPr>
                <w:rFonts w:ascii="Times New Roman"/>
                <w:spacing w:val="-4"/>
                <w:sz w:val="20"/>
              </w:rPr>
              <w:t> </w:t>
            </w:r>
            <w:r>
              <w:rPr>
                <w:rFonts w:ascii="Times New Roman"/>
                <w:sz w:val="20"/>
              </w:rPr>
              <w:t>physiological</w:t>
            </w:r>
            <w:r>
              <w:rPr>
                <w:rFonts w:ascii="Times New Roman"/>
                <w:spacing w:val="-3"/>
                <w:sz w:val="20"/>
              </w:rPr>
              <w:t> </w:t>
            </w:r>
            <w:r>
              <w:rPr>
                <w:rFonts w:ascii="Times New Roman"/>
                <w:sz w:val="20"/>
              </w:rPr>
              <w:t>condition</w:t>
            </w:r>
          </w:p>
        </w:tc>
      </w:tr>
      <w:tr>
        <w:trPr>
          <w:trHeight w:val="660" w:hRule="atLeast"/>
        </w:trPr>
        <w:tc>
          <w:tcPr>
            <w:tcW w:w="2235" w:type="dxa"/>
            <w:tcBorders>
              <w:top w:val="single" w:sz="4" w:space="0" w:color="000000"/>
              <w:bottom w:val="single" w:sz="4" w:space="0" w:color="000000"/>
              <w:right w:val="single" w:sz="4" w:space="0" w:color="000000"/>
            </w:tcBorders>
          </w:tcPr>
          <w:p>
            <w:pPr>
              <w:pStyle w:val="TableParagraph"/>
              <w:spacing w:before="179"/>
              <w:ind w:left="389" w:right="372"/>
              <w:jc w:val="center"/>
              <w:rPr>
                <w:rFonts w:ascii="Times New Roman"/>
                <w:sz w:val="20"/>
              </w:rPr>
            </w:pPr>
            <w:r>
              <w:rPr>
                <w:rFonts w:ascii="Times New Roman"/>
                <w:sz w:val="20"/>
              </w:rPr>
              <w:t>F06.2</w:t>
            </w:r>
          </w:p>
        </w:tc>
        <w:tc>
          <w:tcPr>
            <w:tcW w:w="7372" w:type="dxa"/>
            <w:tcBorders>
              <w:top w:val="single" w:sz="4" w:space="0" w:color="000000"/>
              <w:left w:val="single" w:sz="4" w:space="0" w:color="000000"/>
              <w:bottom w:val="single" w:sz="4" w:space="0" w:color="000000"/>
            </w:tcBorders>
          </w:tcPr>
          <w:p>
            <w:pPr>
              <w:pStyle w:val="TableParagraph"/>
              <w:spacing w:before="10"/>
              <w:ind w:left="223" w:right="187"/>
              <w:jc w:val="center"/>
              <w:rPr>
                <w:sz w:val="20"/>
              </w:rPr>
            </w:pPr>
            <w:r>
              <w:rPr>
                <w:sz w:val="20"/>
              </w:rPr>
              <w:t>已知生理狀況引起有妄想的精神病症</w:t>
            </w:r>
          </w:p>
          <w:p>
            <w:pPr>
              <w:pStyle w:val="TableParagraph"/>
              <w:spacing w:before="105"/>
              <w:ind w:left="219" w:right="189"/>
              <w:jc w:val="center"/>
              <w:rPr>
                <w:rFonts w:ascii="Times New Roman"/>
                <w:sz w:val="20"/>
              </w:rPr>
            </w:pPr>
            <w:r>
              <w:rPr>
                <w:rFonts w:ascii="Times New Roman"/>
                <w:sz w:val="20"/>
              </w:rPr>
              <w:t>Psychotic</w:t>
            </w:r>
            <w:r>
              <w:rPr>
                <w:rFonts w:ascii="Times New Roman"/>
                <w:spacing w:val="-3"/>
                <w:sz w:val="20"/>
              </w:rPr>
              <w:t> </w:t>
            </w:r>
            <w:r>
              <w:rPr>
                <w:rFonts w:ascii="Times New Roman"/>
                <w:sz w:val="20"/>
              </w:rPr>
              <w:t>disorder with</w:t>
            </w:r>
            <w:r>
              <w:rPr>
                <w:rFonts w:ascii="Times New Roman"/>
                <w:spacing w:val="-4"/>
                <w:sz w:val="20"/>
              </w:rPr>
              <w:t> </w:t>
            </w:r>
            <w:r>
              <w:rPr>
                <w:rFonts w:ascii="Times New Roman"/>
                <w:sz w:val="20"/>
              </w:rPr>
              <w:t>delusions</w:t>
            </w:r>
            <w:r>
              <w:rPr>
                <w:rFonts w:ascii="Times New Roman"/>
                <w:spacing w:val="-4"/>
                <w:sz w:val="20"/>
              </w:rPr>
              <w:t> </w:t>
            </w:r>
            <w:r>
              <w:rPr>
                <w:rFonts w:ascii="Times New Roman"/>
                <w:sz w:val="20"/>
              </w:rPr>
              <w:t>due</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known</w:t>
            </w:r>
            <w:r>
              <w:rPr>
                <w:rFonts w:ascii="Times New Roman"/>
                <w:spacing w:val="-4"/>
                <w:sz w:val="20"/>
              </w:rPr>
              <w:t> </w:t>
            </w:r>
            <w:r>
              <w:rPr>
                <w:rFonts w:ascii="Times New Roman"/>
                <w:sz w:val="20"/>
              </w:rPr>
              <w:t>physiological</w:t>
            </w:r>
            <w:r>
              <w:rPr>
                <w:rFonts w:ascii="Times New Roman"/>
                <w:spacing w:val="-3"/>
                <w:sz w:val="20"/>
              </w:rPr>
              <w:t> </w:t>
            </w:r>
            <w:r>
              <w:rPr>
                <w:rFonts w:ascii="Times New Roman"/>
                <w:sz w:val="20"/>
              </w:rPr>
              <w:t>condition</w:t>
            </w:r>
          </w:p>
        </w:tc>
      </w:tr>
      <w:tr>
        <w:trPr>
          <w:trHeight w:val="618" w:hRule="atLeast"/>
        </w:trPr>
        <w:tc>
          <w:tcPr>
            <w:tcW w:w="2235" w:type="dxa"/>
            <w:tcBorders>
              <w:top w:val="single" w:sz="4" w:space="0" w:color="000000"/>
              <w:bottom w:val="single" w:sz="4" w:space="0" w:color="000000"/>
              <w:right w:val="single" w:sz="4" w:space="0" w:color="000000"/>
            </w:tcBorders>
          </w:tcPr>
          <w:p>
            <w:pPr>
              <w:pStyle w:val="TableParagraph"/>
              <w:spacing w:before="160"/>
              <w:ind w:left="389" w:right="372"/>
              <w:jc w:val="center"/>
              <w:rPr>
                <w:rFonts w:ascii="Times New Roman"/>
                <w:sz w:val="20"/>
              </w:rPr>
            </w:pPr>
            <w:r>
              <w:rPr>
                <w:rFonts w:ascii="Times New Roman"/>
                <w:sz w:val="20"/>
              </w:rPr>
              <w:t>F06.8</w:t>
            </w:r>
          </w:p>
        </w:tc>
        <w:tc>
          <w:tcPr>
            <w:tcW w:w="7372" w:type="dxa"/>
            <w:tcBorders>
              <w:top w:val="single" w:sz="4" w:space="0" w:color="000000"/>
              <w:left w:val="single" w:sz="4" w:space="0" w:color="000000"/>
              <w:bottom w:val="single" w:sz="4" w:space="0" w:color="000000"/>
            </w:tcBorders>
          </w:tcPr>
          <w:p>
            <w:pPr>
              <w:pStyle w:val="TableParagraph"/>
              <w:spacing w:line="216" w:lineRule="exact" w:before="0"/>
              <w:ind w:left="223" w:right="187"/>
              <w:jc w:val="center"/>
              <w:rPr>
                <w:sz w:val="20"/>
              </w:rPr>
            </w:pPr>
            <w:r>
              <w:rPr>
                <w:sz w:val="20"/>
              </w:rPr>
              <w:t>已知生理狀況引起的其他特定精神疾病</w:t>
            </w:r>
          </w:p>
          <w:p>
            <w:pPr>
              <w:pStyle w:val="TableParagraph"/>
              <w:spacing w:before="114"/>
              <w:ind w:left="219" w:right="189"/>
              <w:jc w:val="center"/>
              <w:rPr>
                <w:rFonts w:ascii="Times New Roman"/>
                <w:sz w:val="20"/>
              </w:rPr>
            </w:pPr>
            <w:r>
              <w:rPr>
                <w:rFonts w:ascii="Times New Roman"/>
                <w:sz w:val="20"/>
              </w:rPr>
              <w:t>Other</w:t>
            </w:r>
            <w:r>
              <w:rPr>
                <w:rFonts w:ascii="Times New Roman"/>
                <w:spacing w:val="-3"/>
                <w:sz w:val="20"/>
              </w:rPr>
              <w:t> </w:t>
            </w:r>
            <w:r>
              <w:rPr>
                <w:rFonts w:ascii="Times New Roman"/>
                <w:sz w:val="20"/>
              </w:rPr>
              <w:t>specified mental</w:t>
            </w:r>
            <w:r>
              <w:rPr>
                <w:rFonts w:ascii="Times New Roman"/>
                <w:spacing w:val="-3"/>
                <w:sz w:val="20"/>
              </w:rPr>
              <w:t> </w:t>
            </w:r>
            <w:r>
              <w:rPr>
                <w:rFonts w:ascii="Times New Roman"/>
                <w:sz w:val="20"/>
              </w:rPr>
              <w:t>disorders</w:t>
            </w:r>
            <w:r>
              <w:rPr>
                <w:rFonts w:ascii="Times New Roman"/>
                <w:spacing w:val="-5"/>
                <w:sz w:val="20"/>
              </w:rPr>
              <w:t> </w:t>
            </w:r>
            <w:r>
              <w:rPr>
                <w:rFonts w:ascii="Times New Roman"/>
                <w:sz w:val="20"/>
              </w:rPr>
              <w:t>due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known</w:t>
            </w:r>
            <w:r>
              <w:rPr>
                <w:rFonts w:ascii="Times New Roman"/>
                <w:spacing w:val="-2"/>
                <w:sz w:val="20"/>
              </w:rPr>
              <w:t> </w:t>
            </w:r>
            <w:r>
              <w:rPr>
                <w:rFonts w:ascii="Times New Roman"/>
                <w:sz w:val="20"/>
              </w:rPr>
              <w:t>physiological</w:t>
            </w:r>
            <w:r>
              <w:rPr>
                <w:rFonts w:ascii="Times New Roman"/>
                <w:spacing w:val="-4"/>
                <w:sz w:val="20"/>
              </w:rPr>
              <w:t> </w:t>
            </w:r>
            <w:r>
              <w:rPr>
                <w:rFonts w:ascii="Times New Roman"/>
                <w:sz w:val="20"/>
              </w:rPr>
              <w:t>condition</w:t>
            </w:r>
          </w:p>
        </w:tc>
      </w:tr>
      <w:tr>
        <w:trPr>
          <w:trHeight w:val="491" w:hRule="atLeast"/>
        </w:trPr>
        <w:tc>
          <w:tcPr>
            <w:tcW w:w="2235" w:type="dxa"/>
            <w:tcBorders>
              <w:top w:val="single" w:sz="4" w:space="0" w:color="000000"/>
              <w:bottom w:val="single" w:sz="4" w:space="0" w:color="000000"/>
              <w:right w:val="single" w:sz="4" w:space="0" w:color="000000"/>
            </w:tcBorders>
          </w:tcPr>
          <w:p>
            <w:pPr>
              <w:pStyle w:val="TableParagraph"/>
              <w:spacing w:before="97"/>
              <w:ind w:left="389" w:right="372"/>
              <w:jc w:val="center"/>
              <w:rPr>
                <w:rFonts w:ascii="Times New Roman"/>
                <w:sz w:val="20"/>
              </w:rPr>
            </w:pPr>
            <w:r>
              <w:rPr>
                <w:rFonts w:ascii="Times New Roman"/>
                <w:sz w:val="20"/>
              </w:rPr>
              <w:t>F07.0</w:t>
            </w:r>
          </w:p>
        </w:tc>
        <w:tc>
          <w:tcPr>
            <w:tcW w:w="7372" w:type="dxa"/>
            <w:tcBorders>
              <w:top w:val="single" w:sz="4" w:space="0" w:color="000000"/>
              <w:left w:val="single" w:sz="4" w:space="0" w:color="000000"/>
              <w:bottom w:val="single" w:sz="4" w:space="0" w:color="000000"/>
            </w:tcBorders>
          </w:tcPr>
          <w:p>
            <w:pPr>
              <w:pStyle w:val="TableParagraph"/>
              <w:spacing w:line="216" w:lineRule="exact" w:before="0"/>
              <w:ind w:left="223" w:right="186"/>
              <w:jc w:val="center"/>
              <w:rPr>
                <w:sz w:val="20"/>
              </w:rPr>
            </w:pPr>
            <w:r>
              <w:rPr>
                <w:sz w:val="20"/>
              </w:rPr>
              <w:t>已知生理狀況引起的人格變化</w:t>
            </w:r>
          </w:p>
          <w:p>
            <w:pPr>
              <w:pStyle w:val="TableParagraph"/>
              <w:spacing w:before="11"/>
              <w:ind w:left="223" w:right="187"/>
              <w:jc w:val="center"/>
              <w:rPr>
                <w:rFonts w:ascii="Times New Roman"/>
                <w:sz w:val="20"/>
              </w:rPr>
            </w:pPr>
            <w:r>
              <w:rPr>
                <w:rFonts w:ascii="Times New Roman"/>
                <w:sz w:val="20"/>
              </w:rPr>
              <w:t>Personality</w:t>
            </w:r>
            <w:r>
              <w:rPr>
                <w:rFonts w:ascii="Times New Roman"/>
                <w:spacing w:val="-7"/>
                <w:sz w:val="20"/>
              </w:rPr>
              <w:t> </w:t>
            </w:r>
            <w:r>
              <w:rPr>
                <w:rFonts w:ascii="Times New Roman"/>
                <w:sz w:val="20"/>
              </w:rPr>
              <w:t>change</w:t>
            </w:r>
            <w:r>
              <w:rPr>
                <w:rFonts w:ascii="Times New Roman"/>
                <w:spacing w:val="-2"/>
                <w:sz w:val="20"/>
              </w:rPr>
              <w:t> </w:t>
            </w:r>
            <w:r>
              <w:rPr>
                <w:rFonts w:ascii="Times New Roman"/>
                <w:sz w:val="20"/>
              </w:rPr>
              <w:t>due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known</w:t>
            </w:r>
            <w:r>
              <w:rPr>
                <w:rFonts w:ascii="Times New Roman"/>
                <w:spacing w:val="-1"/>
                <w:sz w:val="20"/>
              </w:rPr>
              <w:t> </w:t>
            </w:r>
            <w:r>
              <w:rPr>
                <w:rFonts w:ascii="Times New Roman"/>
                <w:sz w:val="20"/>
              </w:rPr>
              <w:t>physiological</w:t>
            </w:r>
            <w:r>
              <w:rPr>
                <w:rFonts w:ascii="Times New Roman"/>
                <w:spacing w:val="2"/>
                <w:sz w:val="20"/>
              </w:rPr>
              <w:t> </w:t>
            </w:r>
            <w:r>
              <w:rPr>
                <w:rFonts w:ascii="Times New Roman"/>
                <w:sz w:val="20"/>
              </w:rPr>
              <w:t>condition</w:t>
            </w:r>
          </w:p>
        </w:tc>
      </w:tr>
      <w:tr>
        <w:trPr>
          <w:trHeight w:val="940" w:hRule="atLeast"/>
        </w:trPr>
        <w:tc>
          <w:tcPr>
            <w:tcW w:w="2235" w:type="dxa"/>
            <w:tcBorders>
              <w:top w:val="single" w:sz="4" w:space="0" w:color="000000"/>
              <w:bottom w:val="single" w:sz="4" w:space="0" w:color="000000"/>
              <w:right w:val="single" w:sz="4" w:space="0" w:color="000000"/>
            </w:tcBorders>
          </w:tcPr>
          <w:p>
            <w:pPr>
              <w:pStyle w:val="TableParagraph"/>
              <w:spacing w:line="227" w:lineRule="exact" w:before="189"/>
              <w:ind w:left="389" w:right="372"/>
              <w:jc w:val="center"/>
              <w:rPr>
                <w:rFonts w:ascii="Times New Roman"/>
                <w:sz w:val="20"/>
              </w:rPr>
            </w:pPr>
            <w:r>
              <w:rPr>
                <w:rFonts w:ascii="Times New Roman"/>
                <w:sz w:val="20"/>
              </w:rPr>
              <w:t>F07.8</w:t>
            </w:r>
          </w:p>
          <w:p>
            <w:pPr>
              <w:pStyle w:val="TableParagraph"/>
              <w:spacing w:line="253" w:lineRule="exact" w:before="0"/>
              <w:ind w:left="389" w:right="373"/>
              <w:jc w:val="center"/>
              <w:rPr>
                <w:sz w:val="20"/>
              </w:rPr>
            </w:pPr>
            <w:r>
              <w:rPr>
                <w:sz w:val="20"/>
              </w:rPr>
              <w:t>【</w:t>
            </w:r>
            <w:r>
              <w:rPr>
                <w:rFonts w:ascii="Times New Roman" w:eastAsia="Times New Roman"/>
                <w:sz w:val="20"/>
              </w:rPr>
              <w:t>F07.81</w:t>
            </w:r>
            <w:r>
              <w:rPr>
                <w:rFonts w:ascii="Times New Roman" w:eastAsia="Times New Roman"/>
                <w:spacing w:val="-11"/>
                <w:sz w:val="20"/>
              </w:rPr>
              <w:t> </w:t>
            </w:r>
            <w:r>
              <w:rPr>
                <w:sz w:val="20"/>
              </w:rPr>
              <w:t>除外】</w:t>
            </w:r>
          </w:p>
        </w:tc>
        <w:tc>
          <w:tcPr>
            <w:tcW w:w="7372" w:type="dxa"/>
            <w:tcBorders>
              <w:top w:val="single" w:sz="4" w:space="0" w:color="000000"/>
              <w:left w:val="single" w:sz="4" w:space="0" w:color="000000"/>
              <w:bottom w:val="single" w:sz="4" w:space="0" w:color="000000"/>
            </w:tcBorders>
          </w:tcPr>
          <w:p>
            <w:pPr>
              <w:pStyle w:val="TableParagraph"/>
              <w:spacing w:before="43"/>
              <w:ind w:left="223" w:right="187"/>
              <w:jc w:val="center"/>
              <w:rPr>
                <w:sz w:val="20"/>
              </w:rPr>
            </w:pPr>
            <w:r>
              <w:rPr>
                <w:sz w:val="20"/>
              </w:rPr>
              <w:t>已知生理狀況引起的其他人格與行為障礙症</w:t>
            </w:r>
          </w:p>
          <w:p>
            <w:pPr>
              <w:pStyle w:val="TableParagraph"/>
              <w:spacing w:before="96"/>
              <w:ind w:left="217" w:right="189"/>
              <w:jc w:val="center"/>
              <w:rPr>
                <w:rFonts w:ascii="Times New Roman"/>
                <w:sz w:val="20"/>
              </w:rPr>
            </w:pPr>
            <w:r>
              <w:rPr>
                <w:rFonts w:ascii="Times New Roman"/>
                <w:sz w:val="20"/>
              </w:rPr>
              <w:t>Other</w:t>
            </w:r>
            <w:r>
              <w:rPr>
                <w:rFonts w:ascii="Times New Roman"/>
                <w:spacing w:val="-2"/>
                <w:sz w:val="20"/>
              </w:rPr>
              <w:t> </w:t>
            </w:r>
            <w:r>
              <w:rPr>
                <w:rFonts w:ascii="Times New Roman"/>
                <w:sz w:val="20"/>
              </w:rPr>
              <w:t>personality</w:t>
            </w:r>
            <w:r>
              <w:rPr>
                <w:rFonts w:ascii="Times New Roman"/>
                <w:spacing w:val="-3"/>
                <w:sz w:val="20"/>
              </w:rPr>
              <w:t> </w:t>
            </w:r>
            <w:r>
              <w:rPr>
                <w:rFonts w:ascii="Times New Roman"/>
                <w:sz w:val="20"/>
              </w:rPr>
              <w:t>and</w:t>
            </w:r>
            <w:r>
              <w:rPr>
                <w:rFonts w:ascii="Times New Roman"/>
                <w:spacing w:val="-2"/>
                <w:sz w:val="20"/>
              </w:rPr>
              <w:t> </w:t>
            </w:r>
            <w:r>
              <w:rPr>
                <w:rFonts w:ascii="Times New Roman"/>
                <w:sz w:val="20"/>
              </w:rPr>
              <w:t>behavioral</w:t>
            </w:r>
            <w:r>
              <w:rPr>
                <w:rFonts w:ascii="Times New Roman"/>
                <w:spacing w:val="-2"/>
                <w:sz w:val="20"/>
              </w:rPr>
              <w:t> </w:t>
            </w:r>
            <w:r>
              <w:rPr>
                <w:rFonts w:ascii="Times New Roman"/>
                <w:sz w:val="20"/>
              </w:rPr>
              <w:t>disorders</w:t>
            </w:r>
            <w:r>
              <w:rPr>
                <w:rFonts w:ascii="Times New Roman"/>
                <w:spacing w:val="-3"/>
                <w:sz w:val="20"/>
              </w:rPr>
              <w:t> </w:t>
            </w:r>
            <w:r>
              <w:rPr>
                <w:rFonts w:ascii="Times New Roman"/>
                <w:sz w:val="20"/>
              </w:rPr>
              <w:t>due</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known</w:t>
            </w:r>
            <w:r>
              <w:rPr>
                <w:rFonts w:ascii="Times New Roman"/>
                <w:spacing w:val="-3"/>
                <w:sz w:val="20"/>
              </w:rPr>
              <w:t> </w:t>
            </w:r>
            <w:r>
              <w:rPr>
                <w:rFonts w:ascii="Times New Roman"/>
                <w:sz w:val="20"/>
              </w:rPr>
              <w:t>physiological</w:t>
            </w:r>
            <w:r>
              <w:rPr>
                <w:rFonts w:ascii="Times New Roman"/>
                <w:spacing w:val="-3"/>
                <w:sz w:val="20"/>
              </w:rPr>
              <w:t> </w:t>
            </w:r>
            <w:r>
              <w:rPr>
                <w:rFonts w:ascii="Times New Roman"/>
                <w:sz w:val="20"/>
              </w:rPr>
              <w:t>condition</w:t>
            </w:r>
          </w:p>
          <w:p>
            <w:pPr>
              <w:pStyle w:val="TableParagraph"/>
              <w:spacing w:line="277" w:lineRule="exact" w:before="13"/>
              <w:ind w:left="223" w:right="182"/>
              <w:jc w:val="center"/>
              <w:rPr>
                <w:rFonts w:ascii="PMingLiU-ExtB" w:eastAsia="PMingLiU-ExtB"/>
                <w:sz w:val="20"/>
              </w:rPr>
            </w:pPr>
            <w:r>
              <w:rPr>
                <w:rFonts w:ascii="PMingLiU-ExtB" w:eastAsia="PMingLiU-ExtB"/>
                <w:sz w:val="20"/>
              </w:rPr>
              <w:t>【</w:t>
            </w:r>
            <w:r>
              <w:rPr>
                <w:rFonts w:ascii="Times New Roman" w:eastAsia="Times New Roman"/>
                <w:sz w:val="20"/>
              </w:rPr>
              <w:t>F07.81</w:t>
            </w:r>
            <w:r>
              <w:rPr>
                <w:sz w:val="20"/>
              </w:rPr>
              <w:t>（腦震盪後症候群</w:t>
            </w:r>
            <w:r>
              <w:rPr>
                <w:rFonts w:ascii="Times New Roman" w:eastAsia="Times New Roman"/>
                <w:sz w:val="20"/>
              </w:rPr>
              <w:t>Postconcussional</w:t>
            </w:r>
            <w:r>
              <w:rPr>
                <w:rFonts w:ascii="Times New Roman" w:eastAsia="Times New Roman"/>
                <w:spacing w:val="-4"/>
                <w:sz w:val="20"/>
              </w:rPr>
              <w:t> </w:t>
            </w:r>
            <w:r>
              <w:rPr>
                <w:rFonts w:ascii="Times New Roman" w:eastAsia="Times New Roman"/>
                <w:sz w:val="20"/>
              </w:rPr>
              <w:t>syndrome</w:t>
            </w:r>
            <w:r>
              <w:rPr>
                <w:sz w:val="20"/>
              </w:rPr>
              <w:t>）除外</w:t>
            </w:r>
            <w:r>
              <w:rPr>
                <w:rFonts w:ascii="PMingLiU-ExtB" w:eastAsia="PMingLiU-ExtB"/>
                <w:sz w:val="20"/>
              </w:rPr>
              <w:t>】</w:t>
            </w:r>
          </w:p>
        </w:tc>
      </w:tr>
      <w:tr>
        <w:trPr>
          <w:trHeight w:val="729" w:hRule="atLeast"/>
        </w:trPr>
        <w:tc>
          <w:tcPr>
            <w:tcW w:w="2235" w:type="dxa"/>
            <w:tcBorders>
              <w:top w:val="single" w:sz="4" w:space="0" w:color="000000"/>
              <w:bottom w:val="single" w:sz="4" w:space="0" w:color="000000"/>
              <w:right w:val="single" w:sz="4" w:space="0" w:color="000000"/>
            </w:tcBorders>
          </w:tcPr>
          <w:p>
            <w:pPr>
              <w:pStyle w:val="TableParagraph"/>
              <w:spacing w:before="13"/>
              <w:ind w:left="0"/>
              <w:rPr>
                <w:rFonts w:ascii="Microsoft JhengHei"/>
                <w:b/>
                <w:sz w:val="11"/>
              </w:rPr>
            </w:pPr>
          </w:p>
          <w:p>
            <w:pPr>
              <w:pStyle w:val="TableParagraph"/>
              <w:spacing w:before="0"/>
              <w:ind w:left="389" w:right="372"/>
              <w:jc w:val="center"/>
              <w:rPr>
                <w:rFonts w:ascii="Times New Roman"/>
                <w:sz w:val="20"/>
              </w:rPr>
            </w:pPr>
            <w:r>
              <w:rPr>
                <w:rFonts w:ascii="Times New Roman"/>
                <w:sz w:val="20"/>
              </w:rPr>
              <w:t>F07.9</w:t>
            </w:r>
          </w:p>
        </w:tc>
        <w:tc>
          <w:tcPr>
            <w:tcW w:w="7372" w:type="dxa"/>
            <w:tcBorders>
              <w:top w:val="single" w:sz="4" w:space="0" w:color="000000"/>
              <w:left w:val="single" w:sz="4" w:space="0" w:color="000000"/>
              <w:bottom w:val="single" w:sz="4" w:space="0" w:color="000000"/>
            </w:tcBorders>
          </w:tcPr>
          <w:p>
            <w:pPr>
              <w:pStyle w:val="TableParagraph"/>
              <w:spacing w:before="79"/>
              <w:ind w:left="223" w:right="187"/>
              <w:jc w:val="center"/>
              <w:rPr>
                <w:sz w:val="20"/>
              </w:rPr>
            </w:pPr>
            <w:r>
              <w:rPr>
                <w:sz w:val="20"/>
              </w:rPr>
              <w:t>已知生理狀況引起的非特定人格及行為障礙症</w:t>
            </w:r>
          </w:p>
          <w:p>
            <w:pPr>
              <w:pStyle w:val="TableParagraph"/>
              <w:spacing w:before="9"/>
              <w:ind w:left="223" w:right="189"/>
              <w:jc w:val="center"/>
              <w:rPr>
                <w:rFonts w:ascii="Times New Roman"/>
                <w:sz w:val="20"/>
              </w:rPr>
            </w:pPr>
            <w:r>
              <w:rPr>
                <w:rFonts w:ascii="Times New Roman"/>
                <w:sz w:val="20"/>
              </w:rPr>
              <w:t>Unspecified</w:t>
            </w:r>
            <w:r>
              <w:rPr>
                <w:rFonts w:ascii="Times New Roman"/>
                <w:spacing w:val="-2"/>
                <w:sz w:val="20"/>
              </w:rPr>
              <w:t> </w:t>
            </w:r>
            <w:r>
              <w:rPr>
                <w:rFonts w:ascii="Times New Roman"/>
                <w:sz w:val="20"/>
              </w:rPr>
              <w:t>personality</w:t>
            </w:r>
            <w:r>
              <w:rPr>
                <w:rFonts w:ascii="Times New Roman"/>
                <w:spacing w:val="-4"/>
                <w:sz w:val="20"/>
              </w:rPr>
              <w:t> </w:t>
            </w:r>
            <w:r>
              <w:rPr>
                <w:rFonts w:ascii="Times New Roman"/>
                <w:sz w:val="20"/>
              </w:rPr>
              <w:t>and</w:t>
            </w:r>
            <w:r>
              <w:rPr>
                <w:rFonts w:ascii="Times New Roman"/>
                <w:spacing w:val="-2"/>
                <w:sz w:val="20"/>
              </w:rPr>
              <w:t> </w:t>
            </w:r>
            <w:r>
              <w:rPr>
                <w:rFonts w:ascii="Times New Roman"/>
                <w:sz w:val="20"/>
              </w:rPr>
              <w:t>behavioral</w:t>
            </w:r>
            <w:r>
              <w:rPr>
                <w:rFonts w:ascii="Times New Roman"/>
                <w:spacing w:val="-3"/>
                <w:sz w:val="20"/>
              </w:rPr>
              <w:t> </w:t>
            </w:r>
            <w:r>
              <w:rPr>
                <w:rFonts w:ascii="Times New Roman"/>
                <w:sz w:val="20"/>
              </w:rPr>
              <w:t>disorder</w:t>
            </w:r>
            <w:r>
              <w:rPr>
                <w:rFonts w:ascii="Times New Roman"/>
                <w:spacing w:val="-2"/>
                <w:sz w:val="20"/>
              </w:rPr>
              <w:t> </w:t>
            </w:r>
            <w:r>
              <w:rPr>
                <w:rFonts w:ascii="Times New Roman"/>
                <w:sz w:val="20"/>
              </w:rPr>
              <w:t>due</w:t>
            </w:r>
            <w:r>
              <w:rPr>
                <w:rFonts w:ascii="Times New Roman"/>
                <w:spacing w:val="-3"/>
                <w:sz w:val="20"/>
              </w:rPr>
              <w:t> </w:t>
            </w:r>
            <w:r>
              <w:rPr>
                <w:rFonts w:ascii="Times New Roman"/>
                <w:sz w:val="20"/>
              </w:rPr>
              <w:t>to</w:t>
            </w:r>
            <w:r>
              <w:rPr>
                <w:rFonts w:ascii="Times New Roman"/>
                <w:spacing w:val="4"/>
                <w:sz w:val="20"/>
              </w:rPr>
              <w:t> </w:t>
            </w:r>
            <w:r>
              <w:rPr>
                <w:rFonts w:ascii="Times New Roman"/>
                <w:sz w:val="20"/>
              </w:rPr>
              <w:t>known</w:t>
            </w:r>
            <w:r>
              <w:rPr>
                <w:rFonts w:ascii="Times New Roman"/>
                <w:spacing w:val="-2"/>
                <w:sz w:val="20"/>
              </w:rPr>
              <w:t> </w:t>
            </w:r>
            <w:r>
              <w:rPr>
                <w:rFonts w:ascii="Times New Roman"/>
                <w:sz w:val="20"/>
              </w:rPr>
              <w:t>physiological</w:t>
            </w:r>
            <w:r>
              <w:rPr>
                <w:rFonts w:ascii="Times New Roman"/>
                <w:spacing w:val="-3"/>
                <w:sz w:val="20"/>
              </w:rPr>
              <w:t> </w:t>
            </w:r>
            <w:r>
              <w:rPr>
                <w:rFonts w:ascii="Times New Roman"/>
                <w:sz w:val="20"/>
              </w:rPr>
              <w:t>condition</w:t>
            </w:r>
          </w:p>
        </w:tc>
      </w:tr>
      <w:tr>
        <w:trPr>
          <w:trHeight w:val="489" w:hRule="atLeast"/>
        </w:trPr>
        <w:tc>
          <w:tcPr>
            <w:tcW w:w="2235" w:type="dxa"/>
            <w:tcBorders>
              <w:top w:val="single" w:sz="4" w:space="0" w:color="000000"/>
              <w:bottom w:val="single" w:sz="4" w:space="0" w:color="000000"/>
              <w:right w:val="single" w:sz="4" w:space="0" w:color="000000"/>
            </w:tcBorders>
          </w:tcPr>
          <w:p>
            <w:pPr>
              <w:pStyle w:val="TableParagraph"/>
              <w:spacing w:before="119"/>
              <w:ind w:left="388" w:right="373"/>
              <w:jc w:val="center"/>
              <w:rPr>
                <w:rFonts w:ascii="Times New Roman"/>
                <w:sz w:val="20"/>
              </w:rPr>
            </w:pPr>
            <w:r>
              <w:rPr>
                <w:rFonts w:ascii="Times New Roman"/>
                <w:sz w:val="20"/>
              </w:rPr>
              <w:t>F09</w:t>
            </w:r>
          </w:p>
        </w:tc>
        <w:tc>
          <w:tcPr>
            <w:tcW w:w="7372" w:type="dxa"/>
            <w:tcBorders>
              <w:top w:val="single" w:sz="4" w:space="0" w:color="000000"/>
              <w:left w:val="single" w:sz="4" w:space="0" w:color="000000"/>
              <w:bottom w:val="single" w:sz="4" w:space="0" w:color="000000"/>
            </w:tcBorders>
          </w:tcPr>
          <w:p>
            <w:pPr>
              <w:pStyle w:val="TableParagraph"/>
              <w:spacing w:line="216" w:lineRule="exact" w:before="0"/>
              <w:ind w:left="223" w:right="187"/>
              <w:jc w:val="center"/>
              <w:rPr>
                <w:sz w:val="20"/>
              </w:rPr>
            </w:pPr>
            <w:r>
              <w:rPr>
                <w:sz w:val="20"/>
              </w:rPr>
              <w:t>已知生理狀況引起的非特定精神疾病</w:t>
            </w:r>
          </w:p>
          <w:p>
            <w:pPr>
              <w:pStyle w:val="TableParagraph"/>
              <w:spacing w:before="9"/>
              <w:ind w:left="220" w:right="189"/>
              <w:jc w:val="center"/>
              <w:rPr>
                <w:rFonts w:ascii="Times New Roman"/>
                <w:sz w:val="20"/>
              </w:rPr>
            </w:pPr>
            <w:r>
              <w:rPr>
                <w:rFonts w:ascii="Times New Roman"/>
                <w:sz w:val="20"/>
              </w:rPr>
              <w:t>Unspecified</w:t>
            </w:r>
            <w:r>
              <w:rPr>
                <w:rFonts w:ascii="Times New Roman"/>
                <w:spacing w:val="-1"/>
                <w:sz w:val="20"/>
              </w:rPr>
              <w:t> </w:t>
            </w:r>
            <w:r>
              <w:rPr>
                <w:rFonts w:ascii="Times New Roman"/>
                <w:sz w:val="20"/>
              </w:rPr>
              <w:t>mental</w:t>
            </w:r>
            <w:r>
              <w:rPr>
                <w:rFonts w:ascii="Times New Roman"/>
                <w:spacing w:val="-3"/>
                <w:sz w:val="20"/>
              </w:rPr>
              <w:t> </w:t>
            </w:r>
            <w:r>
              <w:rPr>
                <w:rFonts w:ascii="Times New Roman"/>
                <w:sz w:val="20"/>
              </w:rPr>
              <w:t>disorder</w:t>
            </w:r>
            <w:r>
              <w:rPr>
                <w:rFonts w:ascii="Times New Roman"/>
                <w:spacing w:val="-2"/>
                <w:sz w:val="20"/>
              </w:rPr>
              <w:t> </w:t>
            </w:r>
            <w:r>
              <w:rPr>
                <w:rFonts w:ascii="Times New Roman"/>
                <w:sz w:val="20"/>
              </w:rPr>
              <w:t>due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known</w:t>
            </w:r>
            <w:r>
              <w:rPr>
                <w:rFonts w:ascii="Times New Roman"/>
                <w:spacing w:val="-2"/>
                <w:sz w:val="20"/>
              </w:rPr>
              <w:t> </w:t>
            </w:r>
            <w:r>
              <w:rPr>
                <w:rFonts w:ascii="Times New Roman"/>
                <w:sz w:val="20"/>
              </w:rPr>
              <w:t>physiological</w:t>
            </w:r>
            <w:r>
              <w:rPr>
                <w:rFonts w:ascii="Times New Roman"/>
                <w:spacing w:val="-3"/>
                <w:sz w:val="20"/>
              </w:rPr>
              <w:t> </w:t>
            </w:r>
            <w:r>
              <w:rPr>
                <w:rFonts w:ascii="Times New Roman"/>
                <w:sz w:val="20"/>
              </w:rPr>
              <w:t>condition</w:t>
            </w:r>
          </w:p>
        </w:tc>
      </w:tr>
      <w:tr>
        <w:trPr>
          <w:trHeight w:val="492" w:hRule="atLeast"/>
        </w:trPr>
        <w:tc>
          <w:tcPr>
            <w:tcW w:w="2235" w:type="dxa"/>
            <w:tcBorders>
              <w:top w:val="single" w:sz="4" w:space="0" w:color="000000"/>
              <w:bottom w:val="single" w:sz="4" w:space="0" w:color="000000"/>
              <w:right w:val="single" w:sz="4" w:space="0" w:color="000000"/>
            </w:tcBorders>
          </w:tcPr>
          <w:p>
            <w:pPr>
              <w:pStyle w:val="TableParagraph"/>
              <w:spacing w:before="98"/>
              <w:ind w:left="388" w:right="373"/>
              <w:jc w:val="center"/>
              <w:rPr>
                <w:rFonts w:ascii="Times New Roman"/>
                <w:sz w:val="20"/>
              </w:rPr>
            </w:pPr>
            <w:r>
              <w:rPr>
                <w:rFonts w:ascii="Times New Roman"/>
                <w:sz w:val="20"/>
              </w:rPr>
              <w:t>G30</w:t>
            </w:r>
          </w:p>
        </w:tc>
        <w:tc>
          <w:tcPr>
            <w:tcW w:w="7372" w:type="dxa"/>
            <w:tcBorders>
              <w:top w:val="single" w:sz="4" w:space="0" w:color="000000"/>
              <w:left w:val="single" w:sz="4" w:space="0" w:color="000000"/>
              <w:bottom w:val="single" w:sz="4" w:space="0" w:color="000000"/>
            </w:tcBorders>
          </w:tcPr>
          <w:p>
            <w:pPr>
              <w:pStyle w:val="TableParagraph"/>
              <w:spacing w:line="218" w:lineRule="exact" w:before="0"/>
              <w:ind w:left="223" w:right="188"/>
              <w:jc w:val="center"/>
              <w:rPr>
                <w:sz w:val="20"/>
              </w:rPr>
            </w:pPr>
            <w:r>
              <w:rPr>
                <w:sz w:val="20"/>
              </w:rPr>
              <w:t>阿茲海默氏病</w:t>
            </w:r>
          </w:p>
          <w:p>
            <w:pPr>
              <w:pStyle w:val="TableParagraph"/>
              <w:spacing w:before="9"/>
              <w:ind w:left="223" w:right="189"/>
              <w:jc w:val="center"/>
              <w:rPr>
                <w:rFonts w:ascii="Times New Roman"/>
                <w:sz w:val="20"/>
              </w:rPr>
            </w:pPr>
            <w:r>
              <w:rPr>
                <w:rFonts w:ascii="Times New Roman"/>
                <w:sz w:val="20"/>
              </w:rPr>
              <w:t>Alzheimer's</w:t>
            </w:r>
            <w:r>
              <w:rPr>
                <w:rFonts w:ascii="Times New Roman"/>
                <w:spacing w:val="-5"/>
                <w:sz w:val="20"/>
              </w:rPr>
              <w:t> </w:t>
            </w:r>
            <w:r>
              <w:rPr>
                <w:rFonts w:ascii="Times New Roman"/>
                <w:sz w:val="20"/>
              </w:rPr>
              <w:t>disease</w:t>
            </w:r>
          </w:p>
        </w:tc>
      </w:tr>
      <w:tr>
        <w:trPr>
          <w:trHeight w:val="1468" w:hRule="atLeast"/>
        </w:trPr>
        <w:tc>
          <w:tcPr>
            <w:tcW w:w="2235" w:type="dxa"/>
            <w:tcBorders>
              <w:top w:val="single" w:sz="4" w:space="0" w:color="000000"/>
              <w:right w:val="single" w:sz="4" w:space="0" w:color="000000"/>
            </w:tcBorders>
          </w:tcPr>
          <w:p>
            <w:pPr>
              <w:pStyle w:val="TableParagraph"/>
              <w:spacing w:before="14"/>
              <w:ind w:left="0"/>
              <w:rPr>
                <w:rFonts w:ascii="Microsoft JhengHei"/>
                <w:b/>
                <w:sz w:val="31"/>
              </w:rPr>
            </w:pPr>
          </w:p>
          <w:p>
            <w:pPr>
              <w:pStyle w:val="TableParagraph"/>
              <w:spacing w:before="1"/>
              <w:ind w:left="388" w:right="373"/>
              <w:jc w:val="center"/>
              <w:rPr>
                <w:rFonts w:ascii="Times New Roman"/>
                <w:sz w:val="20"/>
              </w:rPr>
            </w:pPr>
            <w:r>
              <w:rPr>
                <w:rFonts w:ascii="Times New Roman"/>
                <w:sz w:val="20"/>
              </w:rPr>
              <w:t>G31</w:t>
            </w:r>
          </w:p>
        </w:tc>
        <w:tc>
          <w:tcPr>
            <w:tcW w:w="7372" w:type="dxa"/>
            <w:tcBorders>
              <w:top w:val="single" w:sz="4" w:space="0" w:color="000000"/>
              <w:left w:val="single" w:sz="4" w:space="0" w:color="000000"/>
            </w:tcBorders>
          </w:tcPr>
          <w:p>
            <w:pPr>
              <w:pStyle w:val="TableParagraph"/>
              <w:spacing w:before="7"/>
              <w:ind w:left="0"/>
              <w:rPr>
                <w:rFonts w:ascii="Microsoft JhengHei"/>
                <w:b/>
                <w:sz w:val="24"/>
              </w:rPr>
            </w:pPr>
          </w:p>
          <w:p>
            <w:pPr>
              <w:pStyle w:val="TableParagraph"/>
              <w:spacing w:before="1"/>
              <w:ind w:left="223" w:right="187"/>
              <w:jc w:val="center"/>
              <w:rPr>
                <w:sz w:val="20"/>
              </w:rPr>
            </w:pPr>
            <w:r>
              <w:rPr>
                <w:sz w:val="20"/>
              </w:rPr>
              <w:t>其他處未分類的神經系統退化性疾病</w:t>
            </w:r>
          </w:p>
          <w:p>
            <w:pPr>
              <w:pStyle w:val="TableParagraph"/>
              <w:spacing w:before="9"/>
              <w:ind w:left="218" w:right="189"/>
              <w:jc w:val="center"/>
              <w:rPr>
                <w:rFonts w:ascii="Times New Roman"/>
                <w:sz w:val="20"/>
              </w:rPr>
            </w:pPr>
            <w:r>
              <w:rPr>
                <w:rFonts w:ascii="Times New Roman"/>
                <w:sz w:val="20"/>
              </w:rPr>
              <w:t>Other</w:t>
            </w:r>
            <w:r>
              <w:rPr>
                <w:rFonts w:ascii="Times New Roman"/>
                <w:spacing w:val="-2"/>
                <w:sz w:val="20"/>
              </w:rPr>
              <w:t> </w:t>
            </w:r>
            <w:r>
              <w:rPr>
                <w:rFonts w:ascii="Times New Roman"/>
                <w:sz w:val="20"/>
              </w:rPr>
              <w:t>degenerative</w:t>
            </w:r>
            <w:r>
              <w:rPr>
                <w:rFonts w:ascii="Times New Roman"/>
                <w:spacing w:val="-3"/>
                <w:sz w:val="20"/>
              </w:rPr>
              <w:t> </w:t>
            </w:r>
            <w:r>
              <w:rPr>
                <w:rFonts w:ascii="Times New Roman"/>
                <w:sz w:val="20"/>
              </w:rPr>
              <w:t>diseases</w:t>
            </w:r>
            <w:r>
              <w:rPr>
                <w:rFonts w:ascii="Times New Roman"/>
                <w:spacing w:val="-4"/>
                <w:sz w:val="20"/>
              </w:rPr>
              <w:t> </w:t>
            </w:r>
            <w:r>
              <w:rPr>
                <w:rFonts w:ascii="Times New Roman"/>
                <w:sz w:val="20"/>
              </w:rPr>
              <w:t>of</w:t>
            </w:r>
            <w:r>
              <w:rPr>
                <w:rFonts w:ascii="Times New Roman"/>
                <w:spacing w:val="-3"/>
                <w:sz w:val="20"/>
              </w:rPr>
              <w:t> </w:t>
            </w:r>
            <w:r>
              <w:rPr>
                <w:rFonts w:ascii="Times New Roman"/>
                <w:sz w:val="20"/>
              </w:rPr>
              <w:t>nervous</w:t>
            </w:r>
            <w:r>
              <w:rPr>
                <w:rFonts w:ascii="Times New Roman"/>
                <w:spacing w:val="-3"/>
                <w:sz w:val="20"/>
              </w:rPr>
              <w:t> </w:t>
            </w:r>
            <w:r>
              <w:rPr>
                <w:rFonts w:ascii="Times New Roman"/>
                <w:sz w:val="20"/>
              </w:rPr>
              <w:t>system,</w:t>
            </w:r>
            <w:r>
              <w:rPr>
                <w:rFonts w:ascii="Times New Roman"/>
                <w:spacing w:val="-3"/>
                <w:sz w:val="20"/>
              </w:rPr>
              <w:t> </w:t>
            </w:r>
            <w:r>
              <w:rPr>
                <w:rFonts w:ascii="Times New Roman"/>
                <w:sz w:val="20"/>
              </w:rPr>
              <w:t>not</w:t>
            </w:r>
            <w:r>
              <w:rPr>
                <w:rFonts w:ascii="Times New Roman"/>
                <w:spacing w:val="-4"/>
                <w:sz w:val="20"/>
              </w:rPr>
              <w:t> </w:t>
            </w:r>
            <w:r>
              <w:rPr>
                <w:rFonts w:ascii="Times New Roman"/>
                <w:sz w:val="20"/>
              </w:rPr>
              <w:t>elsewhere</w:t>
            </w:r>
            <w:r>
              <w:rPr>
                <w:rFonts w:ascii="Times New Roman"/>
                <w:spacing w:val="-3"/>
                <w:sz w:val="20"/>
              </w:rPr>
              <w:t> </w:t>
            </w:r>
            <w:r>
              <w:rPr>
                <w:rFonts w:ascii="Times New Roman"/>
                <w:sz w:val="20"/>
              </w:rPr>
              <w:t>classified</w:t>
            </w:r>
          </w:p>
        </w:tc>
      </w:tr>
    </w:tbl>
    <w:p>
      <w:pPr>
        <w:pStyle w:val="BodyText"/>
        <w:spacing w:line="242" w:lineRule="auto"/>
        <w:ind w:left="598" w:right="489" w:hanging="366"/>
      </w:pPr>
      <w:r>
        <w:rPr>
          <w:w w:val="95"/>
        </w:rPr>
        <w:t>註：若未來醫界採用新版分類標準（例如：國際疾病傷害及死因分類標準第十一版（ICD-11-CM）），本公</w:t>
      </w:r>
      <w:r>
        <w:rPr>
          <w:spacing w:val="175"/>
        </w:rPr>
        <w:t> </w:t>
      </w:r>
      <w:r>
        <w:rPr/>
        <w:t>司於判斷被保險人是否符合認知功能障礙時，應以與新版分類標準相對應之代碼作為判斷標準。</w:t>
      </w:r>
    </w:p>
    <w:p>
      <w:pPr>
        <w:spacing w:after="0" w:line="242" w:lineRule="auto"/>
        <w:sectPr>
          <w:pgSz w:w="11910" w:h="16840"/>
          <w:pgMar w:header="0" w:footer="855" w:top="1360" w:bottom="1040" w:left="900" w:right="980"/>
        </w:sectPr>
      </w:pPr>
    </w:p>
    <w:p>
      <w:pPr>
        <w:pStyle w:val="Heading2"/>
        <w:spacing w:line="240" w:lineRule="auto" w:before="39"/>
      </w:pPr>
      <w:r>
        <w:rPr/>
        <w:drawing>
          <wp:anchor distT="0" distB="0" distL="0" distR="0" allowOverlap="1" layoutInCell="1" locked="0" behindDoc="1" simplePos="0" relativeHeight="487259136">
            <wp:simplePos x="0" y="0"/>
            <wp:positionH relativeFrom="page">
              <wp:posOffset>2873329</wp:posOffset>
            </wp:positionH>
            <wp:positionV relativeFrom="page">
              <wp:posOffset>3140074</wp:posOffset>
            </wp:positionV>
            <wp:extent cx="1834583" cy="442722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1834583" cy="4427220"/>
                    </a:xfrm>
                    <a:prstGeom prst="rect">
                      <a:avLst/>
                    </a:prstGeom>
                  </pic:spPr>
                </pic:pic>
              </a:graphicData>
            </a:graphic>
          </wp:anchor>
        </w:drawing>
      </w:r>
      <w:r>
        <w:rPr/>
        <w:pict>
          <v:shape style="position:absolute;margin-left:55.919998pt;margin-top:97.93998pt;width:484.55pt;height:662.75pt;mso-position-horizontal-relative:page;mso-position-vertical-relative:page;z-index:1573427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09"/>
                    <w:gridCol w:w="6556"/>
                    <w:gridCol w:w="1382"/>
                  </w:tblGrid>
                  <w:tr>
                    <w:trPr>
                      <w:trHeight w:val="375" w:hRule="atLeast"/>
                    </w:trPr>
                    <w:tc>
                      <w:tcPr>
                        <w:tcW w:w="1709" w:type="dxa"/>
                        <w:tcBorders>
                          <w:bottom w:val="single" w:sz="4" w:space="0" w:color="000000"/>
                          <w:right w:val="single" w:sz="4" w:space="0" w:color="000000"/>
                        </w:tcBorders>
                      </w:tcPr>
                      <w:p>
                        <w:pPr>
                          <w:pStyle w:val="TableParagraph"/>
                          <w:spacing w:before="85"/>
                          <w:ind w:left="234" w:right="215"/>
                          <w:jc w:val="center"/>
                          <w:rPr>
                            <w:sz w:val="20"/>
                          </w:rPr>
                        </w:pPr>
                        <w:r>
                          <w:rPr>
                            <w:w w:val="95"/>
                            <w:sz w:val="20"/>
                          </w:rPr>
                          <w:t>項目</w:t>
                        </w:r>
                      </w:p>
                    </w:tc>
                    <w:tc>
                      <w:tcPr>
                        <w:tcW w:w="6556" w:type="dxa"/>
                        <w:tcBorders>
                          <w:left w:val="single" w:sz="4" w:space="0" w:color="000000"/>
                          <w:bottom w:val="single" w:sz="4" w:space="0" w:color="000000"/>
                          <w:right w:val="single" w:sz="4" w:space="0" w:color="000000"/>
                        </w:tcBorders>
                      </w:tcPr>
                      <w:p>
                        <w:pPr>
                          <w:pStyle w:val="TableParagraph"/>
                          <w:spacing w:before="85"/>
                          <w:ind w:left="2167" w:right="2139"/>
                          <w:jc w:val="center"/>
                          <w:rPr>
                            <w:sz w:val="20"/>
                          </w:rPr>
                        </w:pPr>
                        <w:r>
                          <w:rPr>
                            <w:sz w:val="20"/>
                          </w:rPr>
                          <w:t>可提供之服務項目及內容</w:t>
                        </w:r>
                      </w:p>
                    </w:tc>
                    <w:tc>
                      <w:tcPr>
                        <w:tcW w:w="1382" w:type="dxa"/>
                        <w:tcBorders>
                          <w:left w:val="single" w:sz="4" w:space="0" w:color="000000"/>
                          <w:bottom w:val="single" w:sz="4" w:space="0" w:color="000000"/>
                        </w:tcBorders>
                      </w:tcPr>
                      <w:p>
                        <w:pPr>
                          <w:pStyle w:val="TableParagraph"/>
                          <w:spacing w:before="85"/>
                          <w:ind w:left="279" w:right="243"/>
                          <w:jc w:val="center"/>
                          <w:rPr>
                            <w:sz w:val="20"/>
                          </w:rPr>
                        </w:pPr>
                        <w:r>
                          <w:rPr>
                            <w:sz w:val="20"/>
                          </w:rPr>
                          <w:t>服務費用</w:t>
                        </w:r>
                      </w:p>
                    </w:tc>
                  </w:tr>
                  <w:tr>
                    <w:trPr>
                      <w:trHeight w:val="12481" w:hRule="atLeast"/>
                    </w:trPr>
                    <w:tc>
                      <w:tcPr>
                        <w:tcW w:w="1709" w:type="dxa"/>
                        <w:tcBorders>
                          <w:top w:val="single" w:sz="4" w:space="0" w:color="000000"/>
                          <w:bottom w:val="single" w:sz="4" w:space="0" w:color="000000"/>
                          <w:right w:val="single" w:sz="4" w:space="0" w:color="000000"/>
                        </w:tcBorders>
                      </w:tcPr>
                      <w:p>
                        <w:pPr>
                          <w:pStyle w:val="TableParagraph"/>
                          <w:spacing w:before="56"/>
                          <w:ind w:left="234" w:right="215"/>
                          <w:jc w:val="center"/>
                          <w:rPr>
                            <w:sz w:val="20"/>
                          </w:rPr>
                        </w:pPr>
                        <w:r>
                          <w:rPr>
                            <w:sz w:val="20"/>
                          </w:rPr>
                          <w:t>基本服務方案</w:t>
                        </w:r>
                      </w:p>
                    </w:tc>
                    <w:tc>
                      <w:tcPr>
                        <w:tcW w:w="6556" w:type="dxa"/>
                        <w:tcBorders>
                          <w:top w:val="single" w:sz="4" w:space="0" w:color="000000"/>
                          <w:left w:val="single" w:sz="4" w:space="0" w:color="000000"/>
                          <w:bottom w:val="single" w:sz="4" w:space="0" w:color="000000"/>
                          <w:right w:val="single" w:sz="4" w:space="0" w:color="000000"/>
                        </w:tcBorders>
                      </w:tcPr>
                      <w:p>
                        <w:pPr>
                          <w:pStyle w:val="TableParagraph"/>
                          <w:spacing w:before="56"/>
                          <w:rPr>
                            <w:sz w:val="20"/>
                          </w:rPr>
                        </w:pPr>
                        <w:r>
                          <w:rPr>
                            <w:sz w:val="20"/>
                          </w:rPr>
                          <w:t>□備餐（</w:t>
                        </w:r>
                        <w:r>
                          <w:rPr>
                            <w:spacing w:val="-1"/>
                            <w:sz w:val="20"/>
                          </w:rPr>
                          <w:t>□煮食 □熱食 □外購 □灌食</w:t>
                        </w:r>
                        <w:r>
                          <w:rPr>
                            <w:sz w:val="20"/>
                          </w:rPr>
                          <w:t>）</w:t>
                        </w:r>
                      </w:p>
                      <w:p>
                        <w:pPr>
                          <w:pStyle w:val="TableParagraph"/>
                          <w:spacing w:before="66"/>
                          <w:rPr>
                            <w:sz w:val="20"/>
                          </w:rPr>
                        </w:pPr>
                        <w:r>
                          <w:rPr>
                            <w:sz w:val="20"/>
                          </w:rPr>
                          <w:t>□協助餵食</w:t>
                        </w:r>
                      </w:p>
                      <w:p>
                        <w:pPr>
                          <w:pStyle w:val="TableParagraph"/>
                          <w:rPr>
                            <w:sz w:val="20"/>
                          </w:rPr>
                        </w:pPr>
                        <w:r>
                          <w:rPr>
                            <w:sz w:val="20"/>
                          </w:rPr>
                          <w:t>□留意並記錄飲食及營養狀況</w:t>
                        </w:r>
                      </w:p>
                      <w:p>
                        <w:pPr>
                          <w:pStyle w:val="TableParagraph"/>
                          <w:spacing w:line="302" w:lineRule="auto"/>
                          <w:ind w:right="425"/>
                          <w:rPr>
                            <w:sz w:val="20"/>
                          </w:rPr>
                        </w:pPr>
                        <w:r>
                          <w:rPr>
                            <w:w w:val="95"/>
                            <w:sz w:val="20"/>
                          </w:rPr>
                          <w:t>□使用洗衣機清洗、更換床單／被套／個人衣物（※手洗僅限貼身衣</w:t>
                        </w:r>
                        <w:r>
                          <w:rPr>
                            <w:spacing w:val="10"/>
                            <w:w w:val="95"/>
                            <w:sz w:val="20"/>
                          </w:rPr>
                          <w:t> </w:t>
                        </w:r>
                        <w:r>
                          <w:rPr>
                            <w:sz w:val="20"/>
                          </w:rPr>
                          <w:t>物）</w:t>
                        </w:r>
                      </w:p>
                      <w:p>
                        <w:pPr>
                          <w:pStyle w:val="TableParagraph"/>
                          <w:spacing w:line="251" w:lineRule="exact" w:before="0"/>
                          <w:rPr>
                            <w:sz w:val="20"/>
                          </w:rPr>
                        </w:pPr>
                        <w:r>
                          <w:rPr>
                            <w:sz w:val="20"/>
                          </w:rPr>
                          <w:t>□清洗便漬衣物／床單／被套</w:t>
                        </w:r>
                      </w:p>
                      <w:p>
                        <w:pPr>
                          <w:pStyle w:val="TableParagraph"/>
                          <w:rPr>
                            <w:sz w:val="20"/>
                          </w:rPr>
                        </w:pPr>
                        <w:r>
                          <w:rPr>
                            <w:sz w:val="20"/>
                          </w:rPr>
                          <w:t>□注意居家安全</w:t>
                        </w:r>
                      </w:p>
                      <w:p>
                        <w:pPr>
                          <w:pStyle w:val="TableParagraph"/>
                          <w:spacing w:before="65"/>
                          <w:rPr>
                            <w:sz w:val="20"/>
                          </w:rPr>
                        </w:pPr>
                        <w:r>
                          <w:rPr>
                            <w:sz w:val="20"/>
                          </w:rPr>
                          <w:t>□確保沐浴環境安全</w:t>
                        </w:r>
                      </w:p>
                      <w:p>
                        <w:pPr>
                          <w:pStyle w:val="TableParagraph"/>
                          <w:rPr>
                            <w:sz w:val="20"/>
                          </w:rPr>
                        </w:pPr>
                        <w:r>
                          <w:rPr>
                            <w:sz w:val="20"/>
                          </w:rPr>
                          <w:t>□服務對象使用之環境清潔：（掃地／拖地／擦拭除塵）</w:t>
                        </w:r>
                      </w:p>
                      <w:p>
                        <w:pPr>
                          <w:pStyle w:val="TableParagraph"/>
                          <w:ind w:left="319"/>
                          <w:rPr>
                            <w:sz w:val="20"/>
                          </w:rPr>
                        </w:pPr>
                        <w:r>
                          <w:rPr>
                            <w:spacing w:val="-2"/>
                            <w:sz w:val="20"/>
                          </w:rPr>
                          <w:t>□浴室 □臥房 □客廳 □廚房</w:t>
                        </w:r>
                      </w:p>
                      <w:p>
                        <w:pPr>
                          <w:pStyle w:val="TableParagraph"/>
                          <w:spacing w:before="66"/>
                          <w:rPr>
                            <w:sz w:val="20"/>
                          </w:rPr>
                        </w:pPr>
                        <w:r>
                          <w:rPr>
                            <w:sz w:val="20"/>
                          </w:rPr>
                          <w:t>□膳後清潔處理（使用之器皿、爐具表面、流理枱面清潔）</w:t>
                        </w:r>
                      </w:p>
                      <w:p>
                        <w:pPr>
                          <w:pStyle w:val="TableParagraph"/>
                          <w:rPr>
                            <w:sz w:val="20"/>
                          </w:rPr>
                        </w:pPr>
                        <w:r>
                          <w:rPr>
                            <w:sz w:val="20"/>
                          </w:rPr>
                          <w:t>□抽油煙機維持表面不油膩（※不拆洗）</w:t>
                        </w:r>
                      </w:p>
                      <w:p>
                        <w:pPr>
                          <w:pStyle w:val="TableParagraph"/>
                          <w:rPr>
                            <w:sz w:val="20"/>
                          </w:rPr>
                        </w:pPr>
                        <w:r>
                          <w:rPr>
                            <w:sz w:val="20"/>
                          </w:rPr>
                          <w:t>□清理一般家庭垃圾、廚餘</w:t>
                        </w:r>
                      </w:p>
                      <w:p>
                        <w:pPr>
                          <w:pStyle w:val="TableParagraph"/>
                          <w:spacing w:before="65"/>
                          <w:rPr>
                            <w:sz w:val="20"/>
                          </w:rPr>
                        </w:pPr>
                        <w:r>
                          <w:rPr>
                            <w:sz w:val="20"/>
                          </w:rPr>
                          <w:t>□便器（便盆、尿壺）清洗處理</w:t>
                        </w:r>
                      </w:p>
                      <w:p>
                        <w:pPr>
                          <w:pStyle w:val="TableParagraph"/>
                          <w:rPr>
                            <w:sz w:val="20"/>
                          </w:rPr>
                        </w:pPr>
                        <w:r>
                          <w:rPr>
                            <w:sz w:val="20"/>
                          </w:rPr>
                          <w:t>□陪同外出辦事/購物</w:t>
                        </w:r>
                      </w:p>
                      <w:p>
                        <w:pPr>
                          <w:pStyle w:val="TableParagraph"/>
                          <w:rPr>
                            <w:sz w:val="20"/>
                          </w:rPr>
                        </w:pPr>
                        <w:r>
                          <w:rPr>
                            <w:sz w:val="20"/>
                          </w:rPr>
                          <w:t>□代購生活物品</w:t>
                        </w:r>
                      </w:p>
                      <w:p>
                        <w:pPr>
                          <w:pStyle w:val="TableParagraph"/>
                          <w:spacing w:before="65"/>
                          <w:rPr>
                            <w:sz w:val="20"/>
                          </w:rPr>
                        </w:pPr>
                        <w:r>
                          <w:rPr>
                            <w:sz w:val="20"/>
                          </w:rPr>
                          <w:t>□協助申辦各項福利文件</w:t>
                        </w:r>
                      </w:p>
                      <w:p>
                        <w:pPr>
                          <w:pStyle w:val="TableParagraph"/>
                          <w:rPr>
                            <w:sz w:val="20"/>
                          </w:rPr>
                        </w:pPr>
                        <w:r>
                          <w:rPr>
                            <w:sz w:val="20"/>
                          </w:rPr>
                          <w:t>□代繳各項費用</w:t>
                        </w:r>
                      </w:p>
                      <w:p>
                        <w:pPr>
                          <w:pStyle w:val="TableParagraph"/>
                          <w:rPr>
                            <w:sz w:val="20"/>
                          </w:rPr>
                        </w:pPr>
                        <w:r>
                          <w:rPr>
                            <w:sz w:val="20"/>
                          </w:rPr>
                          <w:t>□陪同就醫並撰寫就醫相關記錄</w:t>
                        </w:r>
                      </w:p>
                      <w:p>
                        <w:pPr>
                          <w:pStyle w:val="TableParagraph"/>
                          <w:spacing w:before="65"/>
                          <w:rPr>
                            <w:sz w:val="20"/>
                          </w:rPr>
                        </w:pPr>
                        <w:r>
                          <w:rPr>
                            <w:sz w:val="20"/>
                          </w:rPr>
                          <w:t>□陪同／代領藥物</w:t>
                        </w:r>
                      </w:p>
                      <w:p>
                        <w:pPr>
                          <w:pStyle w:val="TableParagraph"/>
                          <w:rPr>
                            <w:sz w:val="20"/>
                          </w:rPr>
                        </w:pPr>
                        <w:r>
                          <w:rPr>
                            <w:sz w:val="20"/>
                          </w:rPr>
                          <w:t>□用藥提醒</w:t>
                        </w:r>
                      </w:p>
                      <w:p>
                        <w:pPr>
                          <w:pStyle w:val="TableParagraph"/>
                          <w:spacing w:before="64"/>
                          <w:rPr>
                            <w:sz w:val="20"/>
                          </w:rPr>
                        </w:pPr>
                        <w:r>
                          <w:rPr>
                            <w:sz w:val="20"/>
                          </w:rPr>
                          <w:t>□依藥袋指示協助分藥、服藥</w:t>
                        </w:r>
                      </w:p>
                      <w:p>
                        <w:pPr>
                          <w:pStyle w:val="TableParagraph"/>
                          <w:spacing w:before="65"/>
                          <w:rPr>
                            <w:sz w:val="20"/>
                          </w:rPr>
                        </w:pPr>
                        <w:r>
                          <w:rPr>
                            <w:sz w:val="20"/>
                          </w:rPr>
                          <w:t>□協助使用甘油球通便</w:t>
                        </w:r>
                      </w:p>
                      <w:p>
                        <w:pPr>
                          <w:pStyle w:val="TableParagraph"/>
                          <w:rPr>
                            <w:sz w:val="20"/>
                          </w:rPr>
                        </w:pPr>
                        <w:r>
                          <w:rPr>
                            <w:sz w:val="20"/>
                          </w:rPr>
                          <w:t>□協助使用簡便之攜帶式血糖機驗血糖</w:t>
                        </w:r>
                      </w:p>
                      <w:p>
                        <w:pPr>
                          <w:pStyle w:val="TableParagraph"/>
                          <w:rPr>
                            <w:sz w:val="20"/>
                          </w:rPr>
                        </w:pPr>
                        <w:r>
                          <w:rPr>
                            <w:sz w:val="20"/>
                          </w:rPr>
                          <w:t>□生命徵象測量(體溫/呼吸/脈搏/血壓)</w:t>
                        </w:r>
                      </w:p>
                      <w:p>
                        <w:pPr>
                          <w:pStyle w:val="TableParagraph"/>
                          <w:spacing w:before="65"/>
                          <w:rPr>
                            <w:sz w:val="20"/>
                          </w:rPr>
                        </w:pPr>
                        <w:r>
                          <w:rPr>
                            <w:sz w:val="20"/>
                          </w:rPr>
                          <w:t>□居家關懷陪伴</w:t>
                        </w:r>
                      </w:p>
                      <w:p>
                        <w:pPr>
                          <w:pStyle w:val="TableParagraph"/>
                          <w:rPr>
                            <w:sz w:val="20"/>
                          </w:rPr>
                        </w:pPr>
                        <w:r>
                          <w:rPr>
                            <w:w w:val="95"/>
                            <w:sz w:val="20"/>
                          </w:rPr>
                          <w:t>□訪友規劃與協助</w:t>
                        </w:r>
                      </w:p>
                      <w:p>
                        <w:pPr>
                          <w:pStyle w:val="TableParagraph"/>
                          <w:rPr>
                            <w:sz w:val="20"/>
                          </w:rPr>
                        </w:pPr>
                        <w:r>
                          <w:rPr>
                            <w:w w:val="95"/>
                            <w:sz w:val="20"/>
                          </w:rPr>
                          <w:t>□休閒安排與協助</w:t>
                        </w:r>
                      </w:p>
                      <w:p>
                        <w:pPr>
                          <w:pStyle w:val="TableParagraph"/>
                          <w:spacing w:before="66"/>
                          <w:rPr>
                            <w:sz w:val="20"/>
                          </w:rPr>
                        </w:pPr>
                        <w:r>
                          <w:rPr>
                            <w:w w:val="95"/>
                            <w:sz w:val="20"/>
                          </w:rPr>
                          <w:t>□長者活動與協助</w:t>
                        </w:r>
                      </w:p>
                      <w:p>
                        <w:pPr>
                          <w:pStyle w:val="TableParagraph"/>
                          <w:rPr>
                            <w:sz w:val="20"/>
                          </w:rPr>
                        </w:pPr>
                        <w:r>
                          <w:rPr>
                            <w:sz w:val="20"/>
                          </w:rPr>
                          <w:t>□移位</w:t>
                        </w:r>
                      </w:p>
                      <w:p>
                        <w:pPr>
                          <w:pStyle w:val="TableParagraph"/>
                          <w:rPr>
                            <w:sz w:val="20"/>
                          </w:rPr>
                        </w:pPr>
                        <w:r>
                          <w:rPr>
                            <w:sz w:val="20"/>
                          </w:rPr>
                          <w:t>□擦澡、洗頭、協助沐浴</w:t>
                        </w:r>
                      </w:p>
                      <w:p>
                        <w:pPr>
                          <w:pStyle w:val="TableParagraph"/>
                          <w:spacing w:before="65"/>
                          <w:rPr>
                            <w:sz w:val="20"/>
                          </w:rPr>
                        </w:pPr>
                        <w:r>
                          <w:rPr>
                            <w:sz w:val="20"/>
                          </w:rPr>
                          <w:t>□協助口腔清潔</w:t>
                        </w:r>
                      </w:p>
                      <w:p>
                        <w:pPr>
                          <w:pStyle w:val="TableParagraph"/>
                          <w:rPr>
                            <w:sz w:val="20"/>
                          </w:rPr>
                        </w:pPr>
                        <w:r>
                          <w:rPr>
                            <w:sz w:val="20"/>
                          </w:rPr>
                          <w:t>□協助選穿衣物、整理儀容</w:t>
                        </w:r>
                      </w:p>
                      <w:p>
                        <w:pPr>
                          <w:pStyle w:val="TableParagraph"/>
                          <w:rPr>
                            <w:sz w:val="20"/>
                          </w:rPr>
                        </w:pPr>
                        <w:r>
                          <w:rPr>
                            <w:sz w:val="20"/>
                          </w:rPr>
                          <w:t>□協助修容（使用電動刮鬍刀）</w:t>
                        </w:r>
                      </w:p>
                      <w:p>
                        <w:pPr>
                          <w:pStyle w:val="TableParagraph"/>
                          <w:spacing w:before="66"/>
                          <w:rPr>
                            <w:sz w:val="20"/>
                          </w:rPr>
                        </w:pPr>
                        <w:r>
                          <w:rPr>
                            <w:sz w:val="20"/>
                          </w:rPr>
                          <w:t>□協助修剪指甲（特殊疾患除外）</w:t>
                        </w:r>
                      </w:p>
                      <w:p>
                        <w:pPr>
                          <w:pStyle w:val="TableParagraph"/>
                          <w:rPr>
                            <w:sz w:val="20"/>
                          </w:rPr>
                        </w:pPr>
                        <w:r>
                          <w:rPr>
                            <w:sz w:val="20"/>
                          </w:rPr>
                          <w:t>□翻身、拍背</w:t>
                        </w:r>
                      </w:p>
                      <w:p>
                        <w:pPr>
                          <w:pStyle w:val="TableParagraph"/>
                          <w:rPr>
                            <w:sz w:val="20"/>
                          </w:rPr>
                        </w:pPr>
                        <w:r>
                          <w:rPr>
                            <w:sz w:val="20"/>
                          </w:rPr>
                          <w:t>□簡易關節活動</w:t>
                        </w:r>
                      </w:p>
                      <w:p>
                        <w:pPr>
                          <w:pStyle w:val="TableParagraph"/>
                          <w:spacing w:before="65"/>
                          <w:rPr>
                            <w:sz w:val="20"/>
                          </w:rPr>
                        </w:pPr>
                        <w:r>
                          <w:rPr>
                            <w:sz w:val="20"/>
                          </w:rPr>
                          <w:t>□大小便處理</w:t>
                        </w:r>
                      </w:p>
                      <w:p>
                        <w:pPr>
                          <w:pStyle w:val="TableParagraph"/>
                          <w:spacing w:line="242" w:lineRule="exact"/>
                          <w:rPr>
                            <w:sz w:val="20"/>
                          </w:rPr>
                        </w:pPr>
                        <w:r>
                          <w:rPr>
                            <w:sz w:val="20"/>
                          </w:rPr>
                          <w:t>□協助更換尿布</w:t>
                        </w:r>
                      </w:p>
                    </w:tc>
                    <w:tc>
                      <w:tcPr>
                        <w:tcW w:w="1382" w:type="dxa"/>
                        <w:tcBorders>
                          <w:top w:val="single" w:sz="4" w:space="0" w:color="000000"/>
                          <w:left w:val="single" w:sz="4" w:space="0" w:color="000000"/>
                          <w:bottom w:val="single" w:sz="4" w:space="0" w:color="000000"/>
                        </w:tcBorders>
                      </w:tcPr>
                      <w:p>
                        <w:pPr>
                          <w:pStyle w:val="TableParagraph"/>
                          <w:spacing w:line="302" w:lineRule="auto" w:before="56"/>
                          <w:ind w:left="424" w:right="359" w:hanging="24"/>
                          <w:rPr>
                            <w:sz w:val="20"/>
                          </w:rPr>
                        </w:pPr>
                        <w:r>
                          <w:rPr>
                            <w:spacing w:val="-2"/>
                            <w:sz w:val="20"/>
                          </w:rPr>
                          <w:t>每小時</w:t>
                        </w:r>
                        <w:r>
                          <w:rPr>
                            <w:sz w:val="20"/>
                          </w:rPr>
                          <w:t>400</w:t>
                        </w:r>
                        <w:r>
                          <w:rPr>
                            <w:spacing w:val="-26"/>
                            <w:sz w:val="20"/>
                          </w:rPr>
                          <w:t> 元</w:t>
                        </w:r>
                      </w:p>
                    </w:tc>
                  </w:tr>
                  <w:tr>
                    <w:trPr>
                      <w:trHeight w:val="318" w:hRule="atLeast"/>
                    </w:trPr>
                    <w:tc>
                      <w:tcPr>
                        <w:tcW w:w="1709" w:type="dxa"/>
                        <w:tcBorders>
                          <w:top w:val="single" w:sz="4" w:space="0" w:color="000000"/>
                          <w:right w:val="single" w:sz="4" w:space="0" w:color="000000"/>
                        </w:tcBorders>
                      </w:tcPr>
                      <w:p>
                        <w:pPr>
                          <w:pStyle w:val="TableParagraph"/>
                          <w:spacing w:line="242" w:lineRule="exact" w:before="56"/>
                          <w:ind w:left="231" w:right="215"/>
                          <w:jc w:val="center"/>
                          <w:rPr>
                            <w:sz w:val="20"/>
                          </w:rPr>
                        </w:pPr>
                        <w:r>
                          <w:rPr>
                            <w:sz w:val="20"/>
                          </w:rPr>
                          <w:t>健康促進</w:t>
                        </w:r>
                      </w:p>
                    </w:tc>
                    <w:tc>
                      <w:tcPr>
                        <w:tcW w:w="6556" w:type="dxa"/>
                        <w:tcBorders>
                          <w:top w:val="single" w:sz="4" w:space="0" w:color="000000"/>
                          <w:left w:val="single" w:sz="4" w:space="0" w:color="000000"/>
                          <w:right w:val="single" w:sz="4" w:space="0" w:color="000000"/>
                        </w:tcBorders>
                      </w:tcPr>
                      <w:p>
                        <w:pPr>
                          <w:pStyle w:val="TableParagraph"/>
                          <w:spacing w:line="242" w:lineRule="exact" w:before="56"/>
                          <w:rPr>
                            <w:sz w:val="20"/>
                          </w:rPr>
                        </w:pPr>
                        <w:r>
                          <w:rPr>
                            <w:sz w:val="20"/>
                          </w:rPr>
                          <w:t>□主被動關節運動</w:t>
                        </w:r>
                      </w:p>
                    </w:tc>
                    <w:tc>
                      <w:tcPr>
                        <w:tcW w:w="1382" w:type="dxa"/>
                        <w:tcBorders>
                          <w:top w:val="single" w:sz="4" w:space="0" w:color="000000"/>
                          <w:left w:val="single" w:sz="4" w:space="0" w:color="000000"/>
                        </w:tcBorders>
                      </w:tcPr>
                      <w:p>
                        <w:pPr>
                          <w:pStyle w:val="TableParagraph"/>
                          <w:spacing w:line="242" w:lineRule="exact" w:before="56"/>
                          <w:ind w:left="279" w:right="240"/>
                          <w:jc w:val="center"/>
                          <w:rPr>
                            <w:sz w:val="20"/>
                          </w:rPr>
                        </w:pPr>
                        <w:r>
                          <w:rPr>
                            <w:sz w:val="20"/>
                          </w:rPr>
                          <w:t>每小時</w:t>
                        </w:r>
                      </w:p>
                    </w:tc>
                  </w:tr>
                </w:tbl>
                <w:p>
                  <w:pPr>
                    <w:pStyle w:val="BodyText"/>
                    <w:ind w:left="0"/>
                  </w:pPr>
                </w:p>
              </w:txbxContent>
            </v:textbox>
            <w10:wrap type="none"/>
          </v:shape>
        </w:pict>
      </w:r>
      <w:r>
        <w:rPr/>
        <w:t>附件二：長期照顧服務之項目及服務費用表</w:t>
      </w:r>
    </w:p>
    <w:p>
      <w:pPr>
        <w:spacing w:after="0" w:line="240" w:lineRule="auto"/>
        <w:sectPr>
          <w:pgSz w:w="11910" w:h="16840"/>
          <w:pgMar w:header="0" w:footer="855" w:top="1580" w:bottom="1040" w:left="900" w:right="980"/>
        </w:sectPr>
      </w:pPr>
    </w:p>
    <w:tbl>
      <w:tblPr>
        <w:tblW w:w="0" w:type="auto"/>
        <w:jc w:val="left"/>
        <w:tblInd w:w="2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09"/>
        <w:gridCol w:w="6556"/>
        <w:gridCol w:w="1382"/>
      </w:tblGrid>
      <w:tr>
        <w:trPr>
          <w:trHeight w:val="2241" w:hRule="atLeast"/>
        </w:trPr>
        <w:tc>
          <w:tcPr>
            <w:tcW w:w="1709" w:type="dxa"/>
            <w:tcBorders>
              <w:bottom w:val="single" w:sz="4" w:space="0" w:color="000000"/>
              <w:right w:val="single" w:sz="4" w:space="0" w:color="000000"/>
            </w:tcBorders>
          </w:tcPr>
          <w:p>
            <w:pPr>
              <w:pStyle w:val="TableParagraph"/>
              <w:spacing w:before="56"/>
              <w:ind w:left="453"/>
              <w:rPr>
                <w:sz w:val="20"/>
              </w:rPr>
            </w:pPr>
            <w:r>
              <w:rPr>
                <w:sz w:val="20"/>
              </w:rPr>
              <w:t>服務方案</w:t>
            </w:r>
          </w:p>
        </w:tc>
        <w:tc>
          <w:tcPr>
            <w:tcW w:w="6556" w:type="dxa"/>
            <w:tcBorders>
              <w:left w:val="single" w:sz="4" w:space="0" w:color="000000"/>
              <w:bottom w:val="single" w:sz="4" w:space="0" w:color="000000"/>
              <w:right w:val="single" w:sz="4" w:space="0" w:color="000000"/>
            </w:tcBorders>
          </w:tcPr>
          <w:p>
            <w:pPr>
              <w:pStyle w:val="TableParagraph"/>
              <w:spacing w:before="56"/>
              <w:rPr>
                <w:sz w:val="20"/>
              </w:rPr>
            </w:pPr>
            <w:r>
              <w:rPr>
                <w:sz w:val="20"/>
              </w:rPr>
              <w:t>□平衡行走</w:t>
            </w:r>
          </w:p>
          <w:p>
            <w:pPr>
              <w:pStyle w:val="TableParagraph"/>
              <w:spacing w:before="66"/>
              <w:rPr>
                <w:sz w:val="20"/>
              </w:rPr>
            </w:pPr>
            <w:r>
              <w:rPr>
                <w:sz w:val="20"/>
              </w:rPr>
              <w:t>□上下樓梯訓練指導</w:t>
            </w:r>
          </w:p>
          <w:p>
            <w:pPr>
              <w:pStyle w:val="TableParagraph"/>
              <w:rPr>
                <w:sz w:val="20"/>
              </w:rPr>
            </w:pPr>
            <w:r>
              <w:rPr>
                <w:w w:val="95"/>
                <w:sz w:val="20"/>
              </w:rPr>
              <w:t>□翻身擺位</w:t>
            </w:r>
          </w:p>
          <w:p>
            <w:pPr>
              <w:pStyle w:val="TableParagraph"/>
              <w:rPr>
                <w:sz w:val="20"/>
              </w:rPr>
            </w:pPr>
            <w:r>
              <w:rPr>
                <w:w w:val="95"/>
                <w:sz w:val="20"/>
              </w:rPr>
              <w:t>□移位協助</w:t>
            </w:r>
          </w:p>
          <w:p>
            <w:pPr>
              <w:pStyle w:val="TableParagraph"/>
              <w:spacing w:before="65"/>
              <w:rPr>
                <w:sz w:val="20"/>
              </w:rPr>
            </w:pPr>
            <w:r>
              <w:rPr>
                <w:sz w:val="20"/>
              </w:rPr>
              <w:t>□生活重建及認知功能指導</w:t>
            </w:r>
          </w:p>
          <w:p>
            <w:pPr>
              <w:pStyle w:val="TableParagraph"/>
              <w:rPr>
                <w:sz w:val="20"/>
              </w:rPr>
            </w:pPr>
            <w:r>
              <w:rPr>
                <w:sz w:val="20"/>
              </w:rPr>
              <w:t>□語言復健指導</w:t>
            </w:r>
          </w:p>
          <w:p>
            <w:pPr>
              <w:pStyle w:val="TableParagraph"/>
              <w:spacing w:line="245" w:lineRule="exact"/>
              <w:rPr>
                <w:sz w:val="20"/>
              </w:rPr>
            </w:pPr>
            <w:r>
              <w:rPr>
                <w:sz w:val="20"/>
              </w:rPr>
              <w:t>□吞嚥練習及復健</w:t>
            </w:r>
          </w:p>
        </w:tc>
        <w:tc>
          <w:tcPr>
            <w:tcW w:w="1382" w:type="dxa"/>
            <w:tcBorders>
              <w:left w:val="single" w:sz="4" w:space="0" w:color="000000"/>
              <w:bottom w:val="single" w:sz="4" w:space="0" w:color="000000"/>
            </w:tcBorders>
          </w:tcPr>
          <w:p>
            <w:pPr>
              <w:pStyle w:val="TableParagraph"/>
              <w:spacing w:before="56"/>
              <w:ind w:left="424"/>
              <w:rPr>
                <w:sz w:val="20"/>
              </w:rPr>
            </w:pPr>
            <w:r>
              <w:rPr>
                <w:sz w:val="20"/>
              </w:rPr>
              <w:t>500</w:t>
            </w:r>
            <w:r>
              <w:rPr>
                <w:spacing w:val="-26"/>
                <w:sz w:val="20"/>
              </w:rPr>
              <w:t> 元</w:t>
            </w:r>
          </w:p>
        </w:tc>
      </w:tr>
      <w:tr>
        <w:trPr>
          <w:trHeight w:val="2239" w:hRule="atLeast"/>
        </w:trPr>
        <w:tc>
          <w:tcPr>
            <w:tcW w:w="1709" w:type="dxa"/>
            <w:tcBorders>
              <w:top w:val="single" w:sz="4" w:space="0" w:color="000000"/>
              <w:bottom w:val="single" w:sz="4" w:space="0" w:color="000000"/>
              <w:right w:val="single" w:sz="4" w:space="0" w:color="000000"/>
            </w:tcBorders>
          </w:tcPr>
          <w:p>
            <w:pPr>
              <w:pStyle w:val="TableParagraph"/>
              <w:spacing w:line="300" w:lineRule="auto" w:before="56"/>
              <w:ind w:left="453" w:right="434"/>
              <w:rPr>
                <w:sz w:val="20"/>
              </w:rPr>
            </w:pPr>
            <w:r>
              <w:rPr>
                <w:spacing w:val="-2"/>
                <w:sz w:val="20"/>
              </w:rPr>
              <w:t>失智照顧服務方案</w:t>
            </w:r>
          </w:p>
        </w:tc>
        <w:tc>
          <w:tcPr>
            <w:tcW w:w="6556" w:type="dxa"/>
            <w:tcBorders>
              <w:top w:val="single" w:sz="4" w:space="0" w:color="000000"/>
              <w:left w:val="single" w:sz="4" w:space="0" w:color="000000"/>
              <w:bottom w:val="single" w:sz="4" w:space="0" w:color="000000"/>
              <w:right w:val="single" w:sz="4" w:space="0" w:color="000000"/>
            </w:tcBorders>
          </w:tcPr>
          <w:p>
            <w:pPr>
              <w:pStyle w:val="TableParagraph"/>
              <w:spacing w:before="56"/>
              <w:rPr>
                <w:sz w:val="20"/>
              </w:rPr>
            </w:pPr>
            <w:r>
              <w:rPr>
                <w:sz w:val="20"/>
              </w:rPr>
              <w:t>□精神行為照顧</w:t>
            </w:r>
          </w:p>
          <w:p>
            <w:pPr>
              <w:pStyle w:val="TableParagraph"/>
              <w:rPr>
                <w:sz w:val="20"/>
              </w:rPr>
            </w:pPr>
            <w:r>
              <w:rPr>
                <w:sz w:val="20"/>
              </w:rPr>
              <w:t>□個別化活動設計及帶領</w:t>
            </w:r>
          </w:p>
          <w:p>
            <w:pPr>
              <w:pStyle w:val="TableParagraph"/>
              <w:rPr>
                <w:sz w:val="20"/>
              </w:rPr>
            </w:pPr>
            <w:r>
              <w:rPr>
                <w:sz w:val="20"/>
              </w:rPr>
              <w:t>□營養飲食照顧</w:t>
            </w:r>
          </w:p>
          <w:p>
            <w:pPr>
              <w:pStyle w:val="TableParagraph"/>
              <w:spacing w:before="66"/>
              <w:rPr>
                <w:sz w:val="20"/>
              </w:rPr>
            </w:pPr>
            <w:r>
              <w:rPr>
                <w:sz w:val="20"/>
              </w:rPr>
              <w:t>□口腔清潔</w:t>
            </w:r>
          </w:p>
          <w:p>
            <w:pPr>
              <w:pStyle w:val="TableParagraph"/>
              <w:rPr>
                <w:sz w:val="20"/>
              </w:rPr>
            </w:pPr>
            <w:r>
              <w:rPr>
                <w:sz w:val="20"/>
              </w:rPr>
              <w:t>□照顧環境評估與安排</w:t>
            </w:r>
          </w:p>
          <w:p>
            <w:pPr>
              <w:pStyle w:val="TableParagraph"/>
              <w:rPr>
                <w:sz w:val="20"/>
              </w:rPr>
            </w:pPr>
            <w:r>
              <w:rPr>
                <w:sz w:val="20"/>
              </w:rPr>
              <w:t>□生活促進與自我照顧能力照顧</w:t>
            </w:r>
          </w:p>
          <w:p>
            <w:pPr>
              <w:pStyle w:val="TableParagraph"/>
              <w:spacing w:line="242" w:lineRule="exact" w:before="65"/>
              <w:rPr>
                <w:sz w:val="20"/>
              </w:rPr>
            </w:pPr>
            <w:r>
              <w:rPr>
                <w:sz w:val="20"/>
              </w:rPr>
              <w:t>□照顧者自我放鬆活動帶領</w:t>
            </w:r>
          </w:p>
        </w:tc>
        <w:tc>
          <w:tcPr>
            <w:tcW w:w="1382" w:type="dxa"/>
            <w:tcBorders>
              <w:top w:val="single" w:sz="4" w:space="0" w:color="000000"/>
              <w:left w:val="single" w:sz="4" w:space="0" w:color="000000"/>
              <w:bottom w:val="single" w:sz="4" w:space="0" w:color="000000"/>
            </w:tcBorders>
          </w:tcPr>
          <w:p>
            <w:pPr>
              <w:pStyle w:val="TableParagraph"/>
              <w:spacing w:line="300" w:lineRule="auto" w:before="56"/>
              <w:ind w:left="424" w:right="359" w:hanging="24"/>
              <w:rPr>
                <w:sz w:val="20"/>
              </w:rPr>
            </w:pPr>
            <w:r>
              <w:rPr>
                <w:spacing w:val="-2"/>
                <w:sz w:val="20"/>
              </w:rPr>
              <w:t>每小時</w:t>
            </w:r>
            <w:r>
              <w:rPr>
                <w:sz w:val="20"/>
              </w:rPr>
              <w:t>550</w:t>
            </w:r>
            <w:r>
              <w:rPr>
                <w:spacing w:val="-26"/>
                <w:sz w:val="20"/>
              </w:rPr>
              <w:t> 元</w:t>
            </w:r>
          </w:p>
        </w:tc>
      </w:tr>
      <w:tr>
        <w:trPr>
          <w:trHeight w:val="1919" w:hRule="atLeast"/>
        </w:trPr>
        <w:tc>
          <w:tcPr>
            <w:tcW w:w="1709" w:type="dxa"/>
            <w:tcBorders>
              <w:top w:val="single" w:sz="4" w:space="0" w:color="000000"/>
              <w:right w:val="single" w:sz="4" w:space="0" w:color="000000"/>
            </w:tcBorders>
          </w:tcPr>
          <w:p>
            <w:pPr>
              <w:pStyle w:val="TableParagraph"/>
              <w:spacing w:line="302" w:lineRule="auto" w:before="56"/>
              <w:ind w:left="453" w:right="434"/>
              <w:rPr>
                <w:sz w:val="20"/>
              </w:rPr>
            </w:pPr>
            <w:r>
              <w:rPr>
                <w:spacing w:val="-2"/>
                <w:sz w:val="20"/>
              </w:rPr>
              <w:t>癌症照顧服務方案</w:t>
            </w:r>
          </w:p>
        </w:tc>
        <w:tc>
          <w:tcPr>
            <w:tcW w:w="6556" w:type="dxa"/>
            <w:tcBorders>
              <w:top w:val="single" w:sz="4" w:space="0" w:color="000000"/>
              <w:left w:val="single" w:sz="4" w:space="0" w:color="000000"/>
              <w:right w:val="single" w:sz="4" w:space="0" w:color="000000"/>
            </w:tcBorders>
          </w:tcPr>
          <w:p>
            <w:pPr>
              <w:pStyle w:val="TableParagraph"/>
              <w:spacing w:before="56"/>
              <w:rPr>
                <w:sz w:val="20"/>
              </w:rPr>
            </w:pPr>
            <w:r>
              <w:rPr>
                <w:sz w:val="20"/>
              </w:rPr>
              <w:t>□協助管路進食與清潔</w:t>
            </w:r>
          </w:p>
          <w:p>
            <w:pPr>
              <w:pStyle w:val="TableParagraph"/>
              <w:spacing w:before="66"/>
              <w:rPr>
                <w:sz w:val="20"/>
              </w:rPr>
            </w:pPr>
            <w:r>
              <w:rPr>
                <w:w w:val="95"/>
                <w:sz w:val="20"/>
              </w:rPr>
              <w:t>□口腔照顧與清潔</w:t>
            </w:r>
          </w:p>
          <w:p>
            <w:pPr>
              <w:pStyle w:val="TableParagraph"/>
              <w:rPr>
                <w:sz w:val="20"/>
              </w:rPr>
            </w:pPr>
            <w:r>
              <w:rPr>
                <w:w w:val="95"/>
                <w:sz w:val="20"/>
              </w:rPr>
              <w:t>□如廁或更換尿布</w:t>
            </w:r>
          </w:p>
          <w:p>
            <w:pPr>
              <w:pStyle w:val="TableParagraph"/>
              <w:rPr>
                <w:sz w:val="20"/>
              </w:rPr>
            </w:pPr>
            <w:r>
              <w:rPr>
                <w:w w:val="95"/>
                <w:sz w:val="20"/>
              </w:rPr>
              <w:t>□營養和輸液的需求</w:t>
            </w:r>
          </w:p>
          <w:p>
            <w:pPr>
              <w:pStyle w:val="TableParagraph"/>
              <w:spacing w:before="65"/>
              <w:rPr>
                <w:sz w:val="20"/>
              </w:rPr>
            </w:pPr>
            <w:r>
              <w:rPr>
                <w:w w:val="95"/>
                <w:sz w:val="20"/>
              </w:rPr>
              <w:t>□末期身體症狀問題</w:t>
            </w:r>
          </w:p>
          <w:p>
            <w:pPr>
              <w:pStyle w:val="TableParagraph"/>
              <w:spacing w:line="242" w:lineRule="exact"/>
              <w:rPr>
                <w:sz w:val="20"/>
              </w:rPr>
            </w:pPr>
            <w:r>
              <w:rPr>
                <w:sz w:val="20"/>
              </w:rPr>
              <w:t>□心理精神照顧</w:t>
            </w:r>
          </w:p>
        </w:tc>
        <w:tc>
          <w:tcPr>
            <w:tcW w:w="1382" w:type="dxa"/>
            <w:tcBorders>
              <w:top w:val="single" w:sz="4" w:space="0" w:color="000000"/>
              <w:left w:val="single" w:sz="4" w:space="0" w:color="000000"/>
            </w:tcBorders>
          </w:tcPr>
          <w:p>
            <w:pPr>
              <w:pStyle w:val="TableParagraph"/>
              <w:spacing w:line="302" w:lineRule="auto" w:before="56"/>
              <w:ind w:left="424" w:right="359" w:hanging="24"/>
              <w:rPr>
                <w:sz w:val="20"/>
              </w:rPr>
            </w:pPr>
            <w:r>
              <w:rPr>
                <w:spacing w:val="-2"/>
                <w:sz w:val="20"/>
              </w:rPr>
              <w:t>每小時</w:t>
            </w:r>
            <w:r>
              <w:rPr>
                <w:sz w:val="20"/>
              </w:rPr>
              <w:t>500</w:t>
            </w:r>
            <w:r>
              <w:rPr>
                <w:spacing w:val="-26"/>
                <w:sz w:val="20"/>
              </w:rPr>
              <w:t> 元</w:t>
            </w:r>
          </w:p>
        </w:tc>
      </w:tr>
    </w:tbl>
    <w:p>
      <w:pPr>
        <w:pStyle w:val="BodyText"/>
        <w:spacing w:before="12"/>
        <w:ind w:left="0"/>
        <w:rPr>
          <w:rFonts w:ascii="Microsoft JhengHei"/>
          <w:b/>
          <w:sz w:val="4"/>
        </w:rPr>
      </w:pPr>
    </w:p>
    <w:p>
      <w:pPr>
        <w:pStyle w:val="BodyText"/>
        <w:spacing w:before="60"/>
        <w:ind w:left="232"/>
      </w:pPr>
      <w:r>
        <w:rPr/>
        <w:drawing>
          <wp:anchor distT="0" distB="0" distL="0" distR="0" allowOverlap="1" layoutInCell="1" locked="0" behindDoc="1" simplePos="0" relativeHeight="487260160">
            <wp:simplePos x="0" y="0"/>
            <wp:positionH relativeFrom="page">
              <wp:posOffset>2873329</wp:posOffset>
            </wp:positionH>
            <wp:positionV relativeFrom="paragraph">
              <wp:posOffset>-1928875</wp:posOffset>
            </wp:positionV>
            <wp:extent cx="1834583" cy="442722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1834583" cy="4427220"/>
                    </a:xfrm>
                    <a:prstGeom prst="rect">
                      <a:avLst/>
                    </a:prstGeom>
                  </pic:spPr>
                </pic:pic>
              </a:graphicData>
            </a:graphic>
          </wp:anchor>
        </w:drawing>
      </w:r>
      <w:r>
        <w:rPr/>
        <w:t>【服務費用加收項目】</w:t>
      </w:r>
    </w:p>
    <w:p>
      <w:pPr>
        <w:pStyle w:val="ListParagraph"/>
        <w:numPr>
          <w:ilvl w:val="0"/>
          <w:numId w:val="2"/>
        </w:numPr>
        <w:tabs>
          <w:tab w:pos="534" w:val="left" w:leader="none"/>
        </w:tabs>
        <w:spacing w:line="240" w:lineRule="auto" w:before="144" w:after="0"/>
        <w:ind w:left="533" w:right="0" w:hanging="302"/>
        <w:jc w:val="left"/>
        <w:rPr>
          <w:sz w:val="20"/>
        </w:rPr>
      </w:pPr>
      <w:r>
        <w:rPr>
          <w:sz w:val="20"/>
        </w:rPr>
        <w:t>複雜性照顧加收</w:t>
      </w:r>
    </w:p>
    <w:p>
      <w:pPr>
        <w:pStyle w:val="BodyText"/>
        <w:spacing w:line="261" w:lineRule="auto" w:before="25"/>
        <w:ind w:left="593" w:right="151"/>
      </w:pPr>
      <w:r>
        <w:rPr>
          <w:w w:val="95"/>
        </w:rPr>
        <w:t>上述使用基本服務方案者，符合下列複雜性照顧定義者，另額外加收服務費用每小時</w:t>
      </w:r>
      <w:r>
        <w:rPr>
          <w:spacing w:val="161"/>
        </w:rPr>
        <w:t> </w:t>
      </w:r>
      <w:r>
        <w:rPr>
          <w:w w:val="95"/>
        </w:rPr>
        <w:t>100</w:t>
      </w:r>
      <w:r>
        <w:rPr>
          <w:spacing w:val="113"/>
        </w:rPr>
        <w:t> </w:t>
      </w:r>
      <w:r>
        <w:rPr>
          <w:w w:val="95"/>
        </w:rPr>
        <w:t>元。複雜性照顧</w:t>
      </w:r>
      <w:r>
        <w:rPr/>
        <w:t>定義者係指被保險人有以下狀況者：</w:t>
      </w:r>
    </w:p>
    <w:p>
      <w:pPr>
        <w:pStyle w:val="ListParagraph"/>
        <w:numPr>
          <w:ilvl w:val="1"/>
          <w:numId w:val="2"/>
        </w:numPr>
        <w:tabs>
          <w:tab w:pos="894" w:val="left" w:leader="none"/>
        </w:tabs>
        <w:spacing w:line="240" w:lineRule="auto" w:before="1" w:after="0"/>
        <w:ind w:left="893" w:right="0" w:hanging="301"/>
        <w:jc w:val="left"/>
        <w:rPr>
          <w:sz w:val="20"/>
        </w:rPr>
      </w:pPr>
      <w:r>
        <w:rPr>
          <w:spacing w:val="-1"/>
          <w:w w:val="95"/>
          <w:sz w:val="20"/>
        </w:rPr>
        <w:t>移位困難且體重超過 </w:t>
      </w:r>
      <w:r>
        <w:rPr>
          <w:w w:val="95"/>
          <w:sz w:val="20"/>
        </w:rPr>
        <w:t>70</w:t>
      </w:r>
      <w:r>
        <w:rPr>
          <w:spacing w:val="-4"/>
          <w:w w:val="95"/>
          <w:sz w:val="20"/>
        </w:rPr>
        <w:t> 公斤</w:t>
      </w:r>
    </w:p>
    <w:p>
      <w:pPr>
        <w:pStyle w:val="ListParagraph"/>
        <w:numPr>
          <w:ilvl w:val="1"/>
          <w:numId w:val="2"/>
        </w:numPr>
        <w:tabs>
          <w:tab w:pos="894" w:val="left" w:leader="none"/>
        </w:tabs>
        <w:spacing w:line="240" w:lineRule="auto" w:before="24" w:after="0"/>
        <w:ind w:left="893" w:right="0" w:hanging="301"/>
        <w:jc w:val="left"/>
        <w:rPr>
          <w:sz w:val="20"/>
        </w:rPr>
      </w:pPr>
      <w:r>
        <w:rPr>
          <w:sz w:val="20"/>
        </w:rPr>
        <w:t>有管路（鼻胃管、尿管、氣切管、造口等）</w:t>
      </w:r>
    </w:p>
    <w:p>
      <w:pPr>
        <w:pStyle w:val="ListParagraph"/>
        <w:numPr>
          <w:ilvl w:val="1"/>
          <w:numId w:val="2"/>
        </w:numPr>
        <w:tabs>
          <w:tab w:pos="894" w:val="left" w:leader="none"/>
        </w:tabs>
        <w:spacing w:line="240" w:lineRule="auto" w:before="23" w:after="0"/>
        <w:ind w:left="893" w:right="0" w:hanging="301"/>
        <w:jc w:val="left"/>
        <w:rPr>
          <w:sz w:val="20"/>
        </w:rPr>
      </w:pPr>
      <w:r>
        <w:rPr>
          <w:sz w:val="20"/>
        </w:rPr>
        <w:t>傷口、燒燙傷（傷口）</w:t>
      </w:r>
    </w:p>
    <w:p>
      <w:pPr>
        <w:pStyle w:val="ListParagraph"/>
        <w:numPr>
          <w:ilvl w:val="0"/>
          <w:numId w:val="2"/>
        </w:numPr>
        <w:tabs>
          <w:tab w:pos="534" w:val="left" w:leader="none"/>
        </w:tabs>
        <w:spacing w:line="240" w:lineRule="auto" w:before="144" w:after="0"/>
        <w:ind w:left="533" w:right="0" w:hanging="302"/>
        <w:jc w:val="left"/>
        <w:rPr>
          <w:sz w:val="20"/>
        </w:rPr>
      </w:pPr>
      <w:r>
        <w:rPr>
          <w:sz w:val="20"/>
        </w:rPr>
        <w:t>例假、休假日加收</w:t>
      </w:r>
    </w:p>
    <w:p>
      <w:pPr>
        <w:pStyle w:val="BodyText"/>
        <w:spacing w:before="25"/>
        <w:ind w:left="593"/>
      </w:pPr>
      <w:r>
        <w:rPr/>
        <w:t>每週日為照顧服務員之例假日，該日服務提供機構依法不派員服務。</w:t>
      </w:r>
    </w:p>
    <w:p>
      <w:pPr>
        <w:pStyle w:val="BodyText"/>
        <w:spacing w:line="261" w:lineRule="auto" w:before="22"/>
        <w:ind w:left="593" w:right="148"/>
        <w:jc w:val="both"/>
      </w:pPr>
      <w:r>
        <w:rPr>
          <w:w w:val="95"/>
        </w:rPr>
        <w:t>若原約定之服務提供日，遇中華民國勞動基準法第三十七條公告之國定假日、行政院人事行政總處因應天</w:t>
      </w:r>
      <w:r>
        <w:rPr>
          <w:spacing w:val="260"/>
        </w:rPr>
        <w:t> </w:t>
      </w:r>
      <w:r>
        <w:rPr>
          <w:w w:val="95"/>
        </w:rPr>
        <w:t>然災害期間公告之停止上班區域涵蓋服務提供機構照顧服務員預定工作地、實際居住地或實際居住地前往</w:t>
      </w:r>
      <w:r>
        <w:rPr>
          <w:spacing w:val="260"/>
        </w:rPr>
        <w:t> </w:t>
      </w:r>
      <w:r>
        <w:rPr>
          <w:w w:val="95"/>
        </w:rPr>
        <w:t>預定工作地路線之一部者，服務提供機構照顧服務員應視為休假；如被保險人仍欲要求提供服務，且經服</w:t>
      </w:r>
      <w:r>
        <w:rPr>
          <w:spacing w:val="250"/>
        </w:rPr>
        <w:t> </w:t>
      </w:r>
      <w:r>
        <w:rPr>
          <w:spacing w:val="1"/>
        </w:rPr>
        <w:t>務提供機構照護管理師協調照顧服務員同意而前往服務者，服務費用以每小時支付 </w:t>
      </w:r>
      <w:r>
        <w:rPr/>
        <w:t>2</w:t>
      </w:r>
      <w:r>
        <w:rPr>
          <w:spacing w:val="6"/>
        </w:rPr>
        <w:t> 倍之服務費用計算</w:t>
      </w:r>
      <w:r>
        <w:rPr/>
        <w:t>之。</w:t>
      </w:r>
    </w:p>
    <w:p>
      <w:pPr>
        <w:pStyle w:val="BodyText"/>
        <w:spacing w:before="1"/>
        <w:ind w:left="0"/>
        <w:rPr>
          <w:sz w:val="22"/>
        </w:rPr>
      </w:pPr>
    </w:p>
    <w:p>
      <w:pPr>
        <w:pStyle w:val="BodyText"/>
        <w:spacing w:line="264" w:lineRule="auto"/>
        <w:ind w:left="444" w:right="124" w:hanging="212"/>
      </w:pPr>
      <w:r>
        <w:rPr>
          <w:spacing w:val="28"/>
          <w:w w:val="95"/>
        </w:rPr>
        <w:t>※服務費用以服務提供當時公告之最新服務費用計算，最新服務費用將公告於國泰人壽官方網站</w:t>
      </w:r>
      <w:hyperlink r:id="rId8">
        <w:r>
          <w:rPr/>
          <w:t>https://www.cathayholdings.com/life</w:t>
        </w:r>
      </w:hyperlink>
    </w:p>
    <w:p>
      <w:pPr>
        <w:pStyle w:val="BodyText"/>
        <w:spacing w:before="119"/>
        <w:ind w:left="232"/>
      </w:pPr>
      <w:r>
        <w:rPr>
          <w:w w:val="95"/>
        </w:rPr>
        <w:t>※服務費用調整機制係依據中央基本工資與長照政策長照人員薪資規範評估後調整，並於調整之</w:t>
      </w:r>
      <w:r>
        <w:rPr>
          <w:spacing w:val="178"/>
        </w:rPr>
        <w:t> </w:t>
      </w:r>
      <w:r>
        <w:rPr>
          <w:w w:val="95"/>
        </w:rPr>
        <w:t>3</w:t>
      </w:r>
      <w:r>
        <w:rPr>
          <w:spacing w:val="166"/>
        </w:rPr>
        <w:t> </w:t>
      </w:r>
      <w:r>
        <w:rPr>
          <w:w w:val="95"/>
        </w:rPr>
        <w:t>個月前公告</w:t>
      </w:r>
    </w:p>
    <w:p>
      <w:pPr>
        <w:pStyle w:val="BodyText"/>
        <w:spacing w:before="22"/>
        <w:ind w:left="444"/>
      </w:pPr>
      <w:r>
        <w:rPr>
          <w:spacing w:val="-1"/>
          <w:w w:val="95"/>
        </w:rPr>
        <w:t>於國泰人壽官方網站，惟 </w:t>
      </w:r>
      <w:r>
        <w:rPr>
          <w:w w:val="95"/>
        </w:rPr>
        <w:t>1</w:t>
      </w:r>
      <w:r>
        <w:rPr>
          <w:spacing w:val="-3"/>
          <w:w w:val="95"/>
        </w:rPr>
        <w:t> 年以調整 </w:t>
      </w:r>
      <w:r>
        <w:rPr>
          <w:w w:val="95"/>
        </w:rPr>
        <w:t>1</w:t>
      </w:r>
      <w:r>
        <w:rPr>
          <w:spacing w:val="-3"/>
          <w:w w:val="95"/>
        </w:rPr>
        <w:t> 次為限。</w:t>
      </w:r>
    </w:p>
    <w:p>
      <w:pPr>
        <w:spacing w:after="0"/>
        <w:sectPr>
          <w:pgSz w:w="11910" w:h="16840"/>
          <w:pgMar w:header="0" w:footer="855" w:top="1400" w:bottom="1040" w:left="900" w:right="980"/>
        </w:sectPr>
      </w:pPr>
    </w:p>
    <w:p>
      <w:pPr>
        <w:pStyle w:val="Heading2"/>
        <w:spacing w:line="240" w:lineRule="auto" w:before="3"/>
        <w:ind w:left="194"/>
      </w:pPr>
      <w:r>
        <w:rPr/>
        <w:t>附表：完全失能程度表</w:t>
      </w:r>
    </w:p>
    <w:tbl>
      <w:tblPr>
        <w:tblW w:w="0" w:type="auto"/>
        <w:jc w:val="left"/>
        <w:tblInd w:w="2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00"/>
        <w:gridCol w:w="8641"/>
      </w:tblGrid>
      <w:tr>
        <w:trPr>
          <w:trHeight w:val="260" w:hRule="atLeast"/>
        </w:trPr>
        <w:tc>
          <w:tcPr>
            <w:tcW w:w="900" w:type="dxa"/>
            <w:tcBorders>
              <w:bottom w:val="single" w:sz="6" w:space="0" w:color="000000"/>
              <w:right w:val="single" w:sz="6" w:space="0" w:color="000000"/>
            </w:tcBorders>
          </w:tcPr>
          <w:p>
            <w:pPr>
              <w:pStyle w:val="TableParagraph"/>
              <w:spacing w:line="216" w:lineRule="exact" w:before="0"/>
              <w:ind w:left="230"/>
              <w:rPr>
                <w:sz w:val="20"/>
              </w:rPr>
            </w:pPr>
            <w:r>
              <w:rPr>
                <w:w w:val="95"/>
                <w:sz w:val="20"/>
              </w:rPr>
              <w:t>項別</w:t>
            </w:r>
          </w:p>
        </w:tc>
        <w:tc>
          <w:tcPr>
            <w:tcW w:w="8641" w:type="dxa"/>
            <w:tcBorders>
              <w:left w:val="single" w:sz="6" w:space="0" w:color="000000"/>
              <w:bottom w:val="single" w:sz="6" w:space="0" w:color="000000"/>
            </w:tcBorders>
          </w:tcPr>
          <w:p>
            <w:pPr>
              <w:pStyle w:val="TableParagraph"/>
              <w:tabs>
                <w:tab w:pos="803" w:val="left" w:leader="none"/>
                <w:tab w:pos="1602" w:val="left" w:leader="none"/>
                <w:tab w:pos="2402" w:val="left" w:leader="none"/>
              </w:tabs>
              <w:spacing w:line="216" w:lineRule="exact" w:before="0"/>
              <w:ind w:left="1"/>
              <w:jc w:val="center"/>
              <w:rPr>
                <w:sz w:val="20"/>
              </w:rPr>
            </w:pPr>
            <w:r>
              <w:rPr>
                <w:sz w:val="20"/>
              </w:rPr>
              <w:t>失</w:t>
              <w:tab/>
              <w:t>能</w:t>
              <w:tab/>
              <w:t>程</w:t>
              <w:tab/>
              <w:t>度</w:t>
            </w:r>
          </w:p>
        </w:tc>
      </w:tr>
      <w:tr>
        <w:trPr>
          <w:trHeight w:val="2077" w:hRule="atLeast"/>
        </w:trPr>
        <w:tc>
          <w:tcPr>
            <w:tcW w:w="900" w:type="dxa"/>
            <w:tcBorders>
              <w:top w:val="single" w:sz="6" w:space="0" w:color="000000"/>
              <w:right w:val="single" w:sz="6" w:space="0" w:color="000000"/>
            </w:tcBorders>
          </w:tcPr>
          <w:p>
            <w:pPr>
              <w:pStyle w:val="TableParagraph"/>
              <w:spacing w:line="216" w:lineRule="exact" w:before="0"/>
              <w:ind w:left="0" w:right="14"/>
              <w:jc w:val="center"/>
              <w:rPr>
                <w:sz w:val="20"/>
              </w:rPr>
            </w:pPr>
            <w:r>
              <w:rPr>
                <w:w w:val="99"/>
                <w:sz w:val="20"/>
              </w:rPr>
              <w:t>一</w:t>
            </w:r>
          </w:p>
          <w:p>
            <w:pPr>
              <w:pStyle w:val="TableParagraph"/>
              <w:spacing w:line="244" w:lineRule="auto" w:before="3"/>
              <w:ind w:left="331" w:right="345"/>
              <w:jc w:val="both"/>
              <w:rPr>
                <w:sz w:val="20"/>
              </w:rPr>
            </w:pPr>
            <w:r>
              <w:rPr>
                <w:sz w:val="20"/>
              </w:rPr>
              <w:t>二三四五六七</w:t>
            </w:r>
          </w:p>
        </w:tc>
        <w:tc>
          <w:tcPr>
            <w:tcW w:w="8641" w:type="dxa"/>
            <w:tcBorders>
              <w:top w:val="single" w:sz="6" w:space="0" w:color="000000"/>
              <w:left w:val="single" w:sz="6" w:space="0" w:color="000000"/>
            </w:tcBorders>
          </w:tcPr>
          <w:p>
            <w:pPr>
              <w:pStyle w:val="TableParagraph"/>
              <w:spacing w:line="216" w:lineRule="exact" w:before="0"/>
              <w:ind w:left="79"/>
              <w:rPr>
                <w:sz w:val="20"/>
              </w:rPr>
            </w:pPr>
            <w:r>
              <w:rPr>
                <w:w w:val="95"/>
                <w:sz w:val="20"/>
              </w:rPr>
              <w:t>雙目均失明者。（</w:t>
            </w:r>
            <w:r>
              <w:rPr>
                <w:spacing w:val="1"/>
                <w:w w:val="95"/>
                <w:sz w:val="20"/>
              </w:rPr>
              <w:t>註 </w:t>
            </w:r>
            <w:r>
              <w:rPr>
                <w:w w:val="95"/>
                <w:sz w:val="20"/>
              </w:rPr>
              <w:t>1）</w:t>
            </w:r>
          </w:p>
          <w:p>
            <w:pPr>
              <w:pStyle w:val="TableParagraph"/>
              <w:spacing w:line="244" w:lineRule="auto" w:before="3"/>
              <w:ind w:left="79" w:right="4338"/>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242" w:lineRule="auto" w:before="0"/>
              <w:ind w:left="79" w:right="2340"/>
              <w:rPr>
                <w:sz w:val="20"/>
              </w:rPr>
            </w:pPr>
            <w:r>
              <w:rPr>
                <w:w w:val="95"/>
                <w:sz w:val="20"/>
              </w:rPr>
              <w:t>一目失明及一上肢腕關節缺失者或一目失明及一下肢足踝關節缺失者。</w:t>
            </w:r>
            <w:r>
              <w:rPr>
                <w:spacing w:val="25"/>
                <w:w w:val="95"/>
                <w:sz w:val="20"/>
              </w:rPr>
              <w:t> </w:t>
            </w:r>
            <w:r>
              <w:rPr>
                <w:w w:val="95"/>
                <w:sz w:val="20"/>
              </w:rPr>
              <w:t>永久喪失咀嚼（</w:t>
            </w:r>
            <w:r>
              <w:rPr>
                <w:spacing w:val="-20"/>
                <w:w w:val="95"/>
                <w:sz w:val="20"/>
              </w:rPr>
              <w:t>註 </w:t>
            </w:r>
            <w:r>
              <w:rPr>
                <w:w w:val="95"/>
                <w:sz w:val="20"/>
              </w:rPr>
              <w:t>2）或言語（</w:t>
            </w:r>
            <w:r>
              <w:rPr>
                <w:spacing w:val="-19"/>
                <w:w w:val="95"/>
                <w:sz w:val="20"/>
              </w:rPr>
              <w:t>註 </w:t>
            </w:r>
            <w:r>
              <w:rPr>
                <w:w w:val="95"/>
                <w:sz w:val="20"/>
              </w:rPr>
              <w:t>3）之機能者。</w:t>
            </w:r>
          </w:p>
          <w:p>
            <w:pPr>
              <w:pStyle w:val="TableParagraph"/>
              <w:spacing w:before="1"/>
              <w:ind w:left="79"/>
              <w:rPr>
                <w:sz w:val="20"/>
              </w:rPr>
            </w:pPr>
            <w:r>
              <w:rPr>
                <w:w w:val="95"/>
                <w:sz w:val="20"/>
              </w:rPr>
              <w:t>四肢機能永久完全喪失者。（</w:t>
            </w:r>
            <w:r>
              <w:rPr>
                <w:spacing w:val="21"/>
                <w:w w:val="95"/>
                <w:sz w:val="20"/>
              </w:rPr>
              <w:t>註 </w:t>
            </w:r>
            <w:r>
              <w:rPr>
                <w:w w:val="95"/>
                <w:sz w:val="20"/>
              </w:rPr>
              <w:t>4）</w:t>
            </w:r>
          </w:p>
          <w:p>
            <w:pPr>
              <w:pStyle w:val="TableParagraph"/>
              <w:spacing w:line="244" w:lineRule="auto" w:before="3"/>
              <w:ind w:left="79" w:right="71"/>
              <w:rPr>
                <w:sz w:val="20"/>
              </w:rPr>
            </w:pPr>
            <w:r>
              <w:rPr>
                <w:w w:val="95"/>
                <w:sz w:val="20"/>
              </w:rPr>
              <w:t>中樞神經系統機能遺存極度障害或胸、腹部臟器機能遺存極度障害，終身不能從事任何工作，經</w:t>
            </w:r>
            <w:r>
              <w:rPr>
                <w:spacing w:val="199"/>
                <w:sz w:val="20"/>
              </w:rPr>
              <w:t> </w:t>
            </w:r>
            <w:r>
              <w:rPr>
                <w:w w:val="95"/>
                <w:sz w:val="20"/>
              </w:rPr>
              <w:t>常需醫療護理或專人周密照護者。（</w:t>
            </w:r>
            <w:r>
              <w:rPr>
                <w:spacing w:val="-22"/>
                <w:w w:val="95"/>
                <w:sz w:val="20"/>
              </w:rPr>
              <w:t>註 </w:t>
            </w:r>
            <w:r>
              <w:rPr>
                <w:w w:val="95"/>
                <w:sz w:val="20"/>
              </w:rPr>
              <w:t>5）</w:t>
            </w:r>
          </w:p>
        </w:tc>
      </w:tr>
    </w:tbl>
    <w:p>
      <w:pPr>
        <w:pStyle w:val="BodyText"/>
        <w:ind w:left="353"/>
      </w:pPr>
      <w:r>
        <w:rPr>
          <w:w w:val="95"/>
        </w:rPr>
        <w:t>註：</w:t>
      </w:r>
    </w:p>
    <w:p>
      <w:pPr>
        <w:pStyle w:val="ListParagraph"/>
        <w:numPr>
          <w:ilvl w:val="0"/>
          <w:numId w:val="3"/>
        </w:numPr>
        <w:tabs>
          <w:tab w:pos="575" w:val="left" w:leader="none"/>
        </w:tabs>
        <w:spacing w:line="240" w:lineRule="auto" w:before="0" w:after="0"/>
        <w:ind w:left="574" w:right="0" w:hanging="203"/>
        <w:jc w:val="left"/>
        <w:rPr>
          <w:sz w:val="20"/>
        </w:rPr>
      </w:pPr>
      <w:r>
        <w:rPr>
          <w:w w:val="95"/>
          <w:sz w:val="20"/>
        </w:rPr>
        <w:t>失明的認定</w:t>
      </w:r>
    </w:p>
    <w:p>
      <w:pPr>
        <w:pStyle w:val="ListParagraph"/>
        <w:numPr>
          <w:ilvl w:val="1"/>
          <w:numId w:val="3"/>
        </w:numPr>
        <w:tabs>
          <w:tab w:pos="776" w:val="left" w:leader="none"/>
        </w:tabs>
        <w:spacing w:line="244" w:lineRule="auto" w:before="0" w:after="0"/>
        <w:ind w:left="473" w:right="3653" w:firstLine="0"/>
        <w:jc w:val="left"/>
        <w:rPr>
          <w:sz w:val="20"/>
        </w:rPr>
      </w:pPr>
      <w:r>
        <w:rPr/>
        <w:drawing>
          <wp:anchor distT="0" distB="0" distL="0" distR="0" allowOverlap="1" layoutInCell="1" locked="0" behindDoc="1" simplePos="0" relativeHeight="487261184">
            <wp:simplePos x="0" y="0"/>
            <wp:positionH relativeFrom="page">
              <wp:posOffset>2873329</wp:posOffset>
            </wp:positionH>
            <wp:positionV relativeFrom="paragraph">
              <wp:posOffset>51181</wp:posOffset>
            </wp:positionV>
            <wp:extent cx="1834583" cy="442722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1834583" cy="4427220"/>
                    </a:xfrm>
                    <a:prstGeom prst="rect">
                      <a:avLst/>
                    </a:prstGeom>
                  </pic:spPr>
                </pic:pic>
              </a:graphicData>
            </a:graphic>
          </wp:anchor>
        </w:drawing>
      </w:r>
      <w:r>
        <w:rPr>
          <w:w w:val="95"/>
          <w:sz w:val="20"/>
        </w:rPr>
        <w:t>視力的測定，依據萬國式視力表，兩眼個別依矯正視力測定之。</w:t>
      </w:r>
      <w:r>
        <w:rPr>
          <w:sz w:val="20"/>
        </w:rPr>
        <w:t>(2)失明係指視力永久在萬國式視力表零點零二以下而言。</w:t>
      </w:r>
    </w:p>
    <w:p>
      <w:pPr>
        <w:pStyle w:val="BodyText"/>
        <w:spacing w:line="242" w:lineRule="auto"/>
        <w:ind w:left="372" w:right="853" w:firstLine="100"/>
      </w:pPr>
      <w:r>
        <w:rPr>
          <w:w w:val="95"/>
        </w:rPr>
        <w:t>(3)以自傷害之日起經過六個月的治療為判定原則，但眼球摘出等明顯無法復原之情況，不在此限。</w:t>
      </w:r>
      <w:r>
        <w:rPr>
          <w:spacing w:val="151"/>
        </w:rPr>
        <w:t> </w:t>
      </w:r>
      <w:r>
        <w:rPr>
          <w:w w:val="95"/>
        </w:rPr>
        <w:t>2.喪失咀嚼之機能係指因器質障害或機能障害，以致不能作咀嚼運動，除流質食物外，不能攝取者。</w:t>
      </w:r>
    </w:p>
    <w:p>
      <w:pPr>
        <w:pStyle w:val="ListParagraph"/>
        <w:numPr>
          <w:ilvl w:val="0"/>
          <w:numId w:val="4"/>
        </w:numPr>
        <w:tabs>
          <w:tab w:pos="575" w:val="left" w:leader="none"/>
        </w:tabs>
        <w:spacing w:line="242" w:lineRule="auto" w:before="0" w:after="0"/>
        <w:ind w:left="571" w:right="254" w:hanging="200"/>
        <w:jc w:val="left"/>
        <w:rPr>
          <w:sz w:val="20"/>
        </w:rPr>
      </w:pPr>
      <w:r>
        <w:rPr>
          <w:w w:val="95"/>
          <w:sz w:val="20"/>
        </w:rPr>
        <w:t>喪失言語之機能係指後列構成語言之口唇音、齒舌音、口蓋音、喉頭音等之四種語音機能中，有三種以上</w:t>
      </w:r>
      <w:r>
        <w:rPr>
          <w:spacing w:val="163"/>
          <w:sz w:val="20"/>
        </w:rPr>
        <w:t> </w:t>
      </w:r>
      <w:r>
        <w:rPr>
          <w:sz w:val="20"/>
        </w:rPr>
        <w:t>不能構音者。</w:t>
      </w:r>
    </w:p>
    <w:p>
      <w:pPr>
        <w:pStyle w:val="ListParagraph"/>
        <w:numPr>
          <w:ilvl w:val="0"/>
          <w:numId w:val="4"/>
        </w:numPr>
        <w:tabs>
          <w:tab w:pos="575" w:val="left" w:leader="none"/>
        </w:tabs>
        <w:spacing w:line="240" w:lineRule="auto" w:before="0" w:after="0"/>
        <w:ind w:left="574" w:right="0" w:hanging="203"/>
        <w:jc w:val="left"/>
        <w:rPr>
          <w:sz w:val="20"/>
        </w:rPr>
      </w:pPr>
      <w:r>
        <w:rPr>
          <w:w w:val="95"/>
          <w:sz w:val="20"/>
        </w:rPr>
        <w:t>所謂機能永久完全喪失係指經六個月以後其機能仍完全喪失者。</w:t>
      </w:r>
    </w:p>
    <w:p>
      <w:pPr>
        <w:pStyle w:val="ListParagraph"/>
        <w:numPr>
          <w:ilvl w:val="0"/>
          <w:numId w:val="4"/>
        </w:numPr>
        <w:tabs>
          <w:tab w:pos="575" w:val="left" w:leader="none"/>
        </w:tabs>
        <w:spacing w:line="242" w:lineRule="auto" w:before="0" w:after="0"/>
        <w:ind w:left="571" w:right="254" w:hanging="200"/>
        <w:jc w:val="left"/>
        <w:rPr>
          <w:sz w:val="20"/>
        </w:rPr>
      </w:pPr>
      <w:r>
        <w:rPr>
          <w:w w:val="95"/>
          <w:sz w:val="20"/>
        </w:rPr>
        <w:t>因重度神經障害，經常需醫療護理或專人周密照護者，係指為維持生命必要之日常生活活動，全須他人扶</w:t>
      </w:r>
      <w:r>
        <w:rPr>
          <w:spacing w:val="163"/>
          <w:sz w:val="20"/>
        </w:rPr>
        <w:t> </w:t>
      </w:r>
      <w:r>
        <w:rPr>
          <w:sz w:val="20"/>
        </w:rPr>
        <w:t>助者。</w:t>
      </w:r>
    </w:p>
    <w:p>
      <w:pPr>
        <w:pStyle w:val="BodyText"/>
        <w:spacing w:line="242" w:lineRule="auto"/>
        <w:ind w:left="571" w:right="253"/>
      </w:pPr>
      <w:r>
        <w:rPr>
          <w:w w:val="95"/>
        </w:rPr>
        <w:t>而上述「為維持生命必要之日常生活活動」，係指食物攝取、大小便始末、穿脫衣服、起居、步行、入浴</w:t>
      </w:r>
      <w:r>
        <w:rPr>
          <w:spacing w:val="167"/>
        </w:rPr>
        <w:t> </w:t>
      </w:r>
      <w:r>
        <w:rPr/>
        <w:t>等。</w:t>
      </w:r>
    </w:p>
    <w:p>
      <w:pPr>
        <w:pStyle w:val="BodyText"/>
        <w:spacing w:before="1"/>
        <w:ind w:left="0"/>
        <w:rPr>
          <w:sz w:val="18"/>
        </w:rPr>
      </w:pPr>
      <w:r>
        <w:rPr/>
        <w:drawing>
          <wp:anchor distT="0" distB="0" distL="0" distR="0" allowOverlap="1" layoutInCell="1" locked="0" behindDoc="0" simplePos="0" relativeHeight="13">
            <wp:simplePos x="0" y="0"/>
            <wp:positionH relativeFrom="page">
              <wp:posOffset>719455</wp:posOffset>
            </wp:positionH>
            <wp:positionV relativeFrom="paragraph">
              <wp:posOffset>171974</wp:posOffset>
            </wp:positionV>
            <wp:extent cx="6039766" cy="2450592"/>
            <wp:effectExtent l="0" t="0" r="0" b="0"/>
            <wp:wrapTopAndBottom/>
            <wp:docPr id="27" name="image2.png" descr="new說明圖"/>
            <wp:cNvGraphicFramePr>
              <a:graphicFrameLocks noChangeAspect="1"/>
            </wp:cNvGraphicFramePr>
            <a:graphic>
              <a:graphicData uri="http://schemas.openxmlformats.org/drawingml/2006/picture">
                <pic:pic>
                  <pic:nvPicPr>
                    <pic:cNvPr id="28" name="image2.png"/>
                    <pic:cNvPicPr/>
                  </pic:nvPicPr>
                  <pic:blipFill>
                    <a:blip r:embed="rId9" cstate="print"/>
                    <a:stretch>
                      <a:fillRect/>
                    </a:stretch>
                  </pic:blipFill>
                  <pic:spPr>
                    <a:xfrm>
                      <a:off x="0" y="0"/>
                      <a:ext cx="6039766" cy="2450592"/>
                    </a:xfrm>
                    <a:prstGeom prst="rect">
                      <a:avLst/>
                    </a:prstGeom>
                  </pic:spPr>
                </pic:pic>
              </a:graphicData>
            </a:graphic>
          </wp:anchor>
        </w:drawing>
      </w:r>
    </w:p>
    <w:sectPr>
      <w:pgSz w:w="11910" w:h="16840"/>
      <w:pgMar w:header="0" w:footer="855" w:top="1580" w:bottom="1040" w:left="9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PMingLiU-ExtB">
    <w:altName w:val="PMingLiU-ExtB"/>
    <w:charset w:val="1"/>
    <w:family w:val="roman"/>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56.570007pt;margin-top:788.160217pt;width:85.2pt;height:12pt;mso-position-horizontal-relative:page;mso-position-vertical-relative:page;z-index:-16062464"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pacing w:val="1"/>
                    <w:w w:val="95"/>
                    <w:sz w:val="20"/>
                  </w:rPr>
                  <w:t>第 </w:t>
                </w:r>
                <w:r>
                  <w:rPr/>
                  <w:fldChar w:fldCharType="begin"/>
                </w:r>
                <w:r>
                  <w:rPr>
                    <w:rFonts w:ascii="Microsoft JhengHei" w:eastAsia="Microsoft JhengHei" w:hint="eastAsia"/>
                    <w:b/>
                    <w:w w:val="95"/>
                    <w:sz w:val="20"/>
                  </w:rPr>
                  <w:instrText> PAGE </w:instrText>
                </w:r>
                <w:r>
                  <w:rPr/>
                  <w:fldChar w:fldCharType="separate"/>
                </w:r>
                <w:r>
                  <w:rPr/>
                  <w:t>10</w:t>
                </w:r>
                <w:r>
                  <w:rPr/>
                  <w:fldChar w:fldCharType="end"/>
                </w:r>
                <w:r>
                  <w:rPr>
                    <w:rFonts w:ascii="Microsoft JhengHei" w:eastAsia="Microsoft JhengHei" w:hint="eastAsia"/>
                    <w:b/>
                    <w:w w:val="95"/>
                    <w:sz w:val="20"/>
                  </w:rPr>
                  <w:t> 頁，共 13</w:t>
                </w:r>
                <w:r>
                  <w:rPr>
                    <w:rFonts w:ascii="Microsoft JhengHei" w:eastAsia="Microsoft JhengHei" w:hint="eastAsia"/>
                    <w:b/>
                    <w:spacing w:val="1"/>
                    <w:w w:val="95"/>
                    <w:sz w:val="20"/>
                  </w:rPr>
                  <w:t> 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571"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24" w:hanging="202"/>
      </w:pPr>
      <w:rPr>
        <w:rFonts w:hint="default"/>
        <w:lang w:val="en-US" w:eastAsia="zh-TW" w:bidi="ar-SA"/>
      </w:rPr>
    </w:lvl>
    <w:lvl w:ilvl="2">
      <w:start w:val="0"/>
      <w:numFmt w:val="bullet"/>
      <w:lvlText w:val="•"/>
      <w:lvlJc w:val="left"/>
      <w:pPr>
        <w:ind w:left="2469" w:hanging="202"/>
      </w:pPr>
      <w:rPr>
        <w:rFonts w:hint="default"/>
        <w:lang w:val="en-US" w:eastAsia="zh-TW" w:bidi="ar-SA"/>
      </w:rPr>
    </w:lvl>
    <w:lvl w:ilvl="3">
      <w:start w:val="0"/>
      <w:numFmt w:val="bullet"/>
      <w:lvlText w:val="•"/>
      <w:lvlJc w:val="left"/>
      <w:pPr>
        <w:ind w:left="3413" w:hanging="202"/>
      </w:pPr>
      <w:rPr>
        <w:rFonts w:hint="default"/>
        <w:lang w:val="en-US" w:eastAsia="zh-TW" w:bidi="ar-SA"/>
      </w:rPr>
    </w:lvl>
    <w:lvl w:ilvl="4">
      <w:start w:val="0"/>
      <w:numFmt w:val="bullet"/>
      <w:lvlText w:val="•"/>
      <w:lvlJc w:val="left"/>
      <w:pPr>
        <w:ind w:left="4358" w:hanging="202"/>
      </w:pPr>
      <w:rPr>
        <w:rFonts w:hint="default"/>
        <w:lang w:val="en-US" w:eastAsia="zh-TW" w:bidi="ar-SA"/>
      </w:rPr>
    </w:lvl>
    <w:lvl w:ilvl="5">
      <w:start w:val="0"/>
      <w:numFmt w:val="bullet"/>
      <w:lvlText w:val="•"/>
      <w:lvlJc w:val="left"/>
      <w:pPr>
        <w:ind w:left="5303" w:hanging="202"/>
      </w:pPr>
      <w:rPr>
        <w:rFonts w:hint="default"/>
        <w:lang w:val="en-US" w:eastAsia="zh-TW" w:bidi="ar-SA"/>
      </w:rPr>
    </w:lvl>
    <w:lvl w:ilvl="6">
      <w:start w:val="0"/>
      <w:numFmt w:val="bullet"/>
      <w:lvlText w:val="•"/>
      <w:lvlJc w:val="left"/>
      <w:pPr>
        <w:ind w:left="6247" w:hanging="202"/>
      </w:pPr>
      <w:rPr>
        <w:rFonts w:hint="default"/>
        <w:lang w:val="en-US" w:eastAsia="zh-TW" w:bidi="ar-SA"/>
      </w:rPr>
    </w:lvl>
    <w:lvl w:ilvl="7">
      <w:start w:val="0"/>
      <w:numFmt w:val="bullet"/>
      <w:lvlText w:val="•"/>
      <w:lvlJc w:val="left"/>
      <w:pPr>
        <w:ind w:left="7192" w:hanging="202"/>
      </w:pPr>
      <w:rPr>
        <w:rFonts w:hint="default"/>
        <w:lang w:val="en-US" w:eastAsia="zh-TW" w:bidi="ar-SA"/>
      </w:rPr>
    </w:lvl>
    <w:lvl w:ilvl="8">
      <w:start w:val="0"/>
      <w:numFmt w:val="bullet"/>
      <w:lvlText w:val="•"/>
      <w:lvlJc w:val="left"/>
      <w:pPr>
        <w:ind w:left="8137" w:hanging="202"/>
      </w:pPr>
      <w:rPr>
        <w:rFonts w:hint="default"/>
        <w:lang w:val="en-US" w:eastAsia="zh-TW" w:bidi="ar-SA"/>
      </w:rPr>
    </w:lvl>
  </w:abstractNum>
  <w:abstractNum w:abstractNumId="2">
    <w:multiLevelType w:val="hybridMultilevel"/>
    <w:lvl w:ilvl="0">
      <w:start w:val="1"/>
      <w:numFmt w:val="decimal"/>
      <w:lvlText w:val="%1."/>
      <w:lvlJc w:val="left"/>
      <w:pPr>
        <w:ind w:left="574" w:hanging="202"/>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473" w:hanging="303"/>
        <w:jc w:val="left"/>
      </w:pPr>
      <w:rPr>
        <w:rFonts w:hint="default" w:ascii="SimSun" w:hAnsi="SimSun" w:eastAsia="SimSun" w:cs="SimSun"/>
        <w:spacing w:val="-2"/>
        <w:w w:val="99"/>
        <w:sz w:val="18"/>
        <w:szCs w:val="18"/>
        <w:lang w:val="en-US" w:eastAsia="zh-TW" w:bidi="ar-SA"/>
      </w:rPr>
    </w:lvl>
    <w:lvl w:ilvl="2">
      <w:start w:val="0"/>
      <w:numFmt w:val="bullet"/>
      <w:lvlText w:val="•"/>
      <w:lvlJc w:val="left"/>
      <w:pPr>
        <w:ind w:left="1629" w:hanging="303"/>
      </w:pPr>
      <w:rPr>
        <w:rFonts w:hint="default"/>
        <w:lang w:val="en-US" w:eastAsia="zh-TW" w:bidi="ar-SA"/>
      </w:rPr>
    </w:lvl>
    <w:lvl w:ilvl="3">
      <w:start w:val="0"/>
      <w:numFmt w:val="bullet"/>
      <w:lvlText w:val="•"/>
      <w:lvlJc w:val="left"/>
      <w:pPr>
        <w:ind w:left="2679" w:hanging="303"/>
      </w:pPr>
      <w:rPr>
        <w:rFonts w:hint="default"/>
        <w:lang w:val="en-US" w:eastAsia="zh-TW" w:bidi="ar-SA"/>
      </w:rPr>
    </w:lvl>
    <w:lvl w:ilvl="4">
      <w:start w:val="0"/>
      <w:numFmt w:val="bullet"/>
      <w:lvlText w:val="•"/>
      <w:lvlJc w:val="left"/>
      <w:pPr>
        <w:ind w:left="3728" w:hanging="303"/>
      </w:pPr>
      <w:rPr>
        <w:rFonts w:hint="default"/>
        <w:lang w:val="en-US" w:eastAsia="zh-TW" w:bidi="ar-SA"/>
      </w:rPr>
    </w:lvl>
    <w:lvl w:ilvl="5">
      <w:start w:val="0"/>
      <w:numFmt w:val="bullet"/>
      <w:lvlText w:val="•"/>
      <w:lvlJc w:val="left"/>
      <w:pPr>
        <w:ind w:left="4778" w:hanging="303"/>
      </w:pPr>
      <w:rPr>
        <w:rFonts w:hint="default"/>
        <w:lang w:val="en-US" w:eastAsia="zh-TW" w:bidi="ar-SA"/>
      </w:rPr>
    </w:lvl>
    <w:lvl w:ilvl="6">
      <w:start w:val="0"/>
      <w:numFmt w:val="bullet"/>
      <w:lvlText w:val="•"/>
      <w:lvlJc w:val="left"/>
      <w:pPr>
        <w:ind w:left="5828" w:hanging="303"/>
      </w:pPr>
      <w:rPr>
        <w:rFonts w:hint="default"/>
        <w:lang w:val="en-US" w:eastAsia="zh-TW" w:bidi="ar-SA"/>
      </w:rPr>
    </w:lvl>
    <w:lvl w:ilvl="7">
      <w:start w:val="0"/>
      <w:numFmt w:val="bullet"/>
      <w:lvlText w:val="•"/>
      <w:lvlJc w:val="left"/>
      <w:pPr>
        <w:ind w:left="6877" w:hanging="303"/>
      </w:pPr>
      <w:rPr>
        <w:rFonts w:hint="default"/>
        <w:lang w:val="en-US" w:eastAsia="zh-TW" w:bidi="ar-SA"/>
      </w:rPr>
    </w:lvl>
    <w:lvl w:ilvl="8">
      <w:start w:val="0"/>
      <w:numFmt w:val="bullet"/>
      <w:lvlText w:val="•"/>
      <w:lvlJc w:val="left"/>
      <w:pPr>
        <w:ind w:left="7927" w:hanging="303"/>
      </w:pPr>
      <w:rPr>
        <w:rFonts w:hint="default"/>
        <w:lang w:val="en-US" w:eastAsia="zh-TW" w:bidi="ar-SA"/>
      </w:rPr>
    </w:lvl>
  </w:abstractNum>
  <w:abstractNum w:abstractNumId="1">
    <w:multiLevelType w:val="hybridMultilevel"/>
    <w:lvl w:ilvl="0">
      <w:start w:val="1"/>
      <w:numFmt w:val="decimal"/>
      <w:lvlText w:val="%1."/>
      <w:lvlJc w:val="left"/>
      <w:pPr>
        <w:ind w:left="533" w:hanging="301"/>
        <w:jc w:val="left"/>
      </w:pPr>
      <w:rPr>
        <w:rFonts w:hint="default" w:ascii="SimSun" w:hAnsi="SimSun" w:eastAsia="SimSun" w:cs="SimSun"/>
        <w:spacing w:val="0"/>
        <w:w w:val="99"/>
        <w:sz w:val="20"/>
        <w:szCs w:val="20"/>
        <w:lang w:val="en-US" w:eastAsia="zh-TW" w:bidi="ar-SA"/>
      </w:rPr>
    </w:lvl>
    <w:lvl w:ilvl="1">
      <w:start w:val="1"/>
      <w:numFmt w:val="upperLetter"/>
      <w:lvlText w:val="%2."/>
      <w:lvlJc w:val="left"/>
      <w:pPr>
        <w:ind w:left="893" w:hanging="300"/>
        <w:jc w:val="left"/>
      </w:pPr>
      <w:rPr>
        <w:rFonts w:hint="default" w:ascii="SimSun" w:hAnsi="SimSun" w:eastAsia="SimSun" w:cs="SimSun"/>
        <w:spacing w:val="0"/>
        <w:w w:val="99"/>
        <w:sz w:val="20"/>
        <w:szCs w:val="20"/>
        <w:lang w:val="en-US" w:eastAsia="zh-TW" w:bidi="ar-SA"/>
      </w:rPr>
    </w:lvl>
    <w:lvl w:ilvl="2">
      <w:start w:val="0"/>
      <w:numFmt w:val="bullet"/>
      <w:lvlText w:val="•"/>
      <w:lvlJc w:val="left"/>
      <w:pPr>
        <w:ind w:left="1914" w:hanging="300"/>
      </w:pPr>
      <w:rPr>
        <w:rFonts w:hint="default"/>
        <w:lang w:val="en-US" w:eastAsia="zh-TW" w:bidi="ar-SA"/>
      </w:rPr>
    </w:lvl>
    <w:lvl w:ilvl="3">
      <w:start w:val="0"/>
      <w:numFmt w:val="bullet"/>
      <w:lvlText w:val="•"/>
      <w:lvlJc w:val="left"/>
      <w:pPr>
        <w:ind w:left="2928" w:hanging="300"/>
      </w:pPr>
      <w:rPr>
        <w:rFonts w:hint="default"/>
        <w:lang w:val="en-US" w:eastAsia="zh-TW" w:bidi="ar-SA"/>
      </w:rPr>
    </w:lvl>
    <w:lvl w:ilvl="4">
      <w:start w:val="0"/>
      <w:numFmt w:val="bullet"/>
      <w:lvlText w:val="•"/>
      <w:lvlJc w:val="left"/>
      <w:pPr>
        <w:ind w:left="3942" w:hanging="300"/>
      </w:pPr>
      <w:rPr>
        <w:rFonts w:hint="default"/>
        <w:lang w:val="en-US" w:eastAsia="zh-TW" w:bidi="ar-SA"/>
      </w:rPr>
    </w:lvl>
    <w:lvl w:ilvl="5">
      <w:start w:val="0"/>
      <w:numFmt w:val="bullet"/>
      <w:lvlText w:val="•"/>
      <w:lvlJc w:val="left"/>
      <w:pPr>
        <w:ind w:left="4956" w:hanging="300"/>
      </w:pPr>
      <w:rPr>
        <w:rFonts w:hint="default"/>
        <w:lang w:val="en-US" w:eastAsia="zh-TW" w:bidi="ar-SA"/>
      </w:rPr>
    </w:lvl>
    <w:lvl w:ilvl="6">
      <w:start w:val="0"/>
      <w:numFmt w:val="bullet"/>
      <w:lvlText w:val="•"/>
      <w:lvlJc w:val="left"/>
      <w:pPr>
        <w:ind w:left="5970" w:hanging="300"/>
      </w:pPr>
      <w:rPr>
        <w:rFonts w:hint="default"/>
        <w:lang w:val="en-US" w:eastAsia="zh-TW" w:bidi="ar-SA"/>
      </w:rPr>
    </w:lvl>
    <w:lvl w:ilvl="7">
      <w:start w:val="0"/>
      <w:numFmt w:val="bullet"/>
      <w:lvlText w:val="•"/>
      <w:lvlJc w:val="left"/>
      <w:pPr>
        <w:ind w:left="6984" w:hanging="300"/>
      </w:pPr>
      <w:rPr>
        <w:rFonts w:hint="default"/>
        <w:lang w:val="en-US" w:eastAsia="zh-TW" w:bidi="ar-SA"/>
      </w:rPr>
    </w:lvl>
    <w:lvl w:ilvl="8">
      <w:start w:val="0"/>
      <w:numFmt w:val="bullet"/>
      <w:lvlText w:val="•"/>
      <w:lvlJc w:val="left"/>
      <w:pPr>
        <w:ind w:left="7998" w:hanging="300"/>
      </w:pPr>
      <w:rPr>
        <w:rFonts w:hint="default"/>
        <w:lang w:val="en-US" w:eastAsia="zh-TW" w:bidi="ar-SA"/>
      </w:rPr>
    </w:lvl>
  </w:abstractNum>
  <w:abstractNum w:abstractNumId="0">
    <w:multiLevelType w:val="hybridMultilevel"/>
    <w:lvl w:ilvl="0">
      <w:start w:val="1"/>
      <w:numFmt w:val="decimal"/>
      <w:lvlText w:val="%1."/>
      <w:lvlJc w:val="left"/>
      <w:pPr>
        <w:ind w:left="2026"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820" w:hanging="202"/>
      </w:pPr>
      <w:rPr>
        <w:rFonts w:hint="default"/>
        <w:lang w:val="en-US" w:eastAsia="zh-TW" w:bidi="ar-SA"/>
      </w:rPr>
    </w:lvl>
    <w:lvl w:ilvl="2">
      <w:start w:val="0"/>
      <w:numFmt w:val="bullet"/>
      <w:lvlText w:val="•"/>
      <w:lvlJc w:val="left"/>
      <w:pPr>
        <w:ind w:left="3621" w:hanging="202"/>
      </w:pPr>
      <w:rPr>
        <w:rFonts w:hint="default"/>
        <w:lang w:val="en-US" w:eastAsia="zh-TW" w:bidi="ar-SA"/>
      </w:rPr>
    </w:lvl>
    <w:lvl w:ilvl="3">
      <w:start w:val="0"/>
      <w:numFmt w:val="bullet"/>
      <w:lvlText w:val="•"/>
      <w:lvlJc w:val="left"/>
      <w:pPr>
        <w:ind w:left="4421" w:hanging="202"/>
      </w:pPr>
      <w:rPr>
        <w:rFonts w:hint="default"/>
        <w:lang w:val="en-US" w:eastAsia="zh-TW" w:bidi="ar-SA"/>
      </w:rPr>
    </w:lvl>
    <w:lvl w:ilvl="4">
      <w:start w:val="0"/>
      <w:numFmt w:val="bullet"/>
      <w:lvlText w:val="•"/>
      <w:lvlJc w:val="left"/>
      <w:pPr>
        <w:ind w:left="5222" w:hanging="202"/>
      </w:pPr>
      <w:rPr>
        <w:rFonts w:hint="default"/>
        <w:lang w:val="en-US" w:eastAsia="zh-TW" w:bidi="ar-SA"/>
      </w:rPr>
    </w:lvl>
    <w:lvl w:ilvl="5">
      <w:start w:val="0"/>
      <w:numFmt w:val="bullet"/>
      <w:lvlText w:val="•"/>
      <w:lvlJc w:val="left"/>
      <w:pPr>
        <w:ind w:left="6023" w:hanging="202"/>
      </w:pPr>
      <w:rPr>
        <w:rFonts w:hint="default"/>
        <w:lang w:val="en-US" w:eastAsia="zh-TW" w:bidi="ar-SA"/>
      </w:rPr>
    </w:lvl>
    <w:lvl w:ilvl="6">
      <w:start w:val="0"/>
      <w:numFmt w:val="bullet"/>
      <w:lvlText w:val="•"/>
      <w:lvlJc w:val="left"/>
      <w:pPr>
        <w:ind w:left="6823" w:hanging="202"/>
      </w:pPr>
      <w:rPr>
        <w:rFonts w:hint="default"/>
        <w:lang w:val="en-US" w:eastAsia="zh-TW" w:bidi="ar-SA"/>
      </w:rPr>
    </w:lvl>
    <w:lvl w:ilvl="7">
      <w:start w:val="0"/>
      <w:numFmt w:val="bullet"/>
      <w:lvlText w:val="•"/>
      <w:lvlJc w:val="left"/>
      <w:pPr>
        <w:ind w:left="7624" w:hanging="202"/>
      </w:pPr>
      <w:rPr>
        <w:rFonts w:hint="default"/>
        <w:lang w:val="en-US" w:eastAsia="zh-TW" w:bidi="ar-SA"/>
      </w:rPr>
    </w:lvl>
    <w:lvl w:ilvl="8">
      <w:start w:val="0"/>
      <w:numFmt w:val="bullet"/>
      <w:lvlText w:val="•"/>
      <w:lvlJc w:val="left"/>
      <w:pPr>
        <w:ind w:left="8425" w:hanging="202"/>
      </w:pPr>
      <w:rPr>
        <w:rFonts w:hint="default"/>
        <w:lang w:val="en-US" w:eastAsia="zh-TW"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224"/>
    </w:pPr>
    <w:rPr>
      <w:rFonts w:ascii="SimSun" w:hAnsi="SimSun" w:eastAsia="SimSun" w:cs="SimSun"/>
      <w:sz w:val="20"/>
      <w:szCs w:val="20"/>
      <w:lang w:val="en-US" w:eastAsia="zh-TW" w:bidi="ar-SA"/>
    </w:rPr>
  </w:style>
  <w:style w:styleId="Heading1" w:type="paragraph">
    <w:name w:val="Heading 1"/>
    <w:basedOn w:val="Normal"/>
    <w:uiPriority w:val="1"/>
    <w:qFormat/>
    <w:pPr>
      <w:ind w:left="215" w:hanging="3964"/>
      <w:outlineLvl w:val="1"/>
    </w:pPr>
    <w:rPr>
      <w:rFonts w:ascii="Microsoft JhengHei" w:hAnsi="Microsoft JhengHei" w:eastAsia="Microsoft JhengHei" w:cs="Microsoft JhengHei"/>
      <w:b/>
      <w:bCs/>
      <w:sz w:val="36"/>
      <w:szCs w:val="36"/>
      <w:lang w:val="en-US" w:eastAsia="zh-TW" w:bidi="ar-SA"/>
    </w:rPr>
  </w:style>
  <w:style w:styleId="Heading2" w:type="paragraph">
    <w:name w:val="Heading 2"/>
    <w:basedOn w:val="Normal"/>
    <w:uiPriority w:val="1"/>
    <w:qFormat/>
    <w:pPr>
      <w:spacing w:line="346" w:lineRule="exact"/>
      <w:ind w:left="232"/>
      <w:outlineLvl w:val="2"/>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ind w:left="2026" w:hanging="202"/>
    </w:pPr>
    <w:rPr>
      <w:rFonts w:ascii="SimSun" w:hAnsi="SimSun" w:eastAsia="SimSun" w:cs="SimSun"/>
      <w:lang w:val="en-US" w:eastAsia="zh-TW" w:bidi="ar-SA"/>
    </w:rPr>
  </w:style>
  <w:style w:styleId="TableParagraph" w:type="paragraph">
    <w:name w:val="Table Paragraph"/>
    <w:basedOn w:val="Normal"/>
    <w:uiPriority w:val="1"/>
    <w:qFormat/>
    <w:pPr>
      <w:spacing w:before="63"/>
      <w:ind w:left="117"/>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hyperlink" Target="https://www.cathayholdings.com/life" TargetMode="Externa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i2900410</dc:creator>
  <dc:title>新　險</dc:title>
  <dcterms:created xsi:type="dcterms:W3CDTF">2023-11-01T01:36:56Z</dcterms:created>
  <dcterms:modified xsi:type="dcterms:W3CDTF">2023-11-01T01:36:56Z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2023-01-04T00:00:00Z</vt:filetime>
  </property>
  <property fmtid="{D5CDD505-2E9C-101B-9397-08002B2CF9AE}" pid="3" name="Creator">
    <vt:lpwstr>Microsoft® Word 2016</vt:lpwstr>
  </property>
  <property fmtid="{D5CDD505-2E9C-101B-9397-08002B2CF9AE}" pid="4" name="LastSaved">
    <vt:filetime>2023-11-01T00:00:00Z</vt:filetime>
  </property>
</Properties>
</file>