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1"/>
        </w:rPr>
        <w:t>國泰人壽脂有為你特定傷病定期健康保險(外溢型)</w:t>
      </w:r>
    </w:p>
    <w:p>
      <w:pPr>
        <w:spacing w:line="246" w:lineRule="exact" w:before="0"/>
        <w:ind w:left="112" w:right="0" w:firstLine="0"/>
        <w:jc w:val="left"/>
        <w:rPr>
          <w:rFonts w:ascii="Microsoft JhengHei" w:eastAsia="Microsoft JhengHei"/>
          <w:b/>
          <w:sz w:val="20"/>
        </w:rPr>
      </w:pPr>
      <w:r>
        <w:rPr>
          <w:rFonts w:ascii="Microsoft JhengHei" w:eastAsia="Microsoft JhengHei"/>
          <w:b/>
          <w:spacing w:val="-2"/>
          <w:sz w:val="20"/>
        </w:rPr>
        <w:t>（給付項目：第一類特定傷病保險金、第二類特定傷病及手術保險金</w:t>
      </w:r>
      <w:r>
        <w:rPr>
          <w:rFonts w:ascii="Microsoft JhengHei" w:eastAsia="Microsoft JhengHei"/>
          <w:b/>
          <w:spacing w:val="-10"/>
          <w:sz w:val="20"/>
        </w:rPr>
        <w:t>）</w:t>
      </w:r>
    </w:p>
    <w:p>
      <w:pPr>
        <w:spacing w:line="170" w:lineRule="auto" w:before="23"/>
        <w:ind w:left="312" w:right="181" w:hanging="200"/>
        <w:jc w:val="left"/>
        <w:rPr>
          <w:rFonts w:ascii="Microsoft JhengHei" w:eastAsia="Microsoft JhengHei"/>
          <w:b/>
          <w:sz w:val="20"/>
        </w:rPr>
      </w:pPr>
      <w:r>
        <w:rPr>
          <w:rFonts w:ascii="Microsoft JhengHei" w:eastAsia="Microsoft JhengHei"/>
          <w:b/>
          <w:spacing w:val="-2"/>
          <w:sz w:val="20"/>
        </w:rPr>
        <w:t>（</w:t>
      </w:r>
      <w:r>
        <w:rPr>
          <w:rFonts w:ascii="Microsoft JhengHei" w:eastAsia="Microsoft JhengHei"/>
          <w:b/>
          <w:spacing w:val="-17"/>
          <w:sz w:val="20"/>
        </w:rPr>
        <w:t>本保險「疾病」、「第一類特定傷病」與「第二類特定傷病及手術」等待期間為三十日。被保險人因遭遇意外</w:t>
      </w:r>
      <w:r>
        <w:rPr>
          <w:rFonts w:ascii="Microsoft JhengHei" w:eastAsia="Microsoft JhengHei"/>
          <w:b/>
          <w:spacing w:val="-2"/>
          <w:sz w:val="20"/>
        </w:rPr>
        <w:t>傷害事故接受第二條第五款第三目手術之一者，不受等待期間之限制。詳請參閱契約條款）</w:t>
      </w:r>
    </w:p>
    <w:p>
      <w:pPr>
        <w:spacing w:line="170" w:lineRule="auto" w:before="0"/>
        <w:ind w:left="312" w:right="182" w:hanging="200"/>
        <w:jc w:val="left"/>
        <w:rPr>
          <w:rFonts w:ascii="Microsoft JhengHei" w:eastAsia="Microsoft JhengHei"/>
          <w:b/>
          <w:sz w:val="20"/>
        </w:rPr>
      </w:pPr>
      <w:r>
        <w:rPr>
          <w:rFonts w:ascii="Microsoft JhengHei" w:eastAsia="Microsoft JhengHei"/>
          <w:b/>
          <w:spacing w:val="-2"/>
          <w:sz w:val="20"/>
        </w:rPr>
        <w:t>（本契約有效期間內，被保險人於指定期間符合契約條款所約定之條件者，本公司提供健康體重保險費折減，</w:t>
      </w:r>
      <w:r>
        <w:rPr>
          <w:rFonts w:ascii="Microsoft JhengHei" w:eastAsia="Microsoft JhengHei"/>
          <w:b/>
          <w:spacing w:val="-2"/>
          <w:sz w:val="20"/>
        </w:rPr>
        <w:t>詳請參閱契約條款）(如經查證有造假之情事，本公司將不予採用該被保險人的體重證明文件)</w:t>
      </w:r>
    </w:p>
    <w:p>
      <w:pPr>
        <w:spacing w:line="168" w:lineRule="auto" w:before="0"/>
        <w:ind w:left="312" w:right="0" w:hanging="200"/>
        <w:jc w:val="left"/>
        <w:rPr>
          <w:rFonts w:ascii="Microsoft JhengHei" w:eastAsia="Microsoft JhengHei"/>
          <w:b/>
          <w:sz w:val="20"/>
        </w:rPr>
      </w:pPr>
      <w:r>
        <w:rPr>
          <w:rFonts w:ascii="Microsoft JhengHei" w:eastAsia="Microsoft JhengHei"/>
          <w:b/>
          <w:spacing w:val="-14"/>
          <w:sz w:val="20"/>
        </w:rPr>
        <w:t>（申訴電話：市話免費撥打0800-036-599、付費撥打02-2162-6201；傳真：0800-211-568；電子信箱（E-mail）：</w:t>
      </w:r>
      <w:r>
        <w:rPr>
          <w:rFonts w:ascii="Microsoft JhengHei" w:eastAsia="Microsoft JhengHei"/>
          <w:b/>
          <w:spacing w:val="-3"/>
          <w:sz w:val="20"/>
        </w:rPr>
        <w:t> </w:t>
      </w:r>
      <w:hyperlink r:id="rId6">
        <w:r>
          <w:rPr>
            <w:rFonts w:ascii="Microsoft JhengHei" w:eastAsia="Microsoft JhengHei"/>
            <w:b/>
            <w:spacing w:val="-2"/>
            <w:w w:val="94"/>
            <w:sz w:val="20"/>
          </w:rPr>
          <w:t>s</w:t>
        </w:r>
        <w:r>
          <w:rPr>
            <w:rFonts w:ascii="Microsoft JhengHei" w:eastAsia="Microsoft JhengHei"/>
            <w:b/>
            <w:spacing w:val="-2"/>
            <w:w w:val="76"/>
            <w:sz w:val="20"/>
          </w:rPr>
          <w:t>e</w:t>
        </w:r>
        <w:r>
          <w:rPr>
            <w:rFonts w:ascii="Microsoft JhengHei" w:eastAsia="Microsoft JhengHei"/>
            <w:b/>
            <w:spacing w:val="-2"/>
            <w:w w:val="115"/>
            <w:sz w:val="20"/>
          </w:rPr>
          <w:t>r</w:t>
        </w:r>
        <w:r>
          <w:rPr>
            <w:rFonts w:ascii="Microsoft JhengHei" w:eastAsia="Microsoft JhengHei"/>
            <w:b/>
            <w:spacing w:val="-2"/>
            <w:w w:val="81"/>
            <w:sz w:val="20"/>
          </w:rPr>
          <w:t>v</w:t>
        </w:r>
        <w:r>
          <w:rPr>
            <w:rFonts w:ascii="Microsoft JhengHei" w:eastAsia="Microsoft JhengHei"/>
            <w:b/>
            <w:spacing w:val="-2"/>
            <w:w w:val="169"/>
            <w:sz w:val="20"/>
          </w:rPr>
          <w:t>i</w:t>
        </w:r>
        <w:r>
          <w:rPr>
            <w:rFonts w:ascii="Microsoft JhengHei" w:eastAsia="Microsoft JhengHei"/>
            <w:b/>
            <w:spacing w:val="-5"/>
            <w:w w:val="87"/>
            <w:sz w:val="20"/>
          </w:rPr>
          <w:t>c</w:t>
        </w:r>
        <w:r>
          <w:rPr>
            <w:rFonts w:ascii="Microsoft JhengHei" w:eastAsia="Microsoft JhengHei"/>
            <w:b/>
            <w:spacing w:val="-2"/>
            <w:w w:val="76"/>
            <w:sz w:val="20"/>
          </w:rPr>
          <w:t>e</w:t>
        </w:r>
        <w:r>
          <w:rPr>
            <w:rFonts w:ascii="Microsoft JhengHei" w:eastAsia="Microsoft JhengHei"/>
            <w:b/>
            <w:spacing w:val="-2"/>
            <w:w w:val="37"/>
            <w:sz w:val="20"/>
          </w:rPr>
          <w:t>@</w:t>
        </w:r>
        <w:r>
          <w:rPr>
            <w:rFonts w:ascii="Microsoft JhengHei" w:eastAsia="Microsoft JhengHei"/>
            <w:b/>
            <w:spacing w:val="-2"/>
            <w:w w:val="87"/>
            <w:sz w:val="20"/>
          </w:rPr>
          <w:t>c</w:t>
        </w:r>
        <w:r>
          <w:rPr>
            <w:rFonts w:ascii="Microsoft JhengHei" w:eastAsia="Microsoft JhengHei"/>
            <w:b/>
            <w:spacing w:val="-5"/>
            <w:w w:val="77"/>
            <w:sz w:val="20"/>
          </w:rPr>
          <w:t>a</w:t>
        </w:r>
        <w:r>
          <w:rPr>
            <w:rFonts w:ascii="Microsoft JhengHei" w:eastAsia="Microsoft JhengHei"/>
            <w:b/>
            <w:spacing w:val="-2"/>
            <w:w w:val="118"/>
            <w:sz w:val="20"/>
          </w:rPr>
          <w:t>t</w:t>
        </w:r>
        <w:r>
          <w:rPr>
            <w:rFonts w:ascii="Microsoft JhengHei" w:eastAsia="Microsoft JhengHei"/>
            <w:b/>
            <w:spacing w:val="-2"/>
            <w:w w:val="68"/>
            <w:sz w:val="20"/>
          </w:rPr>
          <w:t>h</w:t>
        </w:r>
        <w:r>
          <w:rPr>
            <w:rFonts w:ascii="Microsoft JhengHei" w:eastAsia="Microsoft JhengHei"/>
            <w:b/>
            <w:spacing w:val="-2"/>
            <w:w w:val="77"/>
            <w:sz w:val="20"/>
          </w:rPr>
          <w:t>a</w:t>
        </w:r>
        <w:r>
          <w:rPr>
            <w:rFonts w:ascii="Microsoft JhengHei" w:eastAsia="Microsoft JhengHei"/>
            <w:b/>
            <w:spacing w:val="-5"/>
            <w:w w:val="80"/>
            <w:sz w:val="20"/>
          </w:rPr>
          <w:t>y</w:t>
        </w:r>
        <w:r>
          <w:rPr>
            <w:rFonts w:ascii="Microsoft JhengHei" w:eastAsia="Microsoft JhengHei"/>
            <w:b/>
            <w:spacing w:val="-2"/>
            <w:w w:val="169"/>
            <w:sz w:val="20"/>
          </w:rPr>
          <w:t>li</w:t>
        </w:r>
        <w:r>
          <w:rPr>
            <w:rFonts w:ascii="Microsoft JhengHei" w:eastAsia="Microsoft JhengHei"/>
            <w:b/>
            <w:spacing w:val="-2"/>
            <w:w w:val="125"/>
            <w:sz w:val="20"/>
          </w:rPr>
          <w:t>f</w:t>
        </w:r>
        <w:r>
          <w:rPr>
            <w:rFonts w:ascii="Microsoft JhengHei" w:eastAsia="Microsoft JhengHei"/>
            <w:b/>
            <w:spacing w:val="-5"/>
            <w:w w:val="76"/>
            <w:sz w:val="20"/>
          </w:rPr>
          <w:t>e</w:t>
        </w:r>
        <w:r>
          <w:rPr>
            <w:rFonts w:ascii="Microsoft JhengHei" w:eastAsia="Microsoft JhengHei"/>
            <w:b/>
            <w:spacing w:val="-2"/>
            <w:w w:val="184"/>
            <w:sz w:val="20"/>
          </w:rPr>
          <w:t>.</w:t>
        </w:r>
        <w:r>
          <w:rPr>
            <w:rFonts w:ascii="Microsoft JhengHei" w:eastAsia="Microsoft JhengHei"/>
            <w:b/>
            <w:spacing w:val="-2"/>
            <w:w w:val="87"/>
            <w:sz w:val="20"/>
          </w:rPr>
          <w:t>c</w:t>
        </w:r>
        <w:r>
          <w:rPr>
            <w:rFonts w:ascii="Microsoft JhengHei" w:eastAsia="Microsoft JhengHei"/>
            <w:b/>
            <w:spacing w:val="-2"/>
            <w:w w:val="66"/>
            <w:sz w:val="20"/>
          </w:rPr>
          <w:t>o</w:t>
        </w:r>
        <w:r>
          <w:rPr>
            <w:rFonts w:ascii="Microsoft JhengHei" w:eastAsia="Microsoft JhengHei"/>
            <w:b/>
            <w:spacing w:val="-5"/>
            <w:w w:val="41"/>
            <w:sz w:val="20"/>
          </w:rPr>
          <w:t>m</w:t>
        </w:r>
        <w:r>
          <w:rPr>
            <w:rFonts w:ascii="Microsoft JhengHei" w:eastAsia="Microsoft JhengHei"/>
            <w:b/>
            <w:spacing w:val="-2"/>
            <w:w w:val="184"/>
            <w:sz w:val="20"/>
          </w:rPr>
          <w:t>.</w:t>
        </w:r>
        <w:r>
          <w:rPr>
            <w:rFonts w:ascii="Microsoft JhengHei" w:eastAsia="Microsoft JhengHei"/>
            <w:b/>
            <w:spacing w:val="-5"/>
            <w:w w:val="118"/>
            <w:sz w:val="20"/>
          </w:rPr>
          <w:t>t</w:t>
        </w:r>
        <w:r>
          <w:rPr>
            <w:rFonts w:ascii="Microsoft JhengHei" w:eastAsia="Microsoft JhengHei"/>
            <w:b/>
            <w:spacing w:val="1"/>
            <w:w w:val="50"/>
            <w:sz w:val="20"/>
          </w:rPr>
          <w:t>w</w:t>
        </w:r>
      </w:hyperlink>
      <w:r>
        <w:rPr>
          <w:rFonts w:ascii="Microsoft JhengHei" w:eastAsia="Microsoft JhengHei"/>
          <w:b/>
          <w:spacing w:val="-3"/>
          <w:w w:val="88"/>
          <w:sz w:val="20"/>
        </w:rPr>
        <w:t>）</w:t>
      </w:r>
    </w:p>
    <w:p>
      <w:pPr>
        <w:pStyle w:val="BodyText"/>
        <w:spacing w:before="253"/>
        <w:ind w:left="112"/>
      </w:pPr>
      <w:r>
        <w:rPr>
          <w:spacing w:val="-2"/>
        </w:rPr>
        <w:t>111.07.14</w:t>
      </w:r>
      <w:r>
        <w:rPr>
          <w:spacing w:val="-16"/>
        </w:rPr>
        <w:t> 國壽字第 </w:t>
      </w:r>
      <w:r>
        <w:rPr>
          <w:spacing w:val="-2"/>
        </w:rPr>
        <w:t>1110070024</w:t>
      </w:r>
      <w:r>
        <w:rPr>
          <w:spacing w:val="-12"/>
        </w:rPr>
        <w:t> 號函備查</w:t>
      </w:r>
    </w:p>
    <w:p>
      <w:pPr>
        <w:pStyle w:val="BodyText"/>
        <w:spacing w:before="5"/>
        <w:ind w:left="112"/>
      </w:pPr>
      <w:r>
        <w:rPr>
          <w:spacing w:val="-2"/>
        </w:rPr>
        <w:t>112.02.08</w:t>
      </w:r>
      <w:r>
        <w:rPr>
          <w:spacing w:val="-30"/>
        </w:rPr>
        <w:t> 依 </w:t>
      </w:r>
      <w:r>
        <w:rPr>
          <w:spacing w:val="-2"/>
        </w:rPr>
        <w:t>111.08.30</w:t>
      </w:r>
      <w:r>
        <w:rPr>
          <w:spacing w:val="-14"/>
        </w:rPr>
        <w:t> 金管保壽字第 </w:t>
      </w:r>
      <w:r>
        <w:rPr>
          <w:spacing w:val="-2"/>
        </w:rPr>
        <w:t>1110445485</w:t>
      </w:r>
      <w:r>
        <w:rPr>
          <w:spacing w:val="-13"/>
        </w:rPr>
        <w:t> 號函修正</w:t>
      </w:r>
    </w:p>
    <w:p>
      <w:pPr>
        <w:pStyle w:val="Heading1"/>
        <w:tabs>
          <w:tab w:pos="914" w:val="left" w:leader="none"/>
        </w:tabs>
        <w:spacing w:line="348" w:lineRule="exact" w:before="194"/>
      </w:pPr>
      <w:r>
        <w:rPr/>
        <w:drawing>
          <wp:anchor distT="0" distB="0" distL="0" distR="0" allowOverlap="1" layoutInCell="1" locked="0" behindDoc="1" simplePos="0" relativeHeight="487462912">
            <wp:simplePos x="0" y="0"/>
            <wp:positionH relativeFrom="page">
              <wp:posOffset>2873375</wp:posOffset>
            </wp:positionH>
            <wp:positionV relativeFrom="paragraph">
              <wp:posOffset>298875</wp:posOffset>
            </wp:positionV>
            <wp:extent cx="1836419" cy="442722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836419" cy="4427220"/>
                    </a:xfrm>
                    <a:prstGeom prst="rect">
                      <a:avLst/>
                    </a:prstGeom>
                  </pic:spPr>
                </pic:pic>
              </a:graphicData>
            </a:graphic>
          </wp:anchor>
        </w:drawing>
      </w:r>
      <w:r>
        <w:rPr>
          <w:spacing w:val="-2"/>
        </w:rPr>
        <w:t>第一</w:t>
      </w:r>
      <w:r>
        <w:rPr>
          <w:spacing w:val="-10"/>
        </w:rPr>
        <w:t>條</w:t>
      </w:r>
      <w:r>
        <w:rPr/>
        <w:tab/>
      </w:r>
      <w:r>
        <w:rPr>
          <w:spacing w:val="-2"/>
        </w:rPr>
        <w:t>保險契約的構</w:t>
      </w:r>
      <w:r>
        <w:rPr>
          <w:spacing w:val="-10"/>
        </w:rPr>
        <w:t>成</w:t>
      </w:r>
    </w:p>
    <w:p>
      <w:pPr>
        <w:pStyle w:val="BodyText"/>
        <w:spacing w:line="236" w:lineRule="exact"/>
      </w:pPr>
      <w:r>
        <w:rPr>
          <w:spacing w:val="-2"/>
        </w:rPr>
        <w:t>本保險單條款、附著之要保書、批註及其他約定書，均為本保險契約（以下簡稱本契約）</w:t>
      </w:r>
      <w:r>
        <w:rPr>
          <w:spacing w:val="-4"/>
        </w:rPr>
        <w:t>的構成部分。</w:t>
      </w:r>
    </w:p>
    <w:p>
      <w:pPr>
        <w:pStyle w:val="BodyText"/>
        <w:spacing w:line="244" w:lineRule="auto" w:before="3"/>
        <w:ind w:right="161"/>
      </w:pPr>
      <w:r>
        <w:rPr>
          <w:spacing w:val="-2"/>
        </w:rPr>
        <w:t>本契約的解釋，應探求契約當事人的真意，不得拘泥於所用的文字；如有疑義時，以作有利於被保險人</w:t>
      </w:r>
      <w:r>
        <w:rPr>
          <w:spacing w:val="-2"/>
        </w:rPr>
        <w:t>的解釋為原則。</w:t>
      </w:r>
    </w:p>
    <w:p>
      <w:pPr>
        <w:pStyle w:val="Heading1"/>
        <w:tabs>
          <w:tab w:pos="914" w:val="left" w:leader="none"/>
        </w:tabs>
        <w:spacing w:line="346" w:lineRule="exact" w:before="194"/>
      </w:pPr>
      <w:r>
        <w:rPr>
          <w:spacing w:val="-2"/>
        </w:rPr>
        <w:t>第二</w:t>
      </w:r>
      <w:r>
        <w:rPr>
          <w:spacing w:val="-10"/>
        </w:rPr>
        <w:t>條</w:t>
      </w:r>
      <w:r>
        <w:rPr/>
        <w:tab/>
      </w:r>
      <w:r>
        <w:rPr>
          <w:spacing w:val="-2"/>
        </w:rPr>
        <w:t>名詞定</w:t>
      </w:r>
      <w:r>
        <w:rPr>
          <w:spacing w:val="-10"/>
        </w:rPr>
        <w:t>義</w:t>
      </w:r>
    </w:p>
    <w:p>
      <w:pPr>
        <w:pStyle w:val="BodyText"/>
        <w:spacing w:line="235" w:lineRule="exact"/>
      </w:pPr>
      <w:r>
        <w:rPr>
          <w:spacing w:val="-3"/>
        </w:rPr>
        <w:t>本契約名詞定義如下：</w:t>
      </w:r>
    </w:p>
    <w:p>
      <w:pPr>
        <w:pStyle w:val="BodyText"/>
        <w:spacing w:line="244" w:lineRule="auto" w:before="3"/>
        <w:ind w:left="1114" w:right="156" w:hanging="401"/>
      </w:pPr>
      <w:r>
        <w:rPr>
          <w:spacing w:val="-2"/>
        </w:rPr>
        <w:t>一、「疾病」：指被保險人自本契約生效日起所發生之疾病。本公司對「疾病」所負的保險責任，自本</w:t>
      </w:r>
      <w:r>
        <w:rPr>
          <w:spacing w:val="-2"/>
        </w:rPr>
        <w:t>契約等待期間屆滿翌日或復效日開始。</w:t>
      </w:r>
    </w:p>
    <w:p>
      <w:pPr>
        <w:pStyle w:val="BodyText"/>
        <w:spacing w:line="242" w:lineRule="auto"/>
        <w:ind w:right="1393"/>
      </w:pPr>
      <w:r>
        <w:rPr>
          <w:spacing w:val="-2"/>
        </w:rPr>
        <w:t>二、「傷害」：指被保險人於本契約有效期間內，遭受意外傷害事故，因而蒙受之傷害。</w:t>
      </w:r>
      <w:r>
        <w:rPr>
          <w:spacing w:val="-2"/>
        </w:rPr>
        <w:t>三、「意外傷害事故」：指非由疾病引起之外來突發事故。</w:t>
      </w:r>
    </w:p>
    <w:p>
      <w:pPr>
        <w:pStyle w:val="BodyText"/>
        <w:spacing w:line="242" w:lineRule="auto" w:before="2"/>
        <w:ind w:left="1114" w:right="160" w:hanging="401"/>
      </w:pPr>
      <w:r>
        <w:rPr>
          <w:spacing w:val="-2"/>
        </w:rPr>
        <w:t>四、「第一類特定傷病」：指被保險人於投保前未曾罹患，而於本契約生效日起經醫院醫師診斷確定而</w:t>
      </w:r>
      <w:r>
        <w:rPr>
          <w:spacing w:val="-2"/>
        </w:rPr>
        <w:t>屬下列情形之一者為限：</w:t>
      </w:r>
    </w:p>
    <w:p>
      <w:pPr>
        <w:pStyle w:val="BodyText"/>
        <w:spacing w:before="3"/>
        <w:ind w:left="1212"/>
      </w:pPr>
      <w:r>
        <w:rPr>
          <w:spacing w:val="-2"/>
        </w:rPr>
        <w:t>(一)急性心肌梗塞（重度</w:t>
      </w:r>
      <w:r>
        <w:rPr>
          <w:spacing w:val="-5"/>
        </w:rPr>
        <w:t>）：</w:t>
      </w:r>
    </w:p>
    <w:p>
      <w:pPr>
        <w:pStyle w:val="BodyText"/>
        <w:spacing w:line="242" w:lineRule="auto" w:before="3"/>
        <w:ind w:left="1613" w:right="152"/>
      </w:pPr>
      <w:r>
        <w:rPr>
          <w:spacing w:val="-2"/>
        </w:rPr>
        <w:t>係指因冠狀動脈阻塞而導致部分心肌壞死，其診斷除了發病90天(含)後，經心臟影像檢查證實左心室功能射出分率低於50%(含)者之外，且同時具備下列至少二個條件：</w:t>
      </w:r>
    </w:p>
    <w:p>
      <w:pPr>
        <w:pStyle w:val="BodyText"/>
        <w:spacing w:before="3"/>
        <w:ind w:left="1632"/>
      </w:pPr>
      <w:r>
        <w:rPr>
          <w:spacing w:val="-2"/>
        </w:rPr>
        <w:t>1</w:t>
      </w:r>
      <w:r>
        <w:rPr>
          <w:spacing w:val="-3"/>
        </w:rPr>
        <w:t>、典型之胸痛症狀。</w:t>
      </w:r>
    </w:p>
    <w:p>
      <w:pPr>
        <w:pStyle w:val="BodyText"/>
        <w:spacing w:before="3"/>
        <w:ind w:left="1632"/>
      </w:pPr>
      <w:r>
        <w:rPr>
          <w:spacing w:val="-2"/>
        </w:rPr>
        <w:t>2</w:t>
      </w:r>
      <w:r>
        <w:rPr>
          <w:spacing w:val="-3"/>
        </w:rPr>
        <w:t>、最近心電圖的異常變化，顯示有心肌梗塞者。</w:t>
      </w:r>
    </w:p>
    <w:p>
      <w:pPr>
        <w:pStyle w:val="BodyText"/>
        <w:spacing w:line="242" w:lineRule="auto" w:before="6"/>
        <w:ind w:left="1212" w:right="1269" w:firstLine="420"/>
      </w:pPr>
      <w:r>
        <w:rPr>
          <w:spacing w:val="-2"/>
        </w:rPr>
        <w:t>3、心肌酶CK-MB有異常增高，或肌鈣蛋白T&gt;1.0ng/ml，或肌鈣蛋白I&gt;0.5ng/ml。 (二)腦中風後障礙（重度）：</w:t>
      </w:r>
    </w:p>
    <w:p>
      <w:pPr>
        <w:pStyle w:val="BodyText"/>
        <w:spacing w:line="244" w:lineRule="auto"/>
        <w:ind w:left="1632" w:right="151"/>
        <w:jc w:val="both"/>
      </w:pPr>
      <w:r>
        <w:rPr>
          <w:spacing w:val="-4"/>
        </w:rPr>
        <w:t>係指因腦血管的突發病變導致腦血管出血、栓塞、梗塞致永久性神經機能障礙者。所謂永久性神經機能障礙係指事故發生六個月後經神經科、神經外科或復健科專科醫師認定仍遺留下列機</w:t>
      </w:r>
      <w:r>
        <w:rPr>
          <w:spacing w:val="-2"/>
        </w:rPr>
        <w:t>能障礙之一者：</w:t>
      </w:r>
    </w:p>
    <w:p>
      <w:pPr>
        <w:pStyle w:val="BodyText"/>
        <w:spacing w:line="252" w:lineRule="exact"/>
        <w:ind w:left="1632"/>
      </w:pPr>
      <w:r>
        <w:rPr>
          <w:spacing w:val="-2"/>
        </w:rPr>
        <w:t>1</w:t>
      </w:r>
      <w:r>
        <w:rPr>
          <w:spacing w:val="-4"/>
        </w:rPr>
        <w:t>、植物人狀態。</w:t>
      </w:r>
    </w:p>
    <w:p>
      <w:pPr>
        <w:pStyle w:val="BodyText"/>
        <w:spacing w:line="242" w:lineRule="auto" w:before="6"/>
        <w:ind w:left="1913" w:right="2571" w:hanging="281"/>
      </w:pPr>
      <w:r>
        <w:rPr>
          <w:spacing w:val="-2"/>
        </w:rPr>
        <w:t>2、一上肢三大關節或一下肢三大關節遺留下列機能障礙之一者： (1)關節機能完全不能隨意識活動。</w:t>
      </w:r>
    </w:p>
    <w:p>
      <w:pPr>
        <w:pStyle w:val="BodyText"/>
        <w:spacing w:line="242" w:lineRule="auto" w:before="3"/>
        <w:ind w:left="1913" w:right="1089"/>
      </w:pPr>
      <w:r>
        <w:rPr>
          <w:spacing w:val="-2"/>
        </w:rPr>
        <w:t>(2)肌力在2分（含）以下者(肌力2分是指可做水平運動，但無法抗地心引力)。上肢三大關節包括肩、肘、腕關節，下肢三大關節包括髖、膝、踝關節。</w:t>
      </w:r>
    </w:p>
    <w:p>
      <w:pPr>
        <w:pStyle w:val="BodyText"/>
        <w:spacing w:line="244" w:lineRule="auto" w:before="1"/>
        <w:ind w:left="1932" w:right="174" w:hanging="300"/>
        <w:jc w:val="both"/>
      </w:pPr>
      <w:r>
        <w:rPr>
          <w:spacing w:val="-2"/>
        </w:rPr>
        <w:t>3、兩肢（含）以上運動或感覺障礙而無法自理日常生活者。所謂無法自理日常生活者，係指</w:t>
      </w:r>
      <w:r>
        <w:rPr>
          <w:spacing w:val="-2"/>
        </w:rPr>
        <w:t>食物攝取、大小便始末、穿脫衣服、起居、步行、入浴等，皆不能自己為之，經常需要他人加以扶助之狀態。</w:t>
      </w:r>
    </w:p>
    <w:p>
      <w:pPr>
        <w:pStyle w:val="BodyText"/>
        <w:spacing w:line="242" w:lineRule="auto"/>
        <w:ind w:left="1932" w:right="173" w:hanging="300"/>
        <w:jc w:val="both"/>
      </w:pPr>
      <w:r>
        <w:rPr>
          <w:spacing w:val="-2"/>
        </w:rPr>
        <w:t>4、喪失言語或咀嚼機能者。言語機能的喪失係指因腦部言語中樞神經的損傷而患失語症者。</w:t>
      </w:r>
      <w:r>
        <w:rPr>
          <w:spacing w:val="-2"/>
        </w:rPr>
        <w:t>所謂咀嚼機能的喪失係指由於牙齒以外之原因所引起的機能障礙，以致不能做咀嚼運動，除流質食物以外不能攝取之狀態。</w:t>
      </w:r>
    </w:p>
    <w:p>
      <w:pPr>
        <w:pStyle w:val="BodyText"/>
        <w:spacing w:before="2"/>
        <w:ind w:left="1212"/>
      </w:pPr>
      <w:r>
        <w:rPr>
          <w:spacing w:val="-3"/>
        </w:rPr>
        <w:t>(三)冠狀動脈繞道手術：</w:t>
      </w:r>
    </w:p>
    <w:p>
      <w:pPr>
        <w:pStyle w:val="BodyText"/>
        <w:spacing w:line="244" w:lineRule="auto" w:before="3"/>
        <w:ind w:left="1632" w:right="163"/>
      </w:pPr>
      <w:r>
        <w:rPr>
          <w:spacing w:val="-2"/>
        </w:rPr>
        <w:t>係指因冠狀動脈疾病而有持續性心肌缺氧造成心絞痛或心臟衰竭，並接受冠狀動脈繞道手術者。其他手術不包括在內。</w:t>
      </w:r>
    </w:p>
    <w:p>
      <w:pPr>
        <w:pStyle w:val="BodyText"/>
        <w:spacing w:line="254" w:lineRule="exact"/>
        <w:ind w:left="1212"/>
      </w:pPr>
      <w:r>
        <w:rPr>
          <w:spacing w:val="-3"/>
        </w:rPr>
        <w:t>(四)心臟瓣膜開心手術：</w:t>
      </w:r>
    </w:p>
    <w:p>
      <w:pPr>
        <w:pStyle w:val="BodyText"/>
        <w:spacing w:line="244" w:lineRule="auto" w:before="3"/>
        <w:ind w:left="1632" w:right="163"/>
      </w:pPr>
      <w:r>
        <w:rPr>
          <w:spacing w:val="1"/>
          <w:w w:val="99"/>
        </w:rPr>
        <w:t>係指以體外循環方式施行經胸開心之心臟瓣膜手術，以置換或矯正一個或一個以上之心臟瓣</w:t>
      </w:r>
      <w:r>
        <w:rPr>
          <w:spacing w:val="2"/>
          <w:w w:val="99"/>
        </w:rPr>
        <w:t>膜。</w:t>
      </w:r>
    </w:p>
    <w:p>
      <w:pPr>
        <w:pStyle w:val="BodyText"/>
        <w:spacing w:line="254" w:lineRule="exact"/>
        <w:ind w:left="1632"/>
      </w:pPr>
      <w:r>
        <w:rPr>
          <w:spacing w:val="-3"/>
        </w:rPr>
        <w:t>單純介入性心導管術除外。</w:t>
      </w:r>
    </w:p>
    <w:p>
      <w:pPr>
        <w:spacing w:after="0" w:line="254" w:lineRule="exact"/>
        <w:sectPr>
          <w:footerReference w:type="default" r:id="rId5"/>
          <w:type w:val="continuous"/>
          <w:pgSz w:w="11910" w:h="16840"/>
          <w:pgMar w:header="0" w:footer="855" w:top="1380" w:bottom="1040" w:left="1020" w:right="980"/>
          <w:pgNumType w:start="1"/>
        </w:sectPr>
      </w:pPr>
    </w:p>
    <w:p>
      <w:pPr>
        <w:pStyle w:val="BodyText"/>
        <w:spacing w:before="47"/>
        <w:ind w:left="1212"/>
      </w:pPr>
      <w:r>
        <w:rPr>
          <w:spacing w:val="-3"/>
        </w:rPr>
        <w:t>(五)主動脈外科置換手術：</w:t>
      </w:r>
    </w:p>
    <w:p>
      <w:pPr>
        <w:pStyle w:val="BodyText"/>
        <w:spacing w:line="244" w:lineRule="auto" w:before="3"/>
        <w:ind w:left="1632" w:right="155"/>
        <w:jc w:val="both"/>
      </w:pPr>
      <w:r>
        <w:rPr>
          <w:spacing w:val="-2"/>
          <w:w w:val="99"/>
        </w:rPr>
        <w:t>係指為治療主動脈血管疾病</w:t>
      </w:r>
      <w:r>
        <w:rPr>
          <w:spacing w:val="2"/>
          <w:w w:val="99"/>
        </w:rPr>
        <w:t>（</w:t>
      </w:r>
      <w:r>
        <w:rPr>
          <w:spacing w:val="-8"/>
          <w:w w:val="99"/>
        </w:rPr>
        <w:t>主動脈包含升主動脈、主動脈弓、降主動脈及腹主動脈，不含髂</w:t>
      </w:r>
      <w:r>
        <w:rPr>
          <w:spacing w:val="2"/>
          <w:w w:val="99"/>
        </w:rPr>
        <w:t>動脈或其他主動脈之分支血管</w:t>
      </w:r>
      <w:r>
        <w:rPr>
          <w:spacing w:val="4"/>
          <w:w w:val="99"/>
        </w:rPr>
        <w:t>）</w:t>
      </w:r>
      <w:r>
        <w:rPr>
          <w:spacing w:val="1"/>
          <w:w w:val="99"/>
        </w:rPr>
        <w:t>而經胸或腹部切開施行主動脈血管切除併修補置換之外科手</w:t>
      </w:r>
      <w:r>
        <w:rPr>
          <w:spacing w:val="2"/>
          <w:w w:val="99"/>
        </w:rPr>
        <w:t>術。</w:t>
      </w:r>
    </w:p>
    <w:p>
      <w:pPr>
        <w:pStyle w:val="BodyText"/>
        <w:spacing w:line="252" w:lineRule="exact"/>
        <w:ind w:left="1632"/>
      </w:pPr>
      <w:r>
        <w:rPr>
          <w:spacing w:val="-3"/>
        </w:rPr>
        <w:t>單純套膜支架置放術或其他介入性導管術除外。</w:t>
      </w:r>
    </w:p>
    <w:p>
      <w:pPr>
        <w:pStyle w:val="BodyText"/>
        <w:spacing w:before="27"/>
        <w:ind w:left="1114"/>
      </w:pPr>
      <w:r>
        <w:rPr>
          <w:spacing w:val="-3"/>
        </w:rPr>
        <w:t>本公司對「第一類特定傷病」所負的保險責任，自本契約等待期間屆滿翌日或復效日開始。</w:t>
      </w:r>
    </w:p>
    <w:p>
      <w:pPr>
        <w:pStyle w:val="BodyText"/>
        <w:spacing w:line="242" w:lineRule="auto" w:before="22"/>
        <w:ind w:left="1114" w:right="155" w:hanging="401"/>
      </w:pPr>
      <w:r>
        <w:rPr>
          <w:spacing w:val="-2"/>
        </w:rPr>
        <w:t>五、「第二類特定傷病及手術」：指被保險人於投保前未曾罹患，而於本契約生效日起經醫院醫師診斷</w:t>
      </w:r>
      <w:r>
        <w:rPr>
          <w:spacing w:val="-2"/>
        </w:rPr>
        <w:t>確定而屬下列情形之一者為限：</w:t>
      </w:r>
    </w:p>
    <w:p>
      <w:pPr>
        <w:pStyle w:val="BodyText"/>
        <w:spacing w:before="4"/>
        <w:ind w:left="1013"/>
      </w:pPr>
      <w:r>
        <w:rPr>
          <w:spacing w:val="-4"/>
        </w:rPr>
        <w:t>(一)急性心肌梗塞(輕度)：</w:t>
      </w:r>
    </w:p>
    <w:p>
      <w:pPr>
        <w:pStyle w:val="BodyText"/>
        <w:spacing w:line="244" w:lineRule="auto" w:before="2"/>
        <w:ind w:left="1414" w:right="151"/>
        <w:jc w:val="both"/>
      </w:pPr>
      <w:r>
        <w:rPr>
          <w:spacing w:val="-2"/>
        </w:rPr>
        <w:t>係指因冠狀動脈阻塞而導致部分心肌壞死，其診斷必須同時具備下列至少二個條件：1.典型之胸</w:t>
      </w:r>
      <w:r>
        <w:rPr>
          <w:spacing w:val="-2"/>
        </w:rPr>
        <w:t>痛症狀。2.最近心電圖的異常變化，顯示有心肌梗塞者。3.心肌酶CK-MB有異常增高，或肌鈣蛋白T&gt;1.0ng/ml，或肌鈣蛋白I&gt;0.5ng/ml。</w:t>
      </w:r>
    </w:p>
    <w:p>
      <w:pPr>
        <w:pStyle w:val="BodyText"/>
        <w:spacing w:line="252" w:lineRule="exact"/>
        <w:ind w:left="1013"/>
      </w:pPr>
      <w:r>
        <w:rPr>
          <w:spacing w:val="-4"/>
        </w:rPr>
        <w:t>(二)腦中風後障礙(輕度)：</w:t>
      </w:r>
    </w:p>
    <w:p>
      <w:pPr>
        <w:pStyle w:val="BodyText"/>
        <w:spacing w:line="242" w:lineRule="auto" w:before="6"/>
        <w:ind w:left="1414" w:right="152"/>
        <w:jc w:val="both"/>
      </w:pPr>
      <w:r>
        <w:rPr/>
        <w:drawing>
          <wp:anchor distT="0" distB="0" distL="0" distR="0" allowOverlap="1" layoutInCell="1" locked="0" behindDoc="1" simplePos="0" relativeHeight="487463424">
            <wp:simplePos x="0" y="0"/>
            <wp:positionH relativeFrom="page">
              <wp:posOffset>2873375</wp:posOffset>
            </wp:positionH>
            <wp:positionV relativeFrom="paragraph">
              <wp:posOffset>77930</wp:posOffset>
            </wp:positionV>
            <wp:extent cx="1836419" cy="4427220"/>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1836419" cy="4427220"/>
                    </a:xfrm>
                    <a:prstGeom prst="rect">
                      <a:avLst/>
                    </a:prstGeom>
                  </pic:spPr>
                </pic:pic>
              </a:graphicData>
            </a:graphic>
          </wp:anchor>
        </w:drawing>
      </w:r>
      <w:r>
        <w:rPr>
          <w:spacing w:val="-2"/>
        </w:rPr>
        <w:t>係指因腦血管的突發病變導致腦血管出血、栓塞、梗塞，於事故發生六個月後經神經科、神經外科或復健科專科醫師認定一上肢肩、肘及腕關節，或一下肢髖、膝及踝關節，永久遺存運動障害者。前開「運動障害」，係指肌力3分者（肌力3分是指可抗重力活動，但無法抵抗外力）。</w:t>
      </w:r>
    </w:p>
    <w:p>
      <w:pPr>
        <w:pStyle w:val="BodyText"/>
        <w:spacing w:before="4"/>
        <w:ind w:left="1013"/>
      </w:pPr>
      <w:r>
        <w:rPr>
          <w:spacing w:val="-3"/>
        </w:rPr>
        <w:t>(三)因疾病或傷害接受下列手術之一者：</w:t>
      </w:r>
    </w:p>
    <w:p>
      <w:pPr>
        <w:pStyle w:val="BodyText"/>
        <w:spacing w:line="242" w:lineRule="auto" w:before="3"/>
        <w:ind w:left="1414" w:right="148"/>
        <w:jc w:val="both"/>
      </w:pPr>
      <w:r>
        <w:rPr>
          <w:spacing w:val="-2"/>
        </w:rPr>
        <w:t>心臟血管支架置放術、心律調節器植入術、腦室腹腔分流手術、心室輔助裝置植入術、兩個瓣膜換置手術、三個瓣膜換置手術、主動脈瓣或二尖瓣或三尖瓣之置換手術、動脈栓塞物切除術、經動脈導管之栓塞物切除術、靜脈血栓切除術、動脈內膜切除術、血管吻合術、動脈縫合、探查性心包膜切開術、心包膜穿刺放液術、心包膜切除術、胸腔鏡心包膜開窗術。</w:t>
      </w:r>
    </w:p>
    <w:p>
      <w:pPr>
        <w:pStyle w:val="BodyText"/>
        <w:spacing w:line="242" w:lineRule="auto" w:before="9"/>
        <w:ind w:left="1114" w:right="156"/>
      </w:pPr>
      <w:r>
        <w:rPr>
          <w:spacing w:val="-2"/>
        </w:rPr>
        <w:t>本公司對「第二類特定傷病及手術」所負的保險責任，自本契約等待期間屆滿翌日或復效日開始。</w:t>
      </w:r>
      <w:r>
        <w:rPr>
          <w:spacing w:val="-2"/>
        </w:rPr>
        <w:t>但被保險人因遭受意外傷害事故致成本款第三目接受手術之一者，不受等待期間之限制。</w:t>
      </w:r>
    </w:p>
    <w:p>
      <w:pPr>
        <w:pStyle w:val="BodyText"/>
      </w:pPr>
      <w:r>
        <w:rPr>
          <w:spacing w:val="-3"/>
        </w:rPr>
        <w:t>六、「等待期間」：指自本契約生效日起持續有效三十日之期間。</w:t>
      </w:r>
    </w:p>
    <w:p>
      <w:pPr>
        <w:pStyle w:val="BodyText"/>
        <w:spacing w:line="242" w:lineRule="auto" w:before="3"/>
        <w:ind w:right="594"/>
      </w:pPr>
      <w:r>
        <w:rPr>
          <w:spacing w:val="-2"/>
        </w:rPr>
        <w:t>七、「醫院」：指依照醫療法規定領有開業執照並設有病房收治病人之公、私立及醫療法人醫院。</w:t>
      </w:r>
      <w:r>
        <w:rPr>
          <w:spacing w:val="-2"/>
        </w:rPr>
        <w:t>八、「醫師」：指領有醫師證書及執業證書，合法執業者。</w:t>
      </w:r>
    </w:p>
    <w:p>
      <w:pPr>
        <w:pStyle w:val="BodyText"/>
        <w:spacing w:line="242" w:lineRule="auto" w:before="4"/>
        <w:ind w:left="1212" w:right="160" w:hanging="500"/>
      </w:pPr>
      <w:r>
        <w:rPr>
          <w:spacing w:val="-2"/>
        </w:rPr>
        <w:t>九、「專科醫師」：指經醫師考試及格完成專科醫師訓練，並經衛生福利部甄審合格，領有專科醫師證</w:t>
      </w:r>
      <w:r>
        <w:rPr>
          <w:spacing w:val="-4"/>
        </w:rPr>
        <w:t>書者。</w:t>
      </w:r>
    </w:p>
    <w:p>
      <w:pPr>
        <w:pStyle w:val="BodyText"/>
        <w:spacing w:before="3"/>
      </w:pPr>
      <w:r>
        <w:rPr>
          <w:spacing w:val="-3"/>
        </w:rPr>
        <w:t>十、「指定期間」：</w:t>
      </w:r>
    </w:p>
    <w:p>
      <w:pPr>
        <w:pStyle w:val="BodyText"/>
        <w:spacing w:line="225" w:lineRule="exact" w:before="3"/>
        <w:ind w:left="1114"/>
      </w:pPr>
      <w:r>
        <w:rPr>
          <w:spacing w:val="-3"/>
        </w:rPr>
        <w:t>(一)第一保險單年度：指自本契約生效日的次月一日起算十個完整曆月之期間。</w:t>
      </w:r>
    </w:p>
    <w:p>
      <w:pPr>
        <w:pStyle w:val="BodyText"/>
        <w:spacing w:line="211" w:lineRule="auto"/>
        <w:ind w:left="1512" w:right="155" w:hanging="399"/>
      </w:pPr>
      <w:r>
        <w:rPr>
          <w:spacing w:val="-2"/>
        </w:rPr>
        <w:t>(二)第二保險單年度及其後各保險單年度</w:t>
      </w:r>
      <w:r>
        <w:rPr>
          <w:rFonts w:ascii="Malgun Gothic" w:eastAsia="Malgun Gothic"/>
          <w:spacing w:val="-2"/>
        </w:rPr>
        <w:t>：</w:t>
      </w:r>
      <w:r>
        <w:rPr>
          <w:spacing w:val="-2"/>
        </w:rPr>
        <w:t>指自該保險單年度始日前一個月的一日起算十二個完整</w:t>
      </w:r>
      <w:r>
        <w:rPr>
          <w:spacing w:val="-2"/>
        </w:rPr>
        <w:t>曆月之期間，之後以此類推。</w:t>
      </w:r>
    </w:p>
    <w:p>
      <w:pPr>
        <w:pStyle w:val="BodyText"/>
        <w:spacing w:line="244" w:lineRule="auto" w:before="11"/>
        <w:ind w:left="1114" w:right="148"/>
      </w:pPr>
      <w:r>
        <w:rPr>
          <w:spacing w:val="-2"/>
        </w:rPr>
        <w:t>（例如被保險人112年1月1日投保，則第一保險單年度之「指定期間」為112年2月1日至112年11月30日；第二保險單年度之「指定期間」則為112年12月1日至113年11月30日）</w:t>
      </w:r>
    </w:p>
    <w:p>
      <w:pPr>
        <w:pStyle w:val="BodyText"/>
        <w:spacing w:line="254" w:lineRule="exact"/>
      </w:pPr>
      <w:r>
        <w:rPr>
          <w:spacing w:val="-3"/>
        </w:rPr>
        <w:t>十一、「體重證明文件」：指被保險人可以下列兩種體重證明文件擇一提供：</w:t>
      </w:r>
    </w:p>
    <w:p>
      <w:pPr>
        <w:pStyle w:val="BodyText"/>
        <w:spacing w:line="244" w:lineRule="auto" w:before="2"/>
        <w:ind w:left="1713" w:right="150" w:hanging="401"/>
      </w:pPr>
      <w:r>
        <w:rPr>
          <w:spacing w:val="-2"/>
        </w:rPr>
        <w:t>(一)健康檢查報告：指經主管機關核准登記並領有開業執照之醫療機構或醫事檢驗所之合格醫事人員所作成，至少包含被保險人體重數值之檢查報告。</w:t>
      </w:r>
    </w:p>
    <w:p>
      <w:pPr>
        <w:pStyle w:val="BodyText"/>
        <w:spacing w:line="244" w:lineRule="auto"/>
        <w:ind w:left="1713" w:right="156" w:hanging="401"/>
      </w:pPr>
      <w:r>
        <w:rPr>
          <w:spacing w:val="-2"/>
        </w:rPr>
        <w:t>(二)體重量測照片：指被保險人量測體重時之全身含體重機照片、體重機數字照片共兩張，本公司保有調整體重量測照片規則之權利，若有調整將公告於本公司官方網站。</w:t>
      </w:r>
    </w:p>
    <w:p>
      <w:pPr>
        <w:pStyle w:val="BodyText"/>
        <w:spacing w:line="244" w:lineRule="auto"/>
        <w:ind w:left="1313" w:right="149" w:hanging="600"/>
        <w:jc w:val="both"/>
      </w:pPr>
      <w:r>
        <w:rPr>
          <w:spacing w:val="-2"/>
        </w:rPr>
        <w:t>十二、「身體質量指數(BMI)」：指體重(公斤)除以身高(公尺)的平方，BMI數值無條件捨去至小數點後第一位，其中體重係指該次提供之體重證明文件內體重數值(四捨五入至小數點後第一位)、身高係指要保書填寫之身高數值(以公尺為單位，四捨五入至小數點後第兩位)。</w:t>
      </w:r>
    </w:p>
    <w:p>
      <w:pPr>
        <w:pStyle w:val="BodyText"/>
        <w:spacing w:line="244" w:lineRule="auto"/>
        <w:ind w:left="1313" w:right="151" w:hanging="600"/>
      </w:pPr>
      <w:r>
        <w:rPr>
          <w:spacing w:val="-2"/>
        </w:rPr>
        <w:t>十三、「本次體重數值」：指被保險人依本公司指定方式提供之體重證明文件內體重數值(四捨五入至小</w:t>
      </w:r>
      <w:r>
        <w:rPr>
          <w:spacing w:val="-2"/>
        </w:rPr>
        <w:t>數點後第一位)。</w:t>
      </w:r>
    </w:p>
    <w:p>
      <w:pPr>
        <w:pStyle w:val="BodyText"/>
        <w:spacing w:line="244" w:lineRule="auto"/>
        <w:ind w:left="1313" w:right="148" w:hanging="600"/>
        <w:jc w:val="both"/>
      </w:pPr>
      <w:r>
        <w:rPr>
          <w:spacing w:val="-2"/>
        </w:rPr>
        <w:t>十四、「前次體重數值」：指被保險人前一次依本公司指定方式提供之體重證明文件內體重數值(四捨五入至小數點後第一位)，若被保險人投保後未曾提供體重證明文件，則係指要保書之體重數值(四捨五入至小數點後第一位)。</w:t>
      </w:r>
    </w:p>
    <w:p>
      <w:pPr>
        <w:pStyle w:val="Heading1"/>
        <w:tabs>
          <w:tab w:pos="914" w:val="left" w:leader="none"/>
        </w:tabs>
        <w:spacing w:before="185"/>
      </w:pPr>
      <w:r>
        <w:rPr>
          <w:spacing w:val="-2"/>
        </w:rPr>
        <w:t>第三</w:t>
      </w:r>
      <w:r>
        <w:rPr>
          <w:spacing w:val="-10"/>
        </w:rPr>
        <w:t>條</w:t>
      </w:r>
      <w:r>
        <w:rPr/>
        <w:tab/>
      </w:r>
      <w:r>
        <w:rPr>
          <w:spacing w:val="-2"/>
        </w:rPr>
        <w:t>契約撤銷</w:t>
      </w:r>
      <w:r>
        <w:rPr>
          <w:spacing w:val="-10"/>
        </w:rPr>
        <w:t>權</w:t>
      </w:r>
    </w:p>
    <w:p>
      <w:pPr>
        <w:pStyle w:val="BodyText"/>
        <w:spacing w:line="234" w:lineRule="exact"/>
      </w:pPr>
      <w:r>
        <w:rPr>
          <w:spacing w:val="-3"/>
        </w:rPr>
        <w:t>要保人於保險單送達的翌日起算十日內，得以書面或其他約定方式檢同保險單向本公司撤銷本契約。</w:t>
      </w:r>
    </w:p>
    <w:p>
      <w:pPr>
        <w:pStyle w:val="BodyText"/>
        <w:spacing w:line="244" w:lineRule="auto" w:before="3"/>
        <w:ind w:right="161"/>
        <w:jc w:val="both"/>
      </w:pPr>
      <w:r>
        <w:rPr>
          <w:spacing w:val="-2"/>
        </w:rPr>
        <w:t>要保人依前項規定行使本契約撤銷權者，撤銷的效力應自要保人書面或其他約定方式之意思表示到達翌</w:t>
      </w:r>
      <w:r>
        <w:rPr>
          <w:spacing w:val="-2"/>
        </w:rPr>
        <w:t>日零時起生效，本契約自始無效，本公司應無息退還要保人所繳保險費；本契約撤銷生效後所發生的保</w:t>
      </w:r>
      <w:r>
        <w:rPr>
          <w:spacing w:val="-3"/>
        </w:rPr>
        <w:t>險事故，本公司不負保險責任。但契約撤銷生效前，若發生保險事故者，視為未撤銷，本公司仍應依本</w:t>
      </w:r>
    </w:p>
    <w:p>
      <w:pPr>
        <w:spacing w:after="0" w:line="244" w:lineRule="auto"/>
        <w:jc w:val="both"/>
        <w:sectPr>
          <w:pgSz w:w="11910" w:h="16840"/>
          <w:pgMar w:header="0" w:footer="855" w:top="1340" w:bottom="1040" w:left="1020" w:right="980"/>
        </w:sectPr>
      </w:pPr>
    </w:p>
    <w:p>
      <w:pPr>
        <w:pStyle w:val="BodyText"/>
        <w:spacing w:before="47"/>
      </w:pPr>
      <w:r>
        <w:rPr>
          <w:spacing w:val="-3"/>
        </w:rPr>
        <w:t>契約規定負保險責任。</w:t>
      </w:r>
    </w:p>
    <w:p>
      <w:pPr>
        <w:pStyle w:val="Heading1"/>
        <w:tabs>
          <w:tab w:pos="914" w:val="left" w:leader="none"/>
        </w:tabs>
      </w:pPr>
      <w:r>
        <w:rPr>
          <w:spacing w:val="-2"/>
        </w:rPr>
        <w:t>第四</w:t>
      </w:r>
      <w:r>
        <w:rPr>
          <w:spacing w:val="-10"/>
        </w:rPr>
        <w:t>條</w:t>
      </w:r>
      <w:r>
        <w:rPr/>
        <w:tab/>
      </w:r>
      <w:r>
        <w:rPr>
          <w:spacing w:val="-2"/>
        </w:rPr>
        <w:t>契約生效、保險責任的開始及交付保險</w:t>
      </w:r>
      <w:r>
        <w:rPr>
          <w:spacing w:val="-10"/>
        </w:rPr>
        <w:t>費</w:t>
      </w:r>
    </w:p>
    <w:p>
      <w:pPr>
        <w:pStyle w:val="BodyText"/>
        <w:spacing w:line="234" w:lineRule="exact"/>
      </w:pPr>
      <w:r>
        <w:rPr>
          <w:spacing w:val="-3"/>
        </w:rPr>
        <w:t>本契約自本公司同意承保並收取第一期保險費時開始生效，本公司並應發給保險單作為承保的憑證。</w:t>
      </w:r>
    </w:p>
    <w:p>
      <w:pPr>
        <w:pStyle w:val="BodyText"/>
        <w:spacing w:line="244" w:lineRule="auto" w:before="3"/>
        <w:ind w:right="156"/>
      </w:pPr>
      <w:r>
        <w:rPr>
          <w:spacing w:val="-2"/>
        </w:rPr>
        <w:t>本公司如於同意承保前，預收相當於第一期保險費之金額時，以同意承保時溯自預收相當於第一期保險</w:t>
      </w:r>
      <w:r>
        <w:rPr>
          <w:spacing w:val="-2"/>
        </w:rPr>
        <w:t>費金額時本契約開始生效。</w:t>
      </w:r>
    </w:p>
    <w:p>
      <w:pPr>
        <w:pStyle w:val="BodyText"/>
        <w:spacing w:line="244" w:lineRule="auto" w:before="1"/>
        <w:ind w:right="155"/>
      </w:pPr>
      <w:r>
        <w:rPr>
          <w:spacing w:val="-2"/>
        </w:rPr>
        <w:t>本公司對本契約應負的保險責任始期，自本契約等待期間屆滿翌日或復效日開始。但被保險人因遭受意</w:t>
      </w:r>
      <w:r>
        <w:rPr>
          <w:spacing w:val="-2"/>
        </w:rPr>
        <w:t>外傷害事故致成第二條第五款第三目接受手術之一者，不受等待期間之限制。</w:t>
      </w:r>
    </w:p>
    <w:p>
      <w:pPr>
        <w:pStyle w:val="Heading1"/>
        <w:tabs>
          <w:tab w:pos="914" w:val="left" w:leader="none"/>
        </w:tabs>
        <w:spacing w:line="346" w:lineRule="exact" w:before="191"/>
      </w:pPr>
      <w:r>
        <w:rPr>
          <w:spacing w:val="-2"/>
        </w:rPr>
        <w:t>第五</w:t>
      </w:r>
      <w:r>
        <w:rPr>
          <w:spacing w:val="-10"/>
        </w:rPr>
        <w:t>條</w:t>
      </w:r>
      <w:r>
        <w:rPr/>
        <w:tab/>
      </w:r>
      <w:r>
        <w:rPr>
          <w:spacing w:val="-2"/>
        </w:rPr>
        <w:t>保險範</w:t>
      </w:r>
      <w:r>
        <w:rPr>
          <w:spacing w:val="-10"/>
        </w:rPr>
        <w:t>圍</w:t>
      </w:r>
    </w:p>
    <w:p>
      <w:pPr>
        <w:pStyle w:val="BodyText"/>
        <w:spacing w:line="235" w:lineRule="exact"/>
      </w:pPr>
      <w:r>
        <w:rPr>
          <w:spacing w:val="-3"/>
        </w:rPr>
        <w:t>被保險人於本契約有效期間內罹患第二條約定之「第一類特定傷病」或「第二類特定傷病及手術」時，</w:t>
      </w:r>
    </w:p>
    <w:p>
      <w:pPr>
        <w:pStyle w:val="BodyText"/>
        <w:spacing w:before="3"/>
      </w:pPr>
      <w:r>
        <w:rPr>
          <w:spacing w:val="-3"/>
        </w:rPr>
        <w:t>本公司依照本契約約定給付保險金。</w:t>
      </w:r>
    </w:p>
    <w:p>
      <w:pPr>
        <w:pStyle w:val="Heading1"/>
        <w:tabs>
          <w:tab w:pos="914" w:val="left" w:leader="none"/>
        </w:tabs>
      </w:pPr>
      <w:r>
        <w:rPr/>
        <w:drawing>
          <wp:anchor distT="0" distB="0" distL="0" distR="0" allowOverlap="1" layoutInCell="1" locked="0" behindDoc="1" simplePos="0" relativeHeight="487463936">
            <wp:simplePos x="0" y="0"/>
            <wp:positionH relativeFrom="page">
              <wp:posOffset>2873375</wp:posOffset>
            </wp:positionH>
            <wp:positionV relativeFrom="paragraph">
              <wp:posOffset>268013</wp:posOffset>
            </wp:positionV>
            <wp:extent cx="1836419" cy="4427220"/>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1836419" cy="4427220"/>
                    </a:xfrm>
                    <a:prstGeom prst="rect">
                      <a:avLst/>
                    </a:prstGeom>
                  </pic:spPr>
                </pic:pic>
              </a:graphicData>
            </a:graphic>
          </wp:anchor>
        </w:drawing>
      </w:r>
      <w:r>
        <w:rPr>
          <w:spacing w:val="-2"/>
        </w:rPr>
        <w:t>第六</w:t>
      </w:r>
      <w:r>
        <w:rPr>
          <w:spacing w:val="-10"/>
        </w:rPr>
        <w:t>條</w:t>
      </w:r>
      <w:r>
        <w:rPr/>
        <w:tab/>
      </w:r>
      <w:r>
        <w:rPr>
          <w:spacing w:val="-2"/>
        </w:rPr>
        <w:t>第二期以後保險費的交付、寬限期間及契約效力的停</w:t>
      </w:r>
      <w:r>
        <w:rPr>
          <w:spacing w:val="-10"/>
        </w:rPr>
        <w:t>止</w:t>
      </w:r>
    </w:p>
    <w:p>
      <w:pPr>
        <w:pStyle w:val="BodyText"/>
        <w:spacing w:line="234" w:lineRule="exact"/>
      </w:pPr>
      <w:r>
        <w:rPr>
          <w:spacing w:val="-3"/>
        </w:rPr>
        <w:t>分期繳納的第二期以後保險費，應照本契約所載交付方法及日期，向本公司所在地或指定地點交付，本</w:t>
      </w:r>
    </w:p>
    <w:p>
      <w:pPr>
        <w:pStyle w:val="BodyText"/>
        <w:spacing w:line="244" w:lineRule="auto" w:before="5"/>
        <w:ind w:right="107"/>
        <w:jc w:val="both"/>
      </w:pPr>
      <w:r>
        <w:rPr>
          <w:spacing w:val="-2"/>
        </w:rPr>
        <w:t>公司將交付開發之憑證。第二期以後分期保險費到期未交付時，年繳或半年繳者，自催告到達翌日起三</w:t>
      </w:r>
      <w:r>
        <w:rPr>
          <w:spacing w:val="-4"/>
        </w:rPr>
        <w:t>十日內為寬限期間；月繳或季繳者，則不另為催告，自保險單所載交付日期之翌日起三十日為寬限期間。</w:t>
      </w:r>
      <w:r>
        <w:rPr>
          <w:spacing w:val="-2"/>
        </w:rPr>
        <w:t>約定以金融機構轉帳或其他方式交付第二期以後的分期保險費者，本公司於知悉未能依此項約定受領保險費時，應催告要保人交付保險費，自催告到達翌日起三十日內為寬限期間。</w:t>
      </w:r>
    </w:p>
    <w:p>
      <w:pPr>
        <w:pStyle w:val="BodyText"/>
        <w:spacing w:line="244" w:lineRule="auto"/>
        <w:ind w:right="161"/>
      </w:pPr>
      <w:r>
        <w:rPr>
          <w:spacing w:val="-2"/>
        </w:rPr>
        <w:t>前二項對要保人之催告，本公司另應通知被保險人以確保其權益。對被保險人之通知，依最後留存於本</w:t>
      </w:r>
      <w:r>
        <w:rPr>
          <w:spacing w:val="-2"/>
        </w:rPr>
        <w:t>公司之聯絡資料，以書面、電子郵件、簡訊或其他約定方式擇一發出通知者，視為已完成。</w:t>
      </w:r>
    </w:p>
    <w:p>
      <w:pPr>
        <w:pStyle w:val="BodyText"/>
        <w:spacing w:line="244" w:lineRule="auto"/>
        <w:ind w:right="161"/>
      </w:pPr>
      <w:r>
        <w:rPr>
          <w:spacing w:val="-2"/>
        </w:rPr>
        <w:t>逾寬限期間仍未交付者，本契約自寬限期間終了翌日起停止效力。如在寬限期間內發生保險事故時，本</w:t>
      </w:r>
      <w:r>
        <w:rPr>
          <w:spacing w:val="-2"/>
        </w:rPr>
        <w:t>公司仍負保險責任。</w:t>
      </w:r>
    </w:p>
    <w:p>
      <w:pPr>
        <w:pStyle w:val="Heading1"/>
        <w:tabs>
          <w:tab w:pos="914" w:val="left" w:leader="none"/>
        </w:tabs>
        <w:spacing w:line="346" w:lineRule="exact" w:before="186"/>
      </w:pPr>
      <w:r>
        <w:rPr>
          <w:spacing w:val="-2"/>
        </w:rPr>
        <w:t>第七</w:t>
      </w:r>
      <w:r>
        <w:rPr>
          <w:spacing w:val="-10"/>
        </w:rPr>
        <w:t>條</w:t>
      </w:r>
      <w:r>
        <w:rPr/>
        <w:tab/>
      </w:r>
      <w:r>
        <w:rPr>
          <w:spacing w:val="-2"/>
        </w:rPr>
        <w:t>保險費的墊繳及契約效力的停</w:t>
      </w:r>
      <w:r>
        <w:rPr>
          <w:spacing w:val="-10"/>
        </w:rPr>
        <w:t>止</w:t>
      </w:r>
    </w:p>
    <w:p>
      <w:pPr>
        <w:pStyle w:val="BodyText"/>
        <w:spacing w:line="235" w:lineRule="exact"/>
      </w:pPr>
      <w:r>
        <w:rPr>
          <w:spacing w:val="-3"/>
        </w:rPr>
        <w:t>要保人得於要保書或繳費寬限期間終了前以書面或其他約定方式聲明，第二期以後的分期保險費於超過</w:t>
      </w:r>
    </w:p>
    <w:p>
      <w:pPr>
        <w:pStyle w:val="BodyText"/>
        <w:spacing w:line="244" w:lineRule="auto" w:before="3"/>
        <w:ind w:right="160"/>
        <w:jc w:val="both"/>
      </w:pPr>
      <w:r>
        <w:rPr>
          <w:spacing w:val="-2"/>
        </w:rPr>
        <w:t>寬限期間仍未交付者，本公司應以本契約當時的保單價值準備金（如有保險單借款者，以扣除其借款本</w:t>
      </w:r>
      <w:r>
        <w:rPr>
          <w:spacing w:val="-2"/>
        </w:rPr>
        <w:t>息後的餘額）自動墊繳本契約應繳的保險費及利息，使其繼續有效。但要保人亦得於次一墊繳日前以書面或其他約定方式通知本公司停止保險費的自動墊繳。墊繳保險費的利息，自寬限期間終了的翌日起，按墊繳當時本公司公告的保險費墊繳利率計算（不得超過本保險單辦理保險單借款的利率），並應於墊繳日之翌日起，開始償付利息；但要保人自應償付利息之日起，未付利息已逾一年以上而經催告後仍未償付者，本公司得將未付利息滾入墊繳保險費後再行計息。</w:t>
      </w:r>
    </w:p>
    <w:p>
      <w:pPr>
        <w:pStyle w:val="BodyText"/>
        <w:spacing w:line="242" w:lineRule="auto"/>
        <w:ind w:right="160"/>
        <w:jc w:val="both"/>
      </w:pPr>
      <w:r>
        <w:rPr>
          <w:spacing w:val="-2"/>
        </w:rPr>
        <w:t>前項每次墊繳保險費的本息，本公司應即出具憑證交予要保人，並於憑證上載明墊繳之本息及本契約保</w:t>
      </w:r>
      <w:r>
        <w:rPr>
          <w:spacing w:val="-2"/>
        </w:rPr>
        <w:t>單價值準備金之餘額。保單價值準備金之餘額不足墊繳一日的保險費且經催告到達後屆三十日仍不交付時，本契約效力停止。</w:t>
      </w:r>
    </w:p>
    <w:p>
      <w:pPr>
        <w:pStyle w:val="BodyText"/>
      </w:pPr>
      <w:r>
        <w:rPr>
          <w:spacing w:val="-3"/>
        </w:rPr>
        <w:t>前項對要保人之催告，另應以第六條第三項方式通知被保險人以確保其權益。</w:t>
      </w:r>
    </w:p>
    <w:p>
      <w:pPr>
        <w:pStyle w:val="Heading1"/>
        <w:tabs>
          <w:tab w:pos="914" w:val="left" w:leader="none"/>
        </w:tabs>
        <w:spacing w:before="199"/>
      </w:pPr>
      <w:r>
        <w:rPr>
          <w:spacing w:val="-2"/>
        </w:rPr>
        <w:t>第八</w:t>
      </w:r>
      <w:r>
        <w:rPr>
          <w:spacing w:val="-10"/>
        </w:rPr>
        <w:t>條</w:t>
      </w:r>
      <w:r>
        <w:rPr/>
        <w:tab/>
      </w:r>
      <w:r>
        <w:rPr>
          <w:spacing w:val="-2"/>
        </w:rPr>
        <w:t>本契約效力的恢</w:t>
      </w:r>
      <w:r>
        <w:rPr>
          <w:spacing w:val="-10"/>
        </w:rPr>
        <w:t>復</w:t>
      </w:r>
    </w:p>
    <w:p>
      <w:pPr>
        <w:pStyle w:val="BodyText"/>
        <w:spacing w:line="234" w:lineRule="exact"/>
      </w:pPr>
      <w:r>
        <w:rPr>
          <w:spacing w:val="-3"/>
        </w:rPr>
        <w:t>本契約停止效力後，要保人得在停效日起二年內，申請復效。但保險期間屆滿後不得申請復效。</w:t>
      </w:r>
    </w:p>
    <w:p>
      <w:pPr>
        <w:pStyle w:val="BodyText"/>
        <w:spacing w:line="244" w:lineRule="auto" w:before="3"/>
        <w:ind w:right="161"/>
      </w:pPr>
      <w:r>
        <w:rPr>
          <w:spacing w:val="-2"/>
        </w:rPr>
        <w:t>要保人於停止效力之日起六個月內提出前項復效申請，並經要保人清償保險費扣除停效期間的危險保險</w:t>
      </w:r>
      <w:r>
        <w:rPr>
          <w:spacing w:val="-2"/>
        </w:rPr>
        <w:t>費後之餘額，自翌日上午零時起，開始恢復其效力。</w:t>
      </w:r>
    </w:p>
    <w:p>
      <w:pPr>
        <w:pStyle w:val="BodyText"/>
        <w:spacing w:line="244" w:lineRule="auto"/>
        <w:ind w:right="161"/>
        <w:jc w:val="both"/>
      </w:pPr>
      <w:r>
        <w:rPr>
          <w:spacing w:val="-2"/>
        </w:rPr>
        <w:t>要保人於停止效力之日起六個月後提出第一項之復效申請者，本公司得於要保人之復效申請送達本公司</w:t>
      </w:r>
      <w:r>
        <w:rPr>
          <w:spacing w:val="-2"/>
        </w:rPr>
        <w:t>之日起五日內要求要保人提供被保險人之可保證明。要保人如未於十日內交齊本公司要求提供之可保證明者，本公司得退回該次復效之申請。</w:t>
      </w:r>
    </w:p>
    <w:p>
      <w:pPr>
        <w:pStyle w:val="BodyText"/>
        <w:spacing w:line="252" w:lineRule="exact"/>
      </w:pPr>
      <w:r>
        <w:rPr>
          <w:spacing w:val="-3"/>
        </w:rPr>
        <w:t>被保險人之危險程度有重大變更已達拒絕承保程度者，本公司得拒絕其復效。</w:t>
      </w:r>
    </w:p>
    <w:p>
      <w:pPr>
        <w:pStyle w:val="BodyText"/>
        <w:spacing w:line="242" w:lineRule="auto" w:before="4"/>
        <w:ind w:right="161"/>
      </w:pPr>
      <w:r>
        <w:rPr>
          <w:spacing w:val="-2"/>
        </w:rPr>
        <w:t>本公司未於第三項約定期限內要求要保人提供可保證明，或於收齊可保證明後十五日內不為拒絕者，視</w:t>
      </w:r>
      <w:r>
        <w:rPr>
          <w:spacing w:val="-2"/>
        </w:rPr>
        <w:t>為同意復效，並經要保人清償第二項所約定之金額後，自翌日上午零時起，開始恢復其效力。</w:t>
      </w:r>
    </w:p>
    <w:p>
      <w:pPr>
        <w:pStyle w:val="BodyText"/>
        <w:spacing w:line="242" w:lineRule="auto" w:before="3"/>
        <w:ind w:right="156"/>
      </w:pPr>
      <w:r>
        <w:rPr>
          <w:spacing w:val="-2"/>
        </w:rPr>
        <w:t>要保人依第三項提出申請復效者，除有同項後段或第四項之情形外，於交齊可保證明，並清償第二項所</w:t>
      </w:r>
      <w:r>
        <w:rPr>
          <w:spacing w:val="-2"/>
        </w:rPr>
        <w:t>約定之金額後，自翌日上午零時起，開始恢復其效力。</w:t>
      </w:r>
    </w:p>
    <w:p>
      <w:pPr>
        <w:pStyle w:val="BodyText"/>
        <w:spacing w:line="244" w:lineRule="auto" w:before="1"/>
        <w:ind w:right="155"/>
        <w:jc w:val="both"/>
      </w:pPr>
      <w:r>
        <w:rPr>
          <w:spacing w:val="-2"/>
        </w:rPr>
        <w:t>本契約因第七條第二項或第十九條約定停止效力而申請復效者，除復效程序依前六項約定辦理外，要保人清償保險單借款本息與墊繳保險費及其利息，其未償餘額合計不得逾依第十九條第一項約定之保險單</w:t>
      </w:r>
      <w:r>
        <w:rPr>
          <w:spacing w:val="-2"/>
        </w:rPr>
        <w:t>借款可借金額上限。</w:t>
      </w:r>
    </w:p>
    <w:p>
      <w:pPr>
        <w:pStyle w:val="BodyText"/>
        <w:spacing w:line="254" w:lineRule="exact"/>
      </w:pPr>
      <w:r>
        <w:rPr>
          <w:spacing w:val="-5"/>
        </w:rPr>
        <w:t>基於保戶服務，本公司於保險契約停止效力後至得申請復效之期限屆滿前三個月，將以書面、電子郵件、</w:t>
      </w:r>
    </w:p>
    <w:p>
      <w:pPr>
        <w:spacing w:after="0" w:line="254" w:lineRule="exact"/>
        <w:sectPr>
          <w:pgSz w:w="11910" w:h="16840"/>
          <w:pgMar w:header="0" w:footer="855" w:top="1340" w:bottom="1040" w:left="1020" w:right="980"/>
        </w:sectPr>
      </w:pPr>
    </w:p>
    <w:p>
      <w:pPr>
        <w:pStyle w:val="BodyText"/>
        <w:spacing w:line="244" w:lineRule="auto" w:before="47"/>
        <w:ind w:right="157"/>
        <w:jc w:val="both"/>
      </w:pPr>
      <w:r>
        <w:rPr>
          <w:spacing w:val="-2"/>
        </w:rPr>
        <w:t>簡訊或其他約定方式擇一通知要保人有行使第一項申請復效之權利，並載明要保人未於第一項約定期限屆滿前恢復保險單效力者，契約效力將自第一項約定期限屆滿之日翌日上午零時起終止，以提醒要保人</w:t>
      </w:r>
      <w:r>
        <w:rPr>
          <w:spacing w:val="-4"/>
        </w:rPr>
        <w:t>注意。</w:t>
      </w:r>
    </w:p>
    <w:p>
      <w:pPr>
        <w:pStyle w:val="BodyText"/>
        <w:spacing w:line="253" w:lineRule="exact"/>
      </w:pPr>
      <w:r>
        <w:rPr>
          <w:spacing w:val="-3"/>
        </w:rPr>
        <w:t>本公司已依要保人最後留於本公司之前項聯絡資料發出通知，視為已完成前項之通知。</w:t>
      </w:r>
    </w:p>
    <w:p>
      <w:pPr>
        <w:pStyle w:val="BodyText"/>
        <w:spacing w:line="244" w:lineRule="auto" w:before="3"/>
        <w:ind w:right="161"/>
      </w:pPr>
      <w:r>
        <w:rPr>
          <w:spacing w:val="-2"/>
        </w:rPr>
        <w:t>第一項約定期限屆滿時，本契約效力即行終止，本契約若累積達有保單價值準備金，而要保人未申請墊</w:t>
      </w:r>
      <w:r>
        <w:rPr>
          <w:spacing w:val="-2"/>
        </w:rPr>
        <w:t>繳保險費或變更契約內容時，本公司應主動退還剩餘之保單價值準備金。</w:t>
      </w:r>
    </w:p>
    <w:p>
      <w:pPr>
        <w:pStyle w:val="Heading1"/>
        <w:tabs>
          <w:tab w:pos="914" w:val="left" w:leader="none"/>
        </w:tabs>
        <w:spacing w:before="196"/>
      </w:pPr>
      <w:r>
        <w:rPr>
          <w:spacing w:val="-2"/>
        </w:rPr>
        <w:t>第九</w:t>
      </w:r>
      <w:r>
        <w:rPr>
          <w:spacing w:val="-10"/>
        </w:rPr>
        <w:t>條</w:t>
      </w:r>
      <w:r>
        <w:rPr/>
        <w:tab/>
      </w:r>
      <w:r>
        <w:rPr>
          <w:spacing w:val="-2"/>
        </w:rPr>
        <w:t>告知義務與本契約的解</w:t>
      </w:r>
      <w:r>
        <w:rPr>
          <w:spacing w:val="-10"/>
        </w:rPr>
        <w:t>除</w:t>
      </w:r>
    </w:p>
    <w:p>
      <w:pPr>
        <w:pStyle w:val="BodyText"/>
        <w:spacing w:line="234" w:lineRule="exact"/>
      </w:pPr>
      <w:r>
        <w:rPr>
          <w:spacing w:val="-3"/>
        </w:rPr>
        <w:t>要保人或被保險人在訂立本契約時，對於本公司要保書書面詢問的告知事項應據實說明，如有為隱匿或</w:t>
      </w:r>
    </w:p>
    <w:p>
      <w:pPr>
        <w:pStyle w:val="BodyText"/>
        <w:spacing w:line="244" w:lineRule="auto" w:before="3"/>
        <w:ind w:right="161"/>
      </w:pPr>
      <w:r>
        <w:rPr>
          <w:spacing w:val="-2"/>
        </w:rPr>
        <w:t>遺漏不為說明，或為不實的說明，足以變更或減少本公司對於危險的估計者，本公司得解除本契約，其</w:t>
      </w:r>
      <w:r>
        <w:rPr>
          <w:spacing w:val="-2"/>
        </w:rPr>
        <w:t>保險事故發生後亦同。但危險的發生未基於其說明或未說明的事實時，不在此限。</w:t>
      </w:r>
    </w:p>
    <w:p>
      <w:pPr>
        <w:pStyle w:val="BodyText"/>
        <w:spacing w:line="244" w:lineRule="auto"/>
        <w:ind w:right="161"/>
      </w:pPr>
      <w:r>
        <w:rPr>
          <w:spacing w:val="-2"/>
        </w:rPr>
        <w:t>前項解除契約權，自本公司知有解除之原因後，經過一個月不行使而消滅；或自契約訂立後，經過二年</w:t>
      </w:r>
      <w:r>
        <w:rPr>
          <w:spacing w:val="-2"/>
        </w:rPr>
        <w:t>不行使而消滅。</w:t>
      </w:r>
    </w:p>
    <w:p>
      <w:pPr>
        <w:pStyle w:val="Heading1"/>
        <w:tabs>
          <w:tab w:pos="914" w:val="left" w:leader="none"/>
        </w:tabs>
        <w:spacing w:line="346" w:lineRule="exact" w:before="192"/>
      </w:pPr>
      <w:r>
        <w:rPr/>
        <w:drawing>
          <wp:anchor distT="0" distB="0" distL="0" distR="0" allowOverlap="1" layoutInCell="1" locked="0" behindDoc="1" simplePos="0" relativeHeight="487464448">
            <wp:simplePos x="0" y="0"/>
            <wp:positionH relativeFrom="page">
              <wp:posOffset>2873375</wp:posOffset>
            </wp:positionH>
            <wp:positionV relativeFrom="paragraph">
              <wp:posOffset>97558</wp:posOffset>
            </wp:positionV>
            <wp:extent cx="1836419" cy="4427220"/>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1836419" cy="4427220"/>
                    </a:xfrm>
                    <a:prstGeom prst="rect">
                      <a:avLst/>
                    </a:prstGeom>
                  </pic:spPr>
                </pic:pic>
              </a:graphicData>
            </a:graphic>
          </wp:anchor>
        </w:drawing>
      </w:r>
      <w:r>
        <w:rPr>
          <w:spacing w:val="-2"/>
        </w:rPr>
        <w:t>第十</w:t>
      </w:r>
      <w:r>
        <w:rPr>
          <w:spacing w:val="-10"/>
        </w:rPr>
        <w:t>條</w:t>
      </w:r>
      <w:r>
        <w:rPr/>
        <w:tab/>
        <w:t>契約的終止(一</w:t>
      </w:r>
      <w:r>
        <w:rPr>
          <w:spacing w:val="-10"/>
        </w:rPr>
        <w:t>)</w:t>
      </w:r>
    </w:p>
    <w:p>
      <w:pPr>
        <w:pStyle w:val="BodyText"/>
        <w:spacing w:line="235" w:lineRule="exact"/>
      </w:pPr>
      <w:r>
        <w:rPr>
          <w:spacing w:val="-3"/>
        </w:rPr>
        <w:t>要保人得隨時終止本契約。</w:t>
      </w:r>
    </w:p>
    <w:p>
      <w:pPr>
        <w:pStyle w:val="BodyText"/>
        <w:spacing w:before="3"/>
      </w:pPr>
      <w:r>
        <w:rPr>
          <w:spacing w:val="-3"/>
        </w:rPr>
        <w:t>前項契約之終止，自本公司收到要保人書面或其他約定方式通知時，開始生效。</w:t>
      </w:r>
    </w:p>
    <w:p>
      <w:pPr>
        <w:pStyle w:val="BodyText"/>
        <w:spacing w:line="242" w:lineRule="auto" w:before="5"/>
        <w:ind w:right="161"/>
        <w:jc w:val="both"/>
      </w:pPr>
      <w:r>
        <w:rPr>
          <w:spacing w:val="-2"/>
        </w:rPr>
        <w:t>要保人保險費已付足達一年以上或繳費累積達有保單價值準備金而終止契約時，本公司應於接到通知後</w:t>
      </w:r>
      <w:r>
        <w:rPr>
          <w:spacing w:val="-2"/>
        </w:rPr>
        <w:t>一個月內償付解約金。逾期本公司應加計利息給付，其利息按年利率一分的利率計算。本契約歷年解約金額如保險單之解約金額附表。</w:t>
      </w:r>
    </w:p>
    <w:p>
      <w:pPr>
        <w:pStyle w:val="Heading1"/>
        <w:tabs>
          <w:tab w:pos="1116" w:val="left" w:leader="none"/>
        </w:tabs>
        <w:spacing w:before="252"/>
      </w:pPr>
      <w:r>
        <w:rPr>
          <w:spacing w:val="-2"/>
        </w:rPr>
        <w:t>第十一</w:t>
      </w:r>
      <w:r>
        <w:rPr>
          <w:spacing w:val="-10"/>
        </w:rPr>
        <w:t>條</w:t>
      </w:r>
      <w:r>
        <w:rPr/>
        <w:tab/>
        <w:t>契約的終止(二</w:t>
      </w:r>
      <w:r>
        <w:rPr>
          <w:spacing w:val="-10"/>
        </w:rPr>
        <w:t>)</w:t>
      </w:r>
    </w:p>
    <w:p>
      <w:pPr>
        <w:pStyle w:val="BodyText"/>
        <w:spacing w:line="234" w:lineRule="exact"/>
        <w:ind w:left="898"/>
      </w:pPr>
      <w:r>
        <w:rPr>
          <w:spacing w:val="-3"/>
        </w:rPr>
        <w:t>本契約有效期間內，有下列情形之一時，其效力即行終止：</w:t>
      </w:r>
    </w:p>
    <w:p>
      <w:pPr>
        <w:pStyle w:val="BodyText"/>
        <w:spacing w:line="242" w:lineRule="auto" w:before="6"/>
        <w:ind w:left="898" w:right="4005"/>
      </w:pPr>
      <w:r>
        <w:rPr>
          <w:spacing w:val="-2"/>
        </w:rPr>
        <w:t>一、被保險人身故。(本公司按第十條第三項償付解約金)</w:t>
      </w:r>
      <w:r>
        <w:rPr>
          <w:spacing w:val="-2"/>
        </w:rPr>
        <w:t>二、保險期間屆滿。</w:t>
      </w:r>
    </w:p>
    <w:p>
      <w:pPr>
        <w:pStyle w:val="BodyText"/>
        <w:ind w:left="898"/>
      </w:pPr>
      <w:r>
        <w:rPr>
          <w:spacing w:val="-3"/>
        </w:rPr>
        <w:t>三、本公司按第十二條約定給付「第一類特定傷病保險金」。</w:t>
      </w:r>
    </w:p>
    <w:p>
      <w:pPr>
        <w:pStyle w:val="Heading1"/>
        <w:tabs>
          <w:tab w:pos="1116" w:val="left" w:leader="none"/>
        </w:tabs>
        <w:spacing w:line="346" w:lineRule="exact"/>
      </w:pPr>
      <w:r>
        <w:rPr>
          <w:spacing w:val="-2"/>
        </w:rPr>
        <w:t>第十二</w:t>
      </w:r>
      <w:r>
        <w:rPr>
          <w:spacing w:val="-10"/>
        </w:rPr>
        <w:t>條</w:t>
      </w:r>
      <w:r>
        <w:rPr/>
        <w:tab/>
      </w:r>
      <w:r>
        <w:rPr>
          <w:spacing w:val="-2"/>
        </w:rPr>
        <w:t>第一類特定傷病保險金的給</w:t>
      </w:r>
      <w:r>
        <w:rPr>
          <w:spacing w:val="-10"/>
        </w:rPr>
        <w:t>付</w:t>
      </w:r>
    </w:p>
    <w:p>
      <w:pPr>
        <w:pStyle w:val="BodyText"/>
        <w:spacing w:line="235" w:lineRule="exact"/>
        <w:ind w:left="898"/>
      </w:pPr>
      <w:r>
        <w:rPr>
          <w:spacing w:val="-3"/>
        </w:rPr>
        <w:t>被保險人於本契約等待期間屆滿翌日或復效日起的契約有效期間內，經初次診斷確定罹患「第一類特</w:t>
      </w:r>
    </w:p>
    <w:p>
      <w:pPr>
        <w:pStyle w:val="BodyText"/>
        <w:spacing w:line="242" w:lineRule="auto" w:before="3"/>
        <w:ind w:left="898" w:right="154"/>
      </w:pPr>
      <w:r>
        <w:rPr>
          <w:spacing w:val="-2"/>
        </w:rPr>
        <w:t>定傷病」時，本公司按保險金額，給付「第一類特定傷病保險金」，但被保險人曾申領「第二類特定傷病及手術保險金」者，應扣除之。</w:t>
      </w:r>
    </w:p>
    <w:p>
      <w:pPr>
        <w:pStyle w:val="BodyText"/>
        <w:spacing w:line="242" w:lineRule="auto" w:before="4"/>
        <w:ind w:left="898" w:right="153"/>
      </w:pPr>
      <w:r>
        <w:rPr>
          <w:spacing w:val="-2"/>
        </w:rPr>
        <w:t>被保險人如同時或先後罹患「第一類特定傷病」及「第二類特定傷病及手術」，本公司僅給付「第一類特定傷病保險金」。</w:t>
      </w:r>
    </w:p>
    <w:p>
      <w:pPr>
        <w:pStyle w:val="BodyText"/>
        <w:spacing w:before="3"/>
        <w:ind w:left="898"/>
      </w:pPr>
      <w:r>
        <w:rPr>
          <w:spacing w:val="-3"/>
        </w:rPr>
        <w:t>「第一類特定傷病保險金」最多以給付一次為限。</w:t>
      </w:r>
    </w:p>
    <w:p>
      <w:pPr>
        <w:pStyle w:val="Heading1"/>
        <w:tabs>
          <w:tab w:pos="1116" w:val="left" w:leader="none"/>
        </w:tabs>
        <w:spacing w:line="346" w:lineRule="exact" w:before="251"/>
      </w:pPr>
      <w:r>
        <w:rPr>
          <w:spacing w:val="-2"/>
        </w:rPr>
        <w:t>第十三</w:t>
      </w:r>
      <w:r>
        <w:rPr>
          <w:spacing w:val="-10"/>
        </w:rPr>
        <w:t>條</w:t>
      </w:r>
      <w:r>
        <w:rPr/>
        <w:tab/>
      </w:r>
      <w:r>
        <w:rPr>
          <w:spacing w:val="-2"/>
        </w:rPr>
        <w:t>第二類特定傷病及手術保險金的給</w:t>
      </w:r>
      <w:r>
        <w:rPr>
          <w:spacing w:val="-10"/>
        </w:rPr>
        <w:t>付</w:t>
      </w:r>
    </w:p>
    <w:p>
      <w:pPr>
        <w:pStyle w:val="BodyText"/>
        <w:spacing w:line="235" w:lineRule="exact"/>
        <w:ind w:left="898"/>
      </w:pPr>
      <w:r>
        <w:rPr>
          <w:spacing w:val="-3"/>
        </w:rPr>
        <w:t>被保險人於本契約等待期間屆滿翌日或復效日起的契約有效期間內，經初次診斷確定罹患「第二類特</w:t>
      </w:r>
    </w:p>
    <w:p>
      <w:pPr>
        <w:pStyle w:val="BodyText"/>
        <w:spacing w:before="3"/>
        <w:ind w:left="898"/>
      </w:pPr>
      <w:r>
        <w:rPr>
          <w:spacing w:val="-3"/>
        </w:rPr>
        <w:t>定傷病及手術」時，本公司按保險金額的百分之十，給付「第二類特定傷病及手術保險金」。</w:t>
      </w:r>
    </w:p>
    <w:p>
      <w:pPr>
        <w:pStyle w:val="BodyText"/>
        <w:spacing w:before="3"/>
        <w:ind w:left="898"/>
      </w:pPr>
      <w:r>
        <w:rPr>
          <w:spacing w:val="-3"/>
        </w:rPr>
        <w:t>「第二類特定傷病及手術保險金」最多以給付一次為限。</w:t>
      </w:r>
    </w:p>
    <w:p>
      <w:pPr>
        <w:pStyle w:val="Heading1"/>
        <w:tabs>
          <w:tab w:pos="1116" w:val="left" w:leader="none"/>
        </w:tabs>
        <w:spacing w:before="254"/>
      </w:pPr>
      <w:r>
        <w:rPr>
          <w:spacing w:val="-2"/>
        </w:rPr>
        <w:t>第十四</w:t>
      </w:r>
      <w:r>
        <w:rPr>
          <w:spacing w:val="-10"/>
        </w:rPr>
        <w:t>條</w:t>
      </w:r>
      <w:r>
        <w:rPr/>
        <w:tab/>
      </w:r>
      <w:r>
        <w:rPr>
          <w:spacing w:val="-2"/>
        </w:rPr>
        <w:t>健康體重保險費折</w:t>
      </w:r>
      <w:r>
        <w:rPr>
          <w:spacing w:val="-10"/>
        </w:rPr>
        <w:t>減</w:t>
      </w:r>
    </w:p>
    <w:p>
      <w:pPr>
        <w:pStyle w:val="BodyText"/>
        <w:spacing w:line="234" w:lineRule="exact"/>
        <w:ind w:left="898"/>
      </w:pPr>
      <w:r>
        <w:rPr>
          <w:spacing w:val="-3"/>
        </w:rPr>
        <w:t>本契約有效期間內，被保險人依本公司指定之方式於「指定期間」提供該期間內所作之「體重證明文</w:t>
      </w:r>
    </w:p>
    <w:p>
      <w:pPr>
        <w:pStyle w:val="BodyText"/>
        <w:spacing w:line="242" w:lineRule="auto" w:before="5"/>
        <w:ind w:left="898" w:right="149"/>
      </w:pPr>
      <w:r>
        <w:rPr/>
        <mc:AlternateContent>
          <mc:Choice Requires="wps">
            <w:drawing>
              <wp:anchor distT="0" distB="0" distL="0" distR="0" allowOverlap="1" layoutInCell="1" locked="0" behindDoc="0" simplePos="0" relativeHeight="15730688">
                <wp:simplePos x="0" y="0"/>
                <wp:positionH relativeFrom="page">
                  <wp:posOffset>1108252</wp:posOffset>
                </wp:positionH>
                <wp:positionV relativeFrom="paragraph">
                  <wp:posOffset>340959</wp:posOffset>
                </wp:positionV>
                <wp:extent cx="5699760" cy="68707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699760" cy="68707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6"/>
                              <w:gridCol w:w="4410"/>
                            </w:tblGrid>
                            <w:tr>
                              <w:trPr>
                                <w:trHeight w:val="261" w:hRule="atLeast"/>
                              </w:trPr>
                              <w:tc>
                                <w:tcPr>
                                  <w:tcW w:w="4436" w:type="dxa"/>
                                </w:tcPr>
                                <w:p>
                                  <w:pPr>
                                    <w:pStyle w:val="TableParagraph"/>
                                    <w:spacing w:line="242" w:lineRule="exact"/>
                                    <w:ind w:left="11" w:right="1"/>
                                    <w:rPr>
                                      <w:sz w:val="20"/>
                                    </w:rPr>
                                  </w:pPr>
                                  <w:r>
                                    <w:rPr>
                                      <w:spacing w:val="-4"/>
                                      <w:sz w:val="20"/>
                                    </w:rPr>
                                    <w:t>達標條件</w:t>
                                  </w:r>
                                </w:p>
                              </w:tc>
                              <w:tc>
                                <w:tcPr>
                                  <w:tcW w:w="4410" w:type="dxa"/>
                                </w:tcPr>
                                <w:p>
                                  <w:pPr>
                                    <w:pStyle w:val="TableParagraph"/>
                                    <w:spacing w:line="242" w:lineRule="exact"/>
                                    <w:ind w:right="4"/>
                                    <w:rPr>
                                      <w:sz w:val="20"/>
                                    </w:rPr>
                                  </w:pPr>
                                  <w:r>
                                    <w:rPr>
                                      <w:spacing w:val="-4"/>
                                      <w:sz w:val="20"/>
                                    </w:rPr>
                                    <w:t>保險費折減比例</w:t>
                                  </w:r>
                                </w:p>
                              </w:tc>
                            </w:tr>
                            <w:tr>
                              <w:trPr>
                                <w:trHeight w:val="261" w:hRule="atLeast"/>
                              </w:trPr>
                              <w:tc>
                                <w:tcPr>
                                  <w:tcW w:w="4436" w:type="dxa"/>
                                </w:tcPr>
                                <w:p>
                                  <w:pPr>
                                    <w:pStyle w:val="TableParagraph"/>
                                    <w:ind w:left="11"/>
                                    <w:rPr>
                                      <w:sz w:val="20"/>
                                    </w:rPr>
                                  </w:pPr>
                                  <w:r>
                                    <w:rPr>
                                      <w:spacing w:val="-2"/>
                                      <w:sz w:val="20"/>
                                    </w:rPr>
                                    <w:t>18.5≦BMI&lt;24.0</w:t>
                                  </w:r>
                                </w:p>
                              </w:tc>
                              <w:tc>
                                <w:tcPr>
                                  <w:tcW w:w="4410" w:type="dxa"/>
                                </w:tcPr>
                                <w:p>
                                  <w:pPr>
                                    <w:pStyle w:val="TableParagraph"/>
                                    <w:ind w:right="1"/>
                                    <w:rPr>
                                      <w:sz w:val="20"/>
                                    </w:rPr>
                                  </w:pPr>
                                  <w:r>
                                    <w:rPr>
                                      <w:spacing w:val="-5"/>
                                      <w:sz w:val="20"/>
                                    </w:rPr>
                                    <w:t>20%</w:t>
                                  </w:r>
                                </w:p>
                              </w:tc>
                            </w:tr>
                            <w:tr>
                              <w:trPr>
                                <w:trHeight w:val="520" w:hRule="atLeast"/>
                              </w:trPr>
                              <w:tc>
                                <w:tcPr>
                                  <w:tcW w:w="4436" w:type="dxa"/>
                                </w:tcPr>
                                <w:p>
                                  <w:pPr>
                                    <w:pStyle w:val="TableParagraph"/>
                                    <w:spacing w:line="243" w:lineRule="exact"/>
                                    <w:ind w:left="107"/>
                                    <w:jc w:val="left"/>
                                    <w:rPr>
                                      <w:sz w:val="20"/>
                                    </w:rPr>
                                  </w:pPr>
                                  <w:r>
                                    <w:rPr>
                                      <w:spacing w:val="-6"/>
                                      <w:sz w:val="20"/>
                                    </w:rPr>
                                    <w:t>BMI≧24.0</w:t>
                                  </w:r>
                                  <w:r>
                                    <w:rPr>
                                      <w:spacing w:val="-7"/>
                                      <w:sz w:val="20"/>
                                    </w:rPr>
                                    <w:t>者，「本次體重數值」較「前次體重數</w:t>
                                  </w:r>
                                </w:p>
                                <w:p>
                                  <w:pPr>
                                    <w:pStyle w:val="TableParagraph"/>
                                    <w:spacing w:line="254" w:lineRule="exact" w:before="3"/>
                                    <w:ind w:left="1317"/>
                                    <w:jc w:val="left"/>
                                    <w:rPr>
                                      <w:sz w:val="20"/>
                                    </w:rPr>
                                  </w:pPr>
                                  <w:r>
                                    <w:rPr>
                                      <w:spacing w:val="-2"/>
                                      <w:sz w:val="20"/>
                                    </w:rPr>
                                    <w:t>值」減少1</w:t>
                                  </w:r>
                                  <w:r>
                                    <w:rPr>
                                      <w:spacing w:val="-4"/>
                                      <w:sz w:val="20"/>
                                    </w:rPr>
                                    <w:t>公斤(含)以上</w:t>
                                  </w:r>
                                </w:p>
                              </w:tc>
                              <w:tc>
                                <w:tcPr>
                                  <w:tcW w:w="4410" w:type="dxa"/>
                                </w:tcPr>
                                <w:p>
                                  <w:pPr>
                                    <w:pStyle w:val="TableParagraph"/>
                                    <w:spacing w:line="243" w:lineRule="exact"/>
                                    <w:ind w:right="2"/>
                                    <w:rPr>
                                      <w:sz w:val="20"/>
                                    </w:rPr>
                                  </w:pPr>
                                  <w:r>
                                    <w:rPr>
                                      <w:spacing w:val="-2"/>
                                      <w:sz w:val="20"/>
                                    </w:rPr>
                                    <w:t>每減少1公斤保險費折減1%(上限</w:t>
                                  </w:r>
                                  <w:r>
                                    <w:rPr>
                                      <w:spacing w:val="-4"/>
                                      <w:sz w:val="20"/>
                                    </w:rPr>
                                    <w:t>20%)</w:t>
                                  </w:r>
                                </w:p>
                                <w:p>
                                  <w:pPr>
                                    <w:pStyle w:val="TableParagraph"/>
                                    <w:spacing w:line="254" w:lineRule="exact" w:before="3"/>
                                    <w:rPr>
                                      <w:sz w:val="20"/>
                                    </w:rPr>
                                  </w:pPr>
                                  <w:r>
                                    <w:rPr>
                                      <w:spacing w:val="-3"/>
                                      <w:sz w:val="20"/>
                                    </w:rPr>
                                    <w:t>(減少公斤數以無條件捨去至整數位計算)</w:t>
                                  </w:r>
                                </w:p>
                              </w:tc>
                            </w:tr>
                          </w:tbl>
                          <w:p>
                            <w:pPr>
                              <w:pStyle w:val="BodyText"/>
                              <w:ind w:left="0"/>
                            </w:pPr>
                          </w:p>
                        </w:txbxContent>
                      </wps:txbx>
                      <wps:bodyPr wrap="square" lIns="0" tIns="0" rIns="0" bIns="0" rtlCol="0">
                        <a:noAutofit/>
                      </wps:bodyPr>
                    </wps:wsp>
                  </a:graphicData>
                </a:graphic>
              </wp:anchor>
            </w:drawing>
          </mc:Choice>
          <mc:Fallback>
            <w:pict>
              <v:shape style="position:absolute;margin-left:87.264pt;margin-top:26.847195pt;width:448.8pt;height:54.1pt;mso-position-horizontal-relative:page;mso-position-vertical-relative:paragraph;z-index:15730688" type="#_x0000_t202" id="docshape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6"/>
                        <w:gridCol w:w="4410"/>
                      </w:tblGrid>
                      <w:tr>
                        <w:trPr>
                          <w:trHeight w:val="261" w:hRule="atLeast"/>
                        </w:trPr>
                        <w:tc>
                          <w:tcPr>
                            <w:tcW w:w="4436" w:type="dxa"/>
                          </w:tcPr>
                          <w:p>
                            <w:pPr>
                              <w:pStyle w:val="TableParagraph"/>
                              <w:spacing w:line="242" w:lineRule="exact"/>
                              <w:ind w:left="11" w:right="1"/>
                              <w:rPr>
                                <w:sz w:val="20"/>
                              </w:rPr>
                            </w:pPr>
                            <w:r>
                              <w:rPr>
                                <w:spacing w:val="-4"/>
                                <w:sz w:val="20"/>
                              </w:rPr>
                              <w:t>達標條件</w:t>
                            </w:r>
                          </w:p>
                        </w:tc>
                        <w:tc>
                          <w:tcPr>
                            <w:tcW w:w="4410" w:type="dxa"/>
                          </w:tcPr>
                          <w:p>
                            <w:pPr>
                              <w:pStyle w:val="TableParagraph"/>
                              <w:spacing w:line="242" w:lineRule="exact"/>
                              <w:ind w:right="4"/>
                              <w:rPr>
                                <w:sz w:val="20"/>
                              </w:rPr>
                            </w:pPr>
                            <w:r>
                              <w:rPr>
                                <w:spacing w:val="-4"/>
                                <w:sz w:val="20"/>
                              </w:rPr>
                              <w:t>保險費折減比例</w:t>
                            </w:r>
                          </w:p>
                        </w:tc>
                      </w:tr>
                      <w:tr>
                        <w:trPr>
                          <w:trHeight w:val="261" w:hRule="atLeast"/>
                        </w:trPr>
                        <w:tc>
                          <w:tcPr>
                            <w:tcW w:w="4436" w:type="dxa"/>
                          </w:tcPr>
                          <w:p>
                            <w:pPr>
                              <w:pStyle w:val="TableParagraph"/>
                              <w:ind w:left="11"/>
                              <w:rPr>
                                <w:sz w:val="20"/>
                              </w:rPr>
                            </w:pPr>
                            <w:r>
                              <w:rPr>
                                <w:spacing w:val="-2"/>
                                <w:sz w:val="20"/>
                              </w:rPr>
                              <w:t>18.5≦BMI&lt;24.0</w:t>
                            </w:r>
                          </w:p>
                        </w:tc>
                        <w:tc>
                          <w:tcPr>
                            <w:tcW w:w="4410" w:type="dxa"/>
                          </w:tcPr>
                          <w:p>
                            <w:pPr>
                              <w:pStyle w:val="TableParagraph"/>
                              <w:ind w:right="1"/>
                              <w:rPr>
                                <w:sz w:val="20"/>
                              </w:rPr>
                            </w:pPr>
                            <w:r>
                              <w:rPr>
                                <w:spacing w:val="-5"/>
                                <w:sz w:val="20"/>
                              </w:rPr>
                              <w:t>20%</w:t>
                            </w:r>
                          </w:p>
                        </w:tc>
                      </w:tr>
                      <w:tr>
                        <w:trPr>
                          <w:trHeight w:val="520" w:hRule="atLeast"/>
                        </w:trPr>
                        <w:tc>
                          <w:tcPr>
                            <w:tcW w:w="4436" w:type="dxa"/>
                          </w:tcPr>
                          <w:p>
                            <w:pPr>
                              <w:pStyle w:val="TableParagraph"/>
                              <w:spacing w:line="243" w:lineRule="exact"/>
                              <w:ind w:left="107"/>
                              <w:jc w:val="left"/>
                              <w:rPr>
                                <w:sz w:val="20"/>
                              </w:rPr>
                            </w:pPr>
                            <w:r>
                              <w:rPr>
                                <w:spacing w:val="-6"/>
                                <w:sz w:val="20"/>
                              </w:rPr>
                              <w:t>BMI≧24.0</w:t>
                            </w:r>
                            <w:r>
                              <w:rPr>
                                <w:spacing w:val="-7"/>
                                <w:sz w:val="20"/>
                              </w:rPr>
                              <w:t>者，「本次體重數值」較「前次體重數</w:t>
                            </w:r>
                          </w:p>
                          <w:p>
                            <w:pPr>
                              <w:pStyle w:val="TableParagraph"/>
                              <w:spacing w:line="254" w:lineRule="exact" w:before="3"/>
                              <w:ind w:left="1317"/>
                              <w:jc w:val="left"/>
                              <w:rPr>
                                <w:sz w:val="20"/>
                              </w:rPr>
                            </w:pPr>
                            <w:r>
                              <w:rPr>
                                <w:spacing w:val="-2"/>
                                <w:sz w:val="20"/>
                              </w:rPr>
                              <w:t>值」減少1</w:t>
                            </w:r>
                            <w:r>
                              <w:rPr>
                                <w:spacing w:val="-4"/>
                                <w:sz w:val="20"/>
                              </w:rPr>
                              <w:t>公斤(含)以上</w:t>
                            </w:r>
                          </w:p>
                        </w:tc>
                        <w:tc>
                          <w:tcPr>
                            <w:tcW w:w="4410" w:type="dxa"/>
                          </w:tcPr>
                          <w:p>
                            <w:pPr>
                              <w:pStyle w:val="TableParagraph"/>
                              <w:spacing w:line="243" w:lineRule="exact"/>
                              <w:ind w:right="2"/>
                              <w:rPr>
                                <w:sz w:val="20"/>
                              </w:rPr>
                            </w:pPr>
                            <w:r>
                              <w:rPr>
                                <w:spacing w:val="-2"/>
                                <w:sz w:val="20"/>
                              </w:rPr>
                              <w:t>每減少1公斤保險費折減1%(上限</w:t>
                            </w:r>
                            <w:r>
                              <w:rPr>
                                <w:spacing w:val="-4"/>
                                <w:sz w:val="20"/>
                              </w:rPr>
                              <w:t>20%)</w:t>
                            </w:r>
                          </w:p>
                          <w:p>
                            <w:pPr>
                              <w:pStyle w:val="TableParagraph"/>
                              <w:spacing w:line="254" w:lineRule="exact" w:before="3"/>
                              <w:rPr>
                                <w:sz w:val="20"/>
                              </w:rPr>
                            </w:pPr>
                            <w:r>
                              <w:rPr>
                                <w:spacing w:val="-3"/>
                                <w:sz w:val="20"/>
                              </w:rPr>
                              <w:t>(減少公斤數以無條件捨去至整數位計算)</w:t>
                            </w:r>
                          </w:p>
                        </w:tc>
                      </w:tr>
                    </w:tbl>
                    <w:p>
                      <w:pPr>
                        <w:pStyle w:val="BodyText"/>
                        <w:ind w:left="0"/>
                      </w:pPr>
                    </w:p>
                  </w:txbxContent>
                </v:textbox>
                <w10:wrap type="none"/>
              </v:shape>
            </w:pict>
          </mc:Fallback>
        </mc:AlternateContent>
      </w:r>
      <w:r>
        <w:rPr>
          <w:spacing w:val="-2"/>
        </w:rPr>
        <w:t>件」，其「身體質量指數(BMI)」或體重符合下表所約定標準之一者，本公司按下表所列保險費折減比例，折減本契約次一保險單年度之保險費。但復效之保險費，不適用前述折減約定：</w:t>
      </w:r>
    </w:p>
    <w:p>
      <w:pPr>
        <w:pStyle w:val="BodyText"/>
        <w:ind w:left="0"/>
      </w:pPr>
    </w:p>
    <w:p>
      <w:pPr>
        <w:pStyle w:val="BodyText"/>
        <w:spacing w:before="208"/>
        <w:ind w:left="0"/>
      </w:pPr>
    </w:p>
    <w:p>
      <w:pPr>
        <w:tabs>
          <w:tab w:pos="1116" w:val="left" w:leader="none"/>
        </w:tabs>
        <w:spacing w:line="620" w:lineRule="atLeast" w:before="0"/>
        <w:ind w:left="112" w:right="4008" w:firstLine="785"/>
        <w:jc w:val="left"/>
        <w:rPr>
          <w:rFonts w:ascii="Microsoft JhengHei" w:eastAsia="Microsoft JhengHei"/>
          <w:b/>
          <w:sz w:val="20"/>
        </w:rPr>
      </w:pPr>
      <w:r>
        <w:rPr>
          <w:spacing w:val="-2"/>
          <w:sz w:val="20"/>
        </w:rPr>
        <w:t>同一「指定期間」內，「體重證明文件」僅可上傳一次</w:t>
      </w:r>
      <w:r>
        <w:rPr>
          <w:spacing w:val="-2"/>
          <w:sz w:val="20"/>
        </w:rPr>
        <w:t>。</w:t>
      </w:r>
      <w:r>
        <w:rPr>
          <w:rFonts w:ascii="Microsoft JhengHei" w:eastAsia="Microsoft JhengHei"/>
          <w:b/>
          <w:spacing w:val="-4"/>
          <w:sz w:val="20"/>
        </w:rPr>
        <w:t>第十五條</w:t>
      </w:r>
      <w:r>
        <w:rPr>
          <w:rFonts w:ascii="Microsoft JhengHei" w:eastAsia="Microsoft JhengHei"/>
          <w:b/>
          <w:sz w:val="20"/>
        </w:rPr>
        <w:tab/>
      </w:r>
      <w:r>
        <w:rPr>
          <w:rFonts w:ascii="Microsoft JhengHei" w:eastAsia="Microsoft JhengHei"/>
          <w:b/>
          <w:spacing w:val="-4"/>
          <w:sz w:val="20"/>
        </w:rPr>
        <w:t>除外責任</w:t>
      </w:r>
    </w:p>
    <w:p>
      <w:pPr>
        <w:pStyle w:val="BodyText"/>
        <w:spacing w:line="213" w:lineRule="exact"/>
        <w:ind w:left="898"/>
      </w:pPr>
      <w:r>
        <w:rPr>
          <w:spacing w:val="-3"/>
        </w:rPr>
        <w:t>被保險人因下列原因所致之「第一類特定傷病」、「第二類特定傷病及手術」者，本公司不負給付各</w:t>
      </w:r>
    </w:p>
    <w:p>
      <w:pPr>
        <w:spacing w:after="0" w:line="213" w:lineRule="exact"/>
        <w:sectPr>
          <w:pgSz w:w="11910" w:h="16840"/>
          <w:pgMar w:header="0" w:footer="855" w:top="1340" w:bottom="1040" w:left="1020" w:right="980"/>
        </w:sectPr>
      </w:pPr>
    </w:p>
    <w:p>
      <w:pPr>
        <w:pStyle w:val="BodyText"/>
        <w:spacing w:before="47"/>
        <w:ind w:left="898"/>
      </w:pPr>
      <w:r>
        <w:rPr>
          <w:spacing w:val="-4"/>
        </w:rPr>
        <w:t>項保險金的責任：</w:t>
      </w:r>
    </w:p>
    <w:p>
      <w:pPr>
        <w:pStyle w:val="BodyText"/>
        <w:spacing w:line="244" w:lineRule="auto" w:before="3"/>
        <w:ind w:left="898" w:right="4407"/>
      </w:pPr>
      <w:r>
        <w:rPr>
          <w:spacing w:val="-2"/>
        </w:rPr>
        <w:t>一、被保險人之故意行為（包括自殺及自殺未遂）</w:t>
      </w:r>
      <w:r>
        <w:rPr>
          <w:spacing w:val="-2"/>
        </w:rPr>
        <w:t>。二、被保險人之犯罪行為。</w:t>
      </w:r>
    </w:p>
    <w:p>
      <w:pPr>
        <w:pStyle w:val="BodyText"/>
        <w:spacing w:line="254" w:lineRule="exact"/>
        <w:ind w:left="898"/>
      </w:pPr>
      <w:r>
        <w:rPr>
          <w:spacing w:val="-3"/>
        </w:rPr>
        <w:t>三、被保險人非法施用防制毒品相關法令所稱之毒品。</w:t>
      </w:r>
    </w:p>
    <w:p>
      <w:pPr>
        <w:pStyle w:val="BodyText"/>
        <w:spacing w:line="244" w:lineRule="auto" w:before="3"/>
        <w:ind w:left="898" w:right="150"/>
      </w:pPr>
      <w:r>
        <w:rPr>
          <w:spacing w:val="-2"/>
        </w:rPr>
        <w:t>因第一項各款情形而免給付保險金者，本契約累積達有保單價值準備金時，依照約定給付保單價值準備金予應得之人。</w:t>
      </w:r>
    </w:p>
    <w:p>
      <w:pPr>
        <w:pStyle w:val="Heading1"/>
        <w:tabs>
          <w:tab w:pos="1116" w:val="left" w:leader="none"/>
        </w:tabs>
        <w:spacing w:before="196"/>
      </w:pPr>
      <w:r>
        <w:rPr>
          <w:spacing w:val="-2"/>
        </w:rPr>
        <w:t>第十六</w:t>
      </w:r>
      <w:r>
        <w:rPr>
          <w:spacing w:val="-10"/>
        </w:rPr>
        <w:t>條</w:t>
      </w:r>
      <w:r>
        <w:rPr/>
        <w:tab/>
      </w:r>
      <w:r>
        <w:rPr>
          <w:spacing w:val="-2"/>
        </w:rPr>
        <w:t>保險事故的通知與保險金的申請時</w:t>
      </w:r>
      <w:r>
        <w:rPr>
          <w:spacing w:val="-10"/>
        </w:rPr>
        <w:t>間</w:t>
      </w:r>
    </w:p>
    <w:p>
      <w:pPr>
        <w:pStyle w:val="BodyText"/>
        <w:spacing w:line="234" w:lineRule="exact"/>
        <w:ind w:left="898"/>
      </w:pPr>
      <w:r>
        <w:rPr>
          <w:spacing w:val="-3"/>
        </w:rPr>
        <w:t>要保人、被保險人或受益人應於知悉本公司應負保險責任之事故後十日內通知本公司，並於通知後儘</w:t>
      </w:r>
    </w:p>
    <w:p>
      <w:pPr>
        <w:pStyle w:val="BodyText"/>
        <w:spacing w:before="3"/>
        <w:ind w:left="898"/>
      </w:pPr>
      <w:r>
        <w:rPr>
          <w:spacing w:val="-3"/>
        </w:rPr>
        <w:t>速檢具所需文件向本公司申請給付保險金。</w:t>
      </w:r>
    </w:p>
    <w:p>
      <w:pPr>
        <w:pStyle w:val="BodyText"/>
        <w:spacing w:line="242" w:lineRule="auto" w:before="6"/>
        <w:ind w:left="898" w:right="153"/>
      </w:pPr>
      <w:r>
        <w:rPr>
          <w:spacing w:val="-2"/>
        </w:rPr>
        <w:t>本公司應於收齊前項文件後十五日內給付之。但因可歸責於本公司之事由致未在前述約定期限內為給付者，應按年利一分加計利息給付。</w:t>
      </w:r>
    </w:p>
    <w:p>
      <w:pPr>
        <w:pStyle w:val="Heading1"/>
        <w:tabs>
          <w:tab w:pos="1116" w:val="left" w:leader="none"/>
        </w:tabs>
        <w:spacing w:before="198"/>
      </w:pPr>
      <w:r>
        <w:rPr/>
        <w:drawing>
          <wp:anchor distT="0" distB="0" distL="0" distR="0" allowOverlap="1" layoutInCell="1" locked="0" behindDoc="1" simplePos="0" relativeHeight="487465472">
            <wp:simplePos x="0" y="0"/>
            <wp:positionH relativeFrom="page">
              <wp:posOffset>2873375</wp:posOffset>
            </wp:positionH>
            <wp:positionV relativeFrom="paragraph">
              <wp:posOffset>266452</wp:posOffset>
            </wp:positionV>
            <wp:extent cx="1836419" cy="4427220"/>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1836419" cy="4427220"/>
                    </a:xfrm>
                    <a:prstGeom prst="rect">
                      <a:avLst/>
                    </a:prstGeom>
                  </pic:spPr>
                </pic:pic>
              </a:graphicData>
            </a:graphic>
          </wp:anchor>
        </w:drawing>
      </w:r>
      <w:r>
        <w:rPr>
          <w:spacing w:val="-2"/>
        </w:rPr>
        <w:t>第十七</w:t>
      </w:r>
      <w:r>
        <w:rPr>
          <w:spacing w:val="-10"/>
        </w:rPr>
        <w:t>條</w:t>
      </w:r>
      <w:r>
        <w:rPr/>
        <w:tab/>
      </w:r>
      <w:r>
        <w:rPr>
          <w:spacing w:val="-2"/>
        </w:rPr>
        <w:t>保險金的申</w:t>
      </w:r>
      <w:r>
        <w:rPr>
          <w:spacing w:val="-10"/>
        </w:rPr>
        <w:t>領</w:t>
      </w:r>
    </w:p>
    <w:p>
      <w:pPr>
        <w:pStyle w:val="BodyText"/>
        <w:spacing w:line="234" w:lineRule="exact"/>
        <w:ind w:left="898"/>
      </w:pPr>
      <w:r>
        <w:rPr>
          <w:spacing w:val="-3"/>
        </w:rPr>
        <w:t>受益人申領本契約各項保險金時，應檢具下列文件：</w:t>
      </w:r>
    </w:p>
    <w:p>
      <w:pPr>
        <w:pStyle w:val="BodyText"/>
        <w:spacing w:line="242" w:lineRule="auto" w:before="6"/>
        <w:ind w:left="898" w:right="7007"/>
      </w:pPr>
      <w:r>
        <w:rPr>
          <w:spacing w:val="-2"/>
        </w:rPr>
        <w:t>一、保險單或其謄本。</w:t>
      </w:r>
      <w:r>
        <w:rPr>
          <w:spacing w:val="-2"/>
        </w:rPr>
        <w:t>二、保險金申請書。</w:t>
      </w:r>
    </w:p>
    <w:p>
      <w:pPr>
        <w:pStyle w:val="BodyText"/>
        <w:spacing w:line="242" w:lineRule="auto" w:before="3"/>
        <w:ind w:left="1260" w:right="151" w:hanging="363"/>
      </w:pPr>
      <w:r>
        <w:rPr>
          <w:spacing w:val="-2"/>
        </w:rPr>
        <w:t>三、醫療診斷書及相關檢驗報告。(但要保人或被保險人為醫師時，不得為被保險人出具診斷證明書及相關檢驗報告)</w:t>
      </w:r>
    </w:p>
    <w:p>
      <w:pPr>
        <w:pStyle w:val="BodyText"/>
        <w:spacing w:before="1"/>
        <w:ind w:left="898"/>
      </w:pPr>
      <w:r>
        <w:rPr>
          <w:spacing w:val="-3"/>
        </w:rPr>
        <w:t>四、受益人的身分證明。</w:t>
      </w:r>
    </w:p>
    <w:p>
      <w:pPr>
        <w:pStyle w:val="BodyText"/>
        <w:spacing w:line="244" w:lineRule="auto" w:before="6"/>
        <w:ind w:left="898" w:right="148"/>
        <w:jc w:val="both"/>
      </w:pPr>
      <w:r>
        <w:rPr>
          <w:spacing w:val="-2"/>
        </w:rPr>
        <w:t>受益人申領保險金時，本公司基於審核保險金之需要，得徵詢其他醫師之醫學專業意見，並得經受益人同意調閱被保險人之就醫相關資料。因此所生之費用由本公司負擔。但不因此延展本公司依第十六條第二項約定應給付之期限。</w:t>
      </w:r>
    </w:p>
    <w:p>
      <w:pPr>
        <w:pStyle w:val="BodyText"/>
        <w:spacing w:before="194"/>
        <w:ind w:left="0"/>
      </w:pPr>
    </w:p>
    <w:p>
      <w:pPr>
        <w:pStyle w:val="Heading1"/>
        <w:tabs>
          <w:tab w:pos="1109" w:val="left" w:leader="none"/>
        </w:tabs>
        <w:spacing w:line="346" w:lineRule="exact" w:before="0"/>
        <w:ind w:left="105"/>
      </w:pPr>
      <w:r>
        <w:rPr>
          <w:spacing w:val="-2"/>
        </w:rPr>
        <w:t>第十八</w:t>
      </w:r>
      <w:r>
        <w:rPr>
          <w:spacing w:val="-10"/>
        </w:rPr>
        <w:t>條</w:t>
      </w:r>
      <w:r>
        <w:rPr/>
        <w:tab/>
      </w:r>
      <w:r>
        <w:rPr>
          <w:spacing w:val="-2"/>
        </w:rPr>
        <w:t>欠繳保險費或未還款項的扣</w:t>
      </w:r>
      <w:r>
        <w:rPr>
          <w:spacing w:val="-10"/>
        </w:rPr>
        <w:t>除</w:t>
      </w:r>
    </w:p>
    <w:p>
      <w:pPr>
        <w:pStyle w:val="BodyText"/>
        <w:spacing w:line="235" w:lineRule="exact"/>
        <w:ind w:left="898"/>
      </w:pPr>
      <w:r>
        <w:rPr>
          <w:spacing w:val="-3"/>
        </w:rPr>
        <w:t>本公司給付各項保險金、解約金、返還保單價值準備金或退還已繳保險費時，如要保人有欠繳保險費</w:t>
      </w:r>
    </w:p>
    <w:p>
      <w:pPr>
        <w:pStyle w:val="BodyText"/>
        <w:spacing w:line="242" w:lineRule="auto" w:before="5"/>
        <w:ind w:left="898" w:right="150"/>
      </w:pPr>
      <w:r>
        <w:rPr>
          <w:spacing w:val="-2"/>
        </w:rPr>
        <w:t>（包括經本公司墊繳的保險費）或保險單借款未還清者，本公司得先抵銷上述欠款及扣除其應付利息後給付其餘額。</w:t>
      </w:r>
    </w:p>
    <w:p>
      <w:pPr>
        <w:pStyle w:val="Heading1"/>
        <w:tabs>
          <w:tab w:pos="1109" w:val="left" w:leader="none"/>
        </w:tabs>
        <w:spacing w:line="346" w:lineRule="exact" w:before="197"/>
        <w:ind w:left="105"/>
      </w:pPr>
      <w:r>
        <w:rPr>
          <w:spacing w:val="-2"/>
        </w:rPr>
        <w:t>第十九</w:t>
      </w:r>
      <w:r>
        <w:rPr>
          <w:spacing w:val="-10"/>
        </w:rPr>
        <w:t>條</w:t>
      </w:r>
      <w:r>
        <w:rPr/>
        <w:tab/>
      </w:r>
      <w:r>
        <w:rPr>
          <w:spacing w:val="-2"/>
        </w:rPr>
        <w:t>保險單借款及契約效力的停</w:t>
      </w:r>
      <w:r>
        <w:rPr>
          <w:spacing w:val="-10"/>
        </w:rPr>
        <w:t>止</w:t>
      </w:r>
    </w:p>
    <w:p>
      <w:pPr>
        <w:pStyle w:val="BodyText"/>
        <w:spacing w:line="235" w:lineRule="exact"/>
        <w:ind w:left="898"/>
      </w:pPr>
      <w:r>
        <w:rPr>
          <w:spacing w:val="-3"/>
        </w:rPr>
        <w:t>要保人繳足保險費累積達有保單價值準備金時，要保人得向本公司申請保險單借款，其可借金額上限</w:t>
      </w:r>
    </w:p>
    <w:p>
      <w:pPr>
        <w:pStyle w:val="BodyText"/>
        <w:spacing w:line="242" w:lineRule="auto" w:before="5"/>
        <w:ind w:left="898" w:right="156"/>
      </w:pPr>
      <w:r>
        <w:rPr>
          <w:spacing w:val="-2"/>
        </w:rPr>
        <w:t>為借款當日保單價值準備金之百分之五十，未償還之借款本息，超過其保單價值準備金時，本契約效力即行停止。但本公司應於效力停止日之三十日前以書面通知要保人。</w:t>
      </w:r>
    </w:p>
    <w:p>
      <w:pPr>
        <w:pStyle w:val="BodyText"/>
        <w:spacing w:line="244" w:lineRule="auto" w:before="1"/>
        <w:ind w:left="898" w:right="150"/>
      </w:pPr>
      <w:r>
        <w:rPr>
          <w:spacing w:val="-2"/>
        </w:rPr>
        <w:t>本公司未依前項規定為通知時，於本公司以書面通知要保人返還借款本息之日起三十日內要保人未返還者，本契約之效力自該三十日之次日起停止。</w:t>
      </w:r>
    </w:p>
    <w:p>
      <w:pPr>
        <w:pStyle w:val="Heading1"/>
        <w:tabs>
          <w:tab w:pos="1116" w:val="left" w:leader="none"/>
        </w:tabs>
        <w:spacing w:before="196"/>
      </w:pPr>
      <w:r>
        <w:rPr>
          <w:spacing w:val="-2"/>
        </w:rPr>
        <w:t>第二十</w:t>
      </w:r>
      <w:r>
        <w:rPr>
          <w:spacing w:val="-10"/>
        </w:rPr>
        <w:t>條</w:t>
      </w:r>
      <w:r>
        <w:rPr/>
        <w:tab/>
      </w:r>
      <w:r>
        <w:rPr>
          <w:spacing w:val="-2"/>
        </w:rPr>
        <w:t>投保年齡的計算及錯誤的處</w:t>
      </w:r>
      <w:r>
        <w:rPr>
          <w:spacing w:val="-10"/>
        </w:rPr>
        <w:t>理</w:t>
      </w:r>
    </w:p>
    <w:p>
      <w:pPr>
        <w:pStyle w:val="BodyText"/>
        <w:spacing w:line="234" w:lineRule="exact"/>
        <w:ind w:left="898"/>
      </w:pPr>
      <w:r>
        <w:rPr>
          <w:spacing w:val="-3"/>
        </w:rPr>
        <w:t>要保人在申請投保時，應將被保險人出生年月日在要保書填明。被保險人的投保年齡，以足歲計算，</w:t>
      </w:r>
    </w:p>
    <w:p>
      <w:pPr>
        <w:pStyle w:val="BodyText"/>
        <w:spacing w:before="3"/>
        <w:ind w:left="898"/>
      </w:pPr>
      <w:r>
        <w:rPr>
          <w:spacing w:val="-3"/>
        </w:rPr>
        <w:t>但未滿一歲的零數超過六個月者，加算一歲。</w:t>
      </w:r>
    </w:p>
    <w:p>
      <w:pPr>
        <w:pStyle w:val="BodyText"/>
        <w:spacing w:before="6"/>
        <w:ind w:left="898"/>
      </w:pPr>
      <w:r>
        <w:rPr>
          <w:spacing w:val="-3"/>
        </w:rPr>
        <w:t>被保險人的投保年齡發生錯誤時，依下列規定辦理：</w:t>
      </w:r>
    </w:p>
    <w:p>
      <w:pPr>
        <w:pStyle w:val="BodyText"/>
        <w:spacing w:line="244" w:lineRule="auto" w:before="2"/>
        <w:ind w:left="1296" w:right="150" w:hanging="399"/>
      </w:pPr>
      <w:r>
        <w:rPr>
          <w:spacing w:val="-2"/>
        </w:rPr>
        <w:t>一、真實投保年齡較本公司保險費率表所載最高年齡為大者，本契約無效，其已繳保險費無息退還要</w:t>
      </w:r>
      <w:r>
        <w:rPr>
          <w:spacing w:val="-4"/>
        </w:rPr>
        <w:t>保人。</w:t>
      </w:r>
    </w:p>
    <w:p>
      <w:pPr>
        <w:pStyle w:val="BodyText"/>
        <w:spacing w:line="244" w:lineRule="auto"/>
        <w:ind w:left="1296" w:right="147" w:hanging="399"/>
        <w:jc w:val="both"/>
      </w:pPr>
      <w:r>
        <w:rPr>
          <w:spacing w:val="-2"/>
        </w:rPr>
        <w:t>二、因投保年齡的錯誤，而致溢繳保險費者，本公司無息退還溢繳部分的保險費。但在發生保險事故後始發覺且其錯誤發生在本公司者，本公司按原繳保險費與應繳保險費的比例提高保險金額，而不退還溢繳部分的保險費。</w:t>
      </w:r>
    </w:p>
    <w:p>
      <w:pPr>
        <w:pStyle w:val="BodyText"/>
        <w:spacing w:line="244" w:lineRule="auto"/>
        <w:ind w:left="1296" w:right="147" w:hanging="399"/>
        <w:jc w:val="both"/>
      </w:pPr>
      <w:r>
        <w:rPr>
          <w:spacing w:val="-2"/>
        </w:rPr>
        <w:t>三、因投保年齡的錯誤，而致短繳保險費者，要保人得補繳短繳的保險費或按照所付的保險費與被保險人的真實年齡比例減少保險金額。但在發生保險事故後始發覺且其錯誤不可歸責於本公司者，要保人不得要求補繳短繳的保險費。</w:t>
      </w:r>
    </w:p>
    <w:p>
      <w:pPr>
        <w:pStyle w:val="BodyText"/>
        <w:spacing w:line="244" w:lineRule="auto"/>
        <w:ind w:left="898" w:right="150"/>
      </w:pPr>
      <w:r>
        <w:rPr>
          <w:spacing w:val="-2"/>
        </w:rPr>
        <w:t>前項第一款、第二款前段情形，其錯誤原因歸責於本公司者，應加計利息退還保險費，其利息按本保險單辦理保險單借款之利率與民法第二百零三條法定週年利率兩者取其大之值計算。</w:t>
      </w:r>
    </w:p>
    <w:p>
      <w:pPr>
        <w:spacing w:after="0" w:line="244" w:lineRule="auto"/>
        <w:sectPr>
          <w:pgSz w:w="11910" w:h="16840"/>
          <w:pgMar w:header="0" w:footer="855" w:top="1340" w:bottom="1040" w:left="1020" w:right="980"/>
        </w:sectPr>
      </w:pPr>
    </w:p>
    <w:p>
      <w:pPr>
        <w:pStyle w:val="Heading1"/>
        <w:tabs>
          <w:tab w:pos="1315" w:val="left" w:leader="none"/>
        </w:tabs>
        <w:spacing w:line="309" w:lineRule="exact" w:before="0"/>
      </w:pPr>
      <w:r>
        <w:rPr>
          <w:spacing w:val="-2"/>
        </w:rPr>
        <w:t>第二十一</w:t>
      </w:r>
      <w:r>
        <w:rPr>
          <w:spacing w:val="-10"/>
        </w:rPr>
        <w:t>條</w:t>
      </w:r>
      <w:r>
        <w:rPr/>
        <w:tab/>
      </w:r>
      <w:r>
        <w:rPr>
          <w:spacing w:val="-2"/>
        </w:rPr>
        <w:t>受益</w:t>
      </w:r>
      <w:r>
        <w:rPr>
          <w:spacing w:val="-10"/>
        </w:rPr>
        <w:t>人</w:t>
      </w:r>
    </w:p>
    <w:p>
      <w:pPr>
        <w:pStyle w:val="BodyText"/>
        <w:spacing w:line="234" w:lineRule="exact"/>
        <w:ind w:left="1114"/>
      </w:pPr>
      <w:r>
        <w:rPr>
          <w:spacing w:val="-3"/>
        </w:rPr>
        <w:t>本契約各項保險金之受益人為被保險人本人，本公司不受理其指定及變更。</w:t>
      </w:r>
    </w:p>
    <w:p>
      <w:pPr>
        <w:pStyle w:val="BodyText"/>
        <w:spacing w:line="242" w:lineRule="auto" w:before="5"/>
        <w:ind w:left="1114" w:right="150"/>
      </w:pPr>
      <w:r>
        <w:rPr>
          <w:spacing w:val="-2"/>
        </w:rPr>
        <w:t>被保險人身故時，如本契約保險金尚未給付或未完全給付，則以被保險人身故時之法定繼承人為該</w:t>
      </w:r>
      <w:r>
        <w:rPr>
          <w:spacing w:val="-2"/>
        </w:rPr>
        <w:t>部分保險金之受益人。</w:t>
      </w:r>
    </w:p>
    <w:p>
      <w:pPr>
        <w:pStyle w:val="BodyText"/>
        <w:spacing w:before="1"/>
        <w:ind w:left="1114"/>
      </w:pPr>
      <w:r>
        <w:rPr>
          <w:spacing w:val="-3"/>
        </w:rPr>
        <w:t>本契約受益人為法定繼承人時，其受益順序及應得比例適用民法繼承編之相關規定。</w:t>
      </w:r>
    </w:p>
    <w:p>
      <w:pPr>
        <w:pStyle w:val="Heading1"/>
        <w:tabs>
          <w:tab w:pos="1315" w:val="left" w:leader="none"/>
        </w:tabs>
        <w:spacing w:line="346" w:lineRule="exact"/>
      </w:pPr>
      <w:r>
        <w:rPr>
          <w:spacing w:val="-2"/>
        </w:rPr>
        <w:t>第二十二</w:t>
      </w:r>
      <w:r>
        <w:rPr>
          <w:spacing w:val="-10"/>
        </w:rPr>
        <w:t>條</w:t>
      </w:r>
      <w:r>
        <w:rPr/>
        <w:tab/>
      </w:r>
      <w:r>
        <w:rPr>
          <w:spacing w:val="-2"/>
        </w:rPr>
        <w:t>變更住</w:t>
      </w:r>
      <w:r>
        <w:rPr>
          <w:spacing w:val="-10"/>
        </w:rPr>
        <w:t>所</w:t>
      </w:r>
    </w:p>
    <w:p>
      <w:pPr>
        <w:pStyle w:val="BodyText"/>
        <w:spacing w:line="235" w:lineRule="exact"/>
        <w:ind w:left="1114"/>
      </w:pPr>
      <w:r>
        <w:rPr>
          <w:spacing w:val="-3"/>
        </w:rPr>
        <w:t>要保人的住所有變更時，應即以書面或其他約定方式通知本公司。</w:t>
      </w:r>
    </w:p>
    <w:p>
      <w:pPr>
        <w:pStyle w:val="BodyText"/>
        <w:spacing w:before="3"/>
        <w:ind w:left="1114"/>
      </w:pPr>
      <w:r>
        <w:rPr>
          <w:spacing w:val="-3"/>
        </w:rPr>
        <w:t>要保人不為前項通知者，本公司之各項通知，得以本契約所載要保人之最後住所發送之。</w:t>
      </w:r>
    </w:p>
    <w:p>
      <w:pPr>
        <w:pStyle w:val="Heading1"/>
        <w:tabs>
          <w:tab w:pos="1315" w:val="left" w:leader="none"/>
        </w:tabs>
      </w:pPr>
      <w:r>
        <w:rPr>
          <w:spacing w:val="-2"/>
        </w:rPr>
        <w:t>第二十三</w:t>
      </w:r>
      <w:r>
        <w:rPr>
          <w:spacing w:val="-10"/>
        </w:rPr>
        <w:t>條</w:t>
      </w:r>
      <w:r>
        <w:rPr/>
        <w:tab/>
      </w:r>
      <w:r>
        <w:rPr>
          <w:spacing w:val="-2"/>
        </w:rPr>
        <w:t>時</w:t>
      </w:r>
      <w:r>
        <w:rPr>
          <w:spacing w:val="-10"/>
        </w:rPr>
        <w:t>效</w:t>
      </w:r>
    </w:p>
    <w:p>
      <w:pPr>
        <w:pStyle w:val="BodyText"/>
        <w:spacing w:line="234" w:lineRule="exact"/>
        <w:ind w:left="1114"/>
      </w:pPr>
      <w:r>
        <w:rPr>
          <w:spacing w:val="-3"/>
        </w:rPr>
        <w:t>由本契約所生的權利，自得為請求之日起，經過兩年不行使而消滅。</w:t>
      </w:r>
    </w:p>
    <w:p>
      <w:pPr>
        <w:pStyle w:val="Heading1"/>
        <w:tabs>
          <w:tab w:pos="1315" w:val="left" w:leader="none"/>
        </w:tabs>
      </w:pPr>
      <w:r>
        <w:rPr/>
        <w:drawing>
          <wp:anchor distT="0" distB="0" distL="0" distR="0" allowOverlap="1" layoutInCell="1" locked="0" behindDoc="1" simplePos="0" relativeHeight="487465984">
            <wp:simplePos x="0" y="0"/>
            <wp:positionH relativeFrom="page">
              <wp:posOffset>2873375</wp:posOffset>
            </wp:positionH>
            <wp:positionV relativeFrom="paragraph">
              <wp:posOffset>267902</wp:posOffset>
            </wp:positionV>
            <wp:extent cx="1836419" cy="4427220"/>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1836419" cy="4427220"/>
                    </a:xfrm>
                    <a:prstGeom prst="rect">
                      <a:avLst/>
                    </a:prstGeom>
                  </pic:spPr>
                </pic:pic>
              </a:graphicData>
            </a:graphic>
          </wp:anchor>
        </w:drawing>
      </w:r>
      <w:r>
        <w:rPr>
          <w:spacing w:val="-2"/>
        </w:rPr>
        <w:t>第二十四</w:t>
      </w:r>
      <w:r>
        <w:rPr>
          <w:spacing w:val="-10"/>
        </w:rPr>
        <w:t>條</w:t>
      </w:r>
      <w:r>
        <w:rPr/>
        <w:tab/>
      </w:r>
      <w:r>
        <w:rPr>
          <w:spacing w:val="-2"/>
        </w:rPr>
        <w:t>批</w:t>
      </w:r>
      <w:r>
        <w:rPr>
          <w:spacing w:val="-10"/>
        </w:rPr>
        <w:t>註</w:t>
      </w:r>
    </w:p>
    <w:p>
      <w:pPr>
        <w:pStyle w:val="BodyText"/>
        <w:spacing w:line="234" w:lineRule="exact"/>
        <w:ind w:left="1114"/>
      </w:pPr>
      <w:r>
        <w:rPr>
          <w:spacing w:val="-3"/>
        </w:rPr>
        <w:t>本契約內容的變更，或記載事項的增刪，應經要保人與本公司雙方書面或其他約定方式同意，並由</w:t>
      </w:r>
    </w:p>
    <w:p>
      <w:pPr>
        <w:pStyle w:val="BodyText"/>
        <w:spacing w:before="5"/>
        <w:ind w:left="1114"/>
      </w:pPr>
      <w:r>
        <w:rPr>
          <w:spacing w:val="-3"/>
        </w:rPr>
        <w:t>本公司即予批註或發給批註書。</w:t>
      </w:r>
    </w:p>
    <w:p>
      <w:pPr>
        <w:pStyle w:val="Heading1"/>
        <w:tabs>
          <w:tab w:pos="1315" w:val="left" w:leader="none"/>
        </w:tabs>
      </w:pPr>
      <w:r>
        <w:rPr>
          <w:spacing w:val="-2"/>
        </w:rPr>
        <w:t>第二十五</w:t>
      </w:r>
      <w:r>
        <w:rPr>
          <w:spacing w:val="-10"/>
        </w:rPr>
        <w:t>條</w:t>
      </w:r>
      <w:r>
        <w:rPr/>
        <w:tab/>
      </w:r>
      <w:r>
        <w:rPr>
          <w:spacing w:val="-2"/>
        </w:rPr>
        <w:t>管轄法</w:t>
      </w:r>
      <w:r>
        <w:rPr>
          <w:spacing w:val="-10"/>
        </w:rPr>
        <w:t>院</w:t>
      </w:r>
    </w:p>
    <w:p>
      <w:pPr>
        <w:pStyle w:val="BodyText"/>
        <w:spacing w:line="234" w:lineRule="exact"/>
        <w:ind w:left="1114"/>
      </w:pPr>
      <w:r>
        <w:rPr>
          <w:spacing w:val="-3"/>
        </w:rPr>
        <w:t>因本契約涉訟者，同意以要保人住所所在地地方法院為第一審管轄法院，要保人的住所在中華民國</w:t>
      </w:r>
    </w:p>
    <w:p>
      <w:pPr>
        <w:pStyle w:val="BodyText"/>
        <w:spacing w:line="244" w:lineRule="auto" w:before="3"/>
        <w:ind w:left="1114" w:right="156"/>
      </w:pPr>
      <w:r>
        <w:rPr>
          <w:spacing w:val="-2"/>
        </w:rPr>
        <w:t>境外時，以本公司總公司所在地地方法院為第一審管轄法院。但不得排除消費者保護法第四十七條</w:t>
      </w:r>
      <w:r>
        <w:rPr>
          <w:spacing w:val="-2"/>
        </w:rPr>
        <w:t>及民事訴訟法第四百三十六條之九小額訴訟管轄法院之適用。</w:t>
      </w:r>
    </w:p>
    <w:sectPr>
      <w:pgSz w:w="11910" w:h="16840"/>
      <w:pgMar w:header="0" w:footer="855" w:top="1360" w:bottom="1040" w:left="102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Microsoft JhengHei">
    <w:altName w:val="Microsoft JhengHei"/>
    <w:charset w:val="1"/>
    <w:family w:val="swiss"/>
    <w:pitch w:val="variable"/>
  </w:font>
  <w:font w:name="Malgun Gothic">
    <w:altName w:val="Malgun Gothic"/>
    <w:charset w:val="1"/>
    <w:family w:val="swiss"/>
    <w:pitch w:val="variable"/>
  </w:font>
  <w:font w:name="SimSun">
    <w:altName w:val="SimSu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462912">
              <wp:simplePos x="0" y="0"/>
              <wp:positionH relativeFrom="page">
                <wp:posOffset>3418459</wp:posOffset>
              </wp:positionH>
              <wp:positionV relativeFrom="page">
                <wp:posOffset>10009634</wp:posOffset>
              </wp:positionV>
              <wp:extent cx="787400"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787400" cy="152400"/>
                      </a:xfrm>
                      <a:prstGeom prst="rect">
                        <a:avLst/>
                      </a:prstGeom>
                    </wps:spPr>
                    <wps:txbx>
                      <w:txbxContent>
                        <w:p>
                          <w:pPr>
                            <w:spacing w:line="239" w:lineRule="exact" w:before="0"/>
                            <w:ind w:left="20" w:right="0" w:firstLine="0"/>
                            <w:jc w:val="left"/>
                            <w:rPr>
                              <w:rFonts w:ascii="Microsoft JhengHei" w:eastAsia="Microsoft JhengHei"/>
                              <w:b/>
                              <w:sz w:val="20"/>
                            </w:rPr>
                          </w:pPr>
                          <w:r>
                            <w:rPr>
                              <w:rFonts w:ascii="Microsoft JhengHei" w:eastAsia="Microsoft JhengHei"/>
                              <w:b/>
                              <w:spacing w:val="-8"/>
                              <w:sz w:val="20"/>
                            </w:rPr>
                            <w:t>第</w:t>
                          </w:r>
                          <w:r>
                            <w:rPr>
                              <w:rFonts w:ascii="Microsoft JhengHei" w:eastAsia="Microsoft JhengHei"/>
                              <w:b/>
                              <w:spacing w:val="-8"/>
                              <w:sz w:val="20"/>
                            </w:rPr>
                            <w:fldChar w:fldCharType="begin"/>
                          </w:r>
                          <w:r>
                            <w:rPr>
                              <w:rFonts w:ascii="Microsoft JhengHei" w:eastAsia="Microsoft JhengHei"/>
                              <w:b/>
                              <w:spacing w:val="-8"/>
                              <w:sz w:val="20"/>
                            </w:rPr>
                            <w:instrText> PAGE </w:instrText>
                          </w:r>
                          <w:r>
                            <w:rPr>
                              <w:rFonts w:ascii="Microsoft JhengHei" w:eastAsia="Microsoft JhengHei"/>
                              <w:b/>
                              <w:spacing w:val="-8"/>
                              <w:sz w:val="20"/>
                            </w:rPr>
                            <w:fldChar w:fldCharType="separate"/>
                          </w:r>
                          <w:r>
                            <w:rPr>
                              <w:rFonts w:ascii="Microsoft JhengHei" w:eastAsia="Microsoft JhengHei"/>
                              <w:b/>
                              <w:spacing w:val="-8"/>
                              <w:sz w:val="20"/>
                            </w:rPr>
                            <w:t>1</w:t>
                          </w:r>
                          <w:r>
                            <w:rPr>
                              <w:rFonts w:ascii="Microsoft JhengHei" w:eastAsia="Microsoft JhengHei"/>
                              <w:b/>
                              <w:spacing w:val="-8"/>
                              <w:sz w:val="20"/>
                            </w:rPr>
                            <w:fldChar w:fldCharType="end"/>
                          </w:r>
                          <w:r>
                            <w:rPr>
                              <w:rFonts w:ascii="Microsoft JhengHei" w:eastAsia="Microsoft JhengHei"/>
                              <w:b/>
                              <w:spacing w:val="-8"/>
                              <w:sz w:val="20"/>
                            </w:rPr>
                            <w:t>頁，共</w:t>
                          </w:r>
                          <w:r>
                            <w:rPr>
                              <w:rFonts w:ascii="Microsoft JhengHei" w:eastAsia="Microsoft JhengHei"/>
                              <w:b/>
                              <w:spacing w:val="-8"/>
                              <w:sz w:val="20"/>
                            </w:rPr>
                            <w:fldChar w:fldCharType="begin"/>
                          </w:r>
                          <w:r>
                            <w:rPr>
                              <w:rFonts w:ascii="Microsoft JhengHei" w:eastAsia="Microsoft JhengHei"/>
                              <w:b/>
                              <w:spacing w:val="-8"/>
                              <w:sz w:val="20"/>
                            </w:rPr>
                            <w:instrText> NUMPAGES </w:instrText>
                          </w:r>
                          <w:r>
                            <w:rPr>
                              <w:rFonts w:ascii="Microsoft JhengHei" w:eastAsia="Microsoft JhengHei"/>
                              <w:b/>
                              <w:spacing w:val="-8"/>
                              <w:sz w:val="20"/>
                            </w:rPr>
                            <w:fldChar w:fldCharType="separate"/>
                          </w:r>
                          <w:r>
                            <w:rPr>
                              <w:rFonts w:ascii="Microsoft JhengHei" w:eastAsia="Microsoft JhengHei"/>
                              <w:b/>
                              <w:spacing w:val="-8"/>
                              <w:sz w:val="20"/>
                            </w:rPr>
                            <w:t>6</w:t>
                          </w:r>
                          <w:r>
                            <w:rPr>
                              <w:rFonts w:ascii="Microsoft JhengHei" w:eastAsia="Microsoft JhengHei"/>
                              <w:b/>
                              <w:spacing w:val="-8"/>
                              <w:sz w:val="20"/>
                            </w:rPr>
                            <w:fldChar w:fldCharType="end"/>
                          </w:r>
                          <w:r>
                            <w:rPr>
                              <w:rFonts w:ascii="Microsoft JhengHei" w:eastAsia="Microsoft JhengHei"/>
                              <w:b/>
                              <w:spacing w:val="-10"/>
                              <w:sz w:val="20"/>
                            </w:rPr>
                            <w:t>頁</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69.170013pt;margin-top:788.160217pt;width:62pt;height:12pt;mso-position-horizontal-relative:page;mso-position-vertical-relative:page;z-index:-15853568" type="#_x0000_t202" id="docshape1" filled="false" stroked="false">
              <v:textbox inset="0,0,0,0">
                <w:txbxContent>
                  <w:p>
                    <w:pPr>
                      <w:spacing w:line="239" w:lineRule="exact" w:before="0"/>
                      <w:ind w:left="20" w:right="0" w:firstLine="0"/>
                      <w:jc w:val="left"/>
                      <w:rPr>
                        <w:rFonts w:ascii="Microsoft JhengHei" w:eastAsia="Microsoft JhengHei"/>
                        <w:b/>
                        <w:sz w:val="20"/>
                      </w:rPr>
                    </w:pPr>
                    <w:r>
                      <w:rPr>
                        <w:rFonts w:ascii="Microsoft JhengHei" w:eastAsia="Microsoft JhengHei"/>
                        <w:b/>
                        <w:spacing w:val="-8"/>
                        <w:sz w:val="20"/>
                      </w:rPr>
                      <w:t>第</w:t>
                    </w:r>
                    <w:r>
                      <w:rPr>
                        <w:rFonts w:ascii="Microsoft JhengHei" w:eastAsia="Microsoft JhengHei"/>
                        <w:b/>
                        <w:spacing w:val="-8"/>
                        <w:sz w:val="20"/>
                      </w:rPr>
                      <w:fldChar w:fldCharType="begin"/>
                    </w:r>
                    <w:r>
                      <w:rPr>
                        <w:rFonts w:ascii="Microsoft JhengHei" w:eastAsia="Microsoft JhengHei"/>
                        <w:b/>
                        <w:spacing w:val="-8"/>
                        <w:sz w:val="20"/>
                      </w:rPr>
                      <w:instrText> PAGE </w:instrText>
                    </w:r>
                    <w:r>
                      <w:rPr>
                        <w:rFonts w:ascii="Microsoft JhengHei" w:eastAsia="Microsoft JhengHei"/>
                        <w:b/>
                        <w:spacing w:val="-8"/>
                        <w:sz w:val="20"/>
                      </w:rPr>
                      <w:fldChar w:fldCharType="separate"/>
                    </w:r>
                    <w:r>
                      <w:rPr>
                        <w:rFonts w:ascii="Microsoft JhengHei" w:eastAsia="Microsoft JhengHei"/>
                        <w:b/>
                        <w:spacing w:val="-8"/>
                        <w:sz w:val="20"/>
                      </w:rPr>
                      <w:t>1</w:t>
                    </w:r>
                    <w:r>
                      <w:rPr>
                        <w:rFonts w:ascii="Microsoft JhengHei" w:eastAsia="Microsoft JhengHei"/>
                        <w:b/>
                        <w:spacing w:val="-8"/>
                        <w:sz w:val="20"/>
                      </w:rPr>
                      <w:fldChar w:fldCharType="end"/>
                    </w:r>
                    <w:r>
                      <w:rPr>
                        <w:rFonts w:ascii="Microsoft JhengHei" w:eastAsia="Microsoft JhengHei"/>
                        <w:b/>
                        <w:spacing w:val="-8"/>
                        <w:sz w:val="20"/>
                      </w:rPr>
                      <w:t>頁，共</w:t>
                    </w:r>
                    <w:r>
                      <w:rPr>
                        <w:rFonts w:ascii="Microsoft JhengHei" w:eastAsia="Microsoft JhengHei"/>
                        <w:b/>
                        <w:spacing w:val="-8"/>
                        <w:sz w:val="20"/>
                      </w:rPr>
                      <w:fldChar w:fldCharType="begin"/>
                    </w:r>
                    <w:r>
                      <w:rPr>
                        <w:rFonts w:ascii="Microsoft JhengHei" w:eastAsia="Microsoft JhengHei"/>
                        <w:b/>
                        <w:spacing w:val="-8"/>
                        <w:sz w:val="20"/>
                      </w:rPr>
                      <w:instrText> NUMPAGES </w:instrText>
                    </w:r>
                    <w:r>
                      <w:rPr>
                        <w:rFonts w:ascii="Microsoft JhengHei" w:eastAsia="Microsoft JhengHei"/>
                        <w:b/>
                        <w:spacing w:val="-8"/>
                        <w:sz w:val="20"/>
                      </w:rPr>
                      <w:fldChar w:fldCharType="separate"/>
                    </w:r>
                    <w:r>
                      <w:rPr>
                        <w:rFonts w:ascii="Microsoft JhengHei" w:eastAsia="Microsoft JhengHei"/>
                        <w:b/>
                        <w:spacing w:val="-8"/>
                        <w:sz w:val="20"/>
                      </w:rPr>
                      <w:t>6</w:t>
                    </w:r>
                    <w:r>
                      <w:rPr>
                        <w:rFonts w:ascii="Microsoft JhengHei" w:eastAsia="Microsoft JhengHei"/>
                        <w:b/>
                        <w:spacing w:val="-8"/>
                        <w:sz w:val="20"/>
                      </w:rPr>
                      <w:fldChar w:fldCharType="end"/>
                    </w:r>
                    <w:r>
                      <w:rPr>
                        <w:rFonts w:ascii="Microsoft JhengHei" w:eastAsia="Microsoft JhengHei"/>
                        <w:b/>
                        <w:spacing w:val="-10"/>
                        <w:sz w:val="20"/>
                      </w:rPr>
                      <w:t>頁</w:t>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ind w:left="713"/>
    </w:pPr>
    <w:rPr>
      <w:rFonts w:ascii="SimSun" w:hAnsi="SimSun" w:eastAsia="SimSun" w:cs="SimSun"/>
      <w:sz w:val="20"/>
      <w:szCs w:val="20"/>
      <w:lang w:val="en-US" w:eastAsia="zh-TW" w:bidi="ar-SA"/>
    </w:rPr>
  </w:style>
  <w:style w:styleId="Heading1" w:type="paragraph">
    <w:name w:val="Heading 1"/>
    <w:basedOn w:val="Normal"/>
    <w:uiPriority w:val="1"/>
    <w:qFormat/>
    <w:pPr>
      <w:spacing w:before="201" w:line="345" w:lineRule="exact"/>
      <w:ind w:left="112"/>
      <w:outlineLvl w:val="1"/>
    </w:pPr>
    <w:rPr>
      <w:rFonts w:ascii="Microsoft JhengHei" w:hAnsi="Microsoft JhengHei" w:eastAsia="Microsoft JhengHei" w:cs="Microsoft JhengHei"/>
      <w:b/>
      <w:bCs/>
      <w:sz w:val="20"/>
      <w:szCs w:val="20"/>
      <w:lang w:val="en-US" w:eastAsia="zh-TW" w:bidi="ar-SA"/>
    </w:rPr>
  </w:style>
  <w:style w:styleId="Title" w:type="paragraph">
    <w:name w:val="Title"/>
    <w:basedOn w:val="Normal"/>
    <w:uiPriority w:val="1"/>
    <w:qFormat/>
    <w:pPr>
      <w:spacing w:line="477" w:lineRule="exact"/>
      <w:ind w:left="112"/>
    </w:pPr>
    <w:rPr>
      <w:rFonts w:ascii="Microsoft JhengHei" w:hAnsi="Microsoft JhengHei" w:eastAsia="Microsoft JhengHei" w:cs="Microsoft JhengHei"/>
      <w:b/>
      <w:bCs/>
      <w:sz w:val="36"/>
      <w:szCs w:val="36"/>
      <w:lang w:val="en-US" w:eastAsia="zh-TW" w:bidi="ar-SA"/>
    </w:rPr>
  </w:style>
  <w:style w:styleId="ListParagraph" w:type="paragraph">
    <w:name w:val="List Paragraph"/>
    <w:basedOn w:val="Normal"/>
    <w:uiPriority w:val="1"/>
    <w:qFormat/>
    <w:pPr/>
    <w:rPr>
      <w:lang w:val="en-US" w:eastAsia="zh-TW" w:bidi="ar-SA"/>
    </w:rPr>
  </w:style>
  <w:style w:styleId="TableParagraph" w:type="paragraph">
    <w:name w:val="Table Paragraph"/>
    <w:basedOn w:val="Normal"/>
    <w:uiPriority w:val="1"/>
    <w:qFormat/>
    <w:pPr>
      <w:spacing w:line="241" w:lineRule="exact"/>
      <w:ind w:left="12"/>
      <w:jc w:val="center"/>
    </w:pPr>
    <w:rPr>
      <w:rFonts w:ascii="SimSun" w:hAnsi="SimSun" w:eastAsia="SimSun" w:cs="SimSu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service@cathaylife.com.tw"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林佳熹</dc:creator>
  <dcterms:created xsi:type="dcterms:W3CDTF">2023-11-01T02:12:10Z</dcterms:created>
  <dcterms:modified xsi:type="dcterms:W3CDTF">2023-11-01T02:12:10Z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2023-01-10T00:00:00Z</vt:filetime>
  </property>
  <property fmtid="{D5CDD505-2E9C-101B-9397-08002B2CF9AE}" pid="3" name="Creator">
    <vt:lpwstr>Microsoft® Word 2016</vt:lpwstr>
  </property>
  <property fmtid="{D5CDD505-2E9C-101B-9397-08002B2CF9AE}" pid="4" name="LastSaved">
    <vt:filetime>2023-11-01T00:00:00Z</vt:filetime>
  </property>
  <property fmtid="{D5CDD505-2E9C-101B-9397-08002B2CF9AE}" pid="5" name="Producer">
    <vt:lpwstr>Microsoft® Word 2016</vt:lpwstr>
  </property>
</Properties>
</file>