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國泰人壽微型個人傷害保險</w:t>
      </w:r>
    </w:p>
    <w:p>
      <w:pPr>
        <w:pStyle w:val="Heading1"/>
        <w:spacing w:line="247" w:lineRule="exact"/>
      </w:pPr>
      <w:r>
        <w:rPr/>
        <w:t>（給付項目：意外身故保險金或喪葬費用保險金、意外失能保險金）</w:t>
      </w:r>
    </w:p>
    <w:p>
      <w:pPr>
        <w:spacing w:line="170" w:lineRule="auto" w:before="23"/>
        <w:ind w:left="351" w:right="0" w:hanging="200"/>
        <w:jc w:val="left"/>
        <w:rPr>
          <w:rFonts w:ascii="Microsoft JhengHei" w:eastAsia="Microsoft JhengHei" w:hint="eastAsia"/>
          <w:b/>
          <w:sz w:val="20"/>
        </w:rPr>
      </w:pPr>
      <w:r>
        <w:rPr>
          <w:rFonts w:ascii="Microsoft JhengHei" w:eastAsia="Microsoft JhengHei" w:hint="eastAsia"/>
          <w:b/>
          <w:spacing w:val="2"/>
          <w:w w:val="99"/>
          <w:sz w:val="20"/>
        </w:rPr>
        <w:t>（</w:t>
      </w:r>
      <w:r>
        <w:rPr>
          <w:rFonts w:ascii="Microsoft JhengHei" w:eastAsia="Microsoft JhengHei" w:hint="eastAsia"/>
          <w:b/>
          <w:spacing w:val="-6"/>
          <w:w w:val="99"/>
          <w:sz w:val="20"/>
        </w:rPr>
        <w:t>申訴電話：市話免費撥打</w:t>
      </w:r>
      <w:r>
        <w:rPr>
          <w:rFonts w:ascii="Microsoft JhengHei" w:eastAsia="Microsoft JhengHei" w:hint="eastAsia"/>
          <w:b/>
          <w:spacing w:val="-2"/>
          <w:w w:val="83"/>
          <w:sz w:val="20"/>
        </w:rPr>
        <w:t>0</w:t>
      </w:r>
      <w:r>
        <w:rPr>
          <w:rFonts w:ascii="Microsoft JhengHei" w:eastAsia="Microsoft JhengHei" w:hint="eastAsia"/>
          <w:b/>
          <w:spacing w:val="1"/>
          <w:w w:val="83"/>
          <w:sz w:val="20"/>
        </w:rPr>
        <w:t>800</w:t>
      </w:r>
      <w:r>
        <w:rPr>
          <w:rFonts w:ascii="Microsoft JhengHei" w:eastAsia="Microsoft JhengHei" w:hint="eastAsia"/>
          <w:b/>
          <w:spacing w:val="1"/>
          <w:w w:val="114"/>
          <w:sz w:val="20"/>
        </w:rPr>
        <w:t>-</w:t>
      </w:r>
      <w:r>
        <w:rPr>
          <w:rFonts w:ascii="Microsoft JhengHei" w:eastAsia="Microsoft JhengHei" w:hint="eastAsia"/>
          <w:b/>
          <w:spacing w:val="1"/>
          <w:w w:val="83"/>
          <w:sz w:val="20"/>
        </w:rPr>
        <w:t>0</w:t>
      </w:r>
      <w:r>
        <w:rPr>
          <w:rFonts w:ascii="Microsoft JhengHei" w:eastAsia="Microsoft JhengHei" w:hint="eastAsia"/>
          <w:b/>
          <w:spacing w:val="-2"/>
          <w:w w:val="83"/>
          <w:sz w:val="20"/>
        </w:rPr>
        <w:t>3</w:t>
      </w:r>
      <w:r>
        <w:rPr>
          <w:rFonts w:ascii="Microsoft JhengHei" w:eastAsia="Microsoft JhengHei" w:hint="eastAsia"/>
          <w:b/>
          <w:spacing w:val="2"/>
          <w:w w:val="83"/>
          <w:sz w:val="20"/>
        </w:rPr>
        <w:t>6</w:t>
      </w:r>
      <w:r>
        <w:rPr>
          <w:rFonts w:ascii="Microsoft JhengHei" w:eastAsia="Microsoft JhengHei" w:hint="eastAsia"/>
          <w:b/>
          <w:spacing w:val="1"/>
          <w:w w:val="114"/>
          <w:sz w:val="20"/>
        </w:rPr>
        <w:t>-</w:t>
      </w:r>
      <w:r>
        <w:rPr>
          <w:rFonts w:ascii="Microsoft JhengHei" w:eastAsia="Microsoft JhengHei" w:hint="eastAsia"/>
          <w:b/>
          <w:spacing w:val="1"/>
          <w:w w:val="83"/>
          <w:sz w:val="20"/>
        </w:rPr>
        <w:t>5</w:t>
      </w:r>
      <w:r>
        <w:rPr>
          <w:rFonts w:ascii="Microsoft JhengHei" w:eastAsia="Microsoft JhengHei" w:hint="eastAsia"/>
          <w:b/>
          <w:spacing w:val="-2"/>
          <w:w w:val="83"/>
          <w:sz w:val="20"/>
        </w:rPr>
        <w:t>9</w:t>
      </w:r>
      <w:r>
        <w:rPr>
          <w:rFonts w:ascii="Microsoft JhengHei" w:eastAsia="Microsoft JhengHei" w:hint="eastAsia"/>
          <w:b/>
          <w:spacing w:val="-23"/>
          <w:w w:val="83"/>
          <w:sz w:val="20"/>
        </w:rPr>
        <w:t>9</w:t>
      </w:r>
      <w:r>
        <w:rPr>
          <w:rFonts w:ascii="Microsoft JhengHei" w:eastAsia="Microsoft JhengHei" w:hint="eastAsia"/>
          <w:b/>
          <w:spacing w:val="-5"/>
          <w:w w:val="99"/>
          <w:sz w:val="20"/>
        </w:rPr>
        <w:t>、付費撥打</w:t>
      </w:r>
      <w:r>
        <w:rPr>
          <w:rFonts w:ascii="Microsoft JhengHei" w:eastAsia="Microsoft JhengHei" w:hint="eastAsia"/>
          <w:b/>
          <w:spacing w:val="-2"/>
          <w:w w:val="83"/>
          <w:sz w:val="20"/>
        </w:rPr>
        <w:t>0</w:t>
      </w:r>
      <w:r>
        <w:rPr>
          <w:rFonts w:ascii="Microsoft JhengHei" w:eastAsia="Microsoft JhengHei" w:hint="eastAsia"/>
          <w:b/>
          <w:spacing w:val="1"/>
          <w:w w:val="83"/>
          <w:sz w:val="20"/>
        </w:rPr>
        <w:t>2</w:t>
      </w:r>
      <w:r>
        <w:rPr>
          <w:rFonts w:ascii="Microsoft JhengHei" w:eastAsia="Microsoft JhengHei" w:hint="eastAsia"/>
          <w:b/>
          <w:spacing w:val="-2"/>
          <w:w w:val="114"/>
          <w:sz w:val="20"/>
        </w:rPr>
        <w:t>-</w:t>
      </w:r>
      <w:r>
        <w:rPr>
          <w:rFonts w:ascii="Microsoft JhengHei" w:eastAsia="Microsoft JhengHei" w:hint="eastAsia"/>
          <w:b/>
          <w:spacing w:val="1"/>
          <w:w w:val="83"/>
          <w:sz w:val="20"/>
        </w:rPr>
        <w:t>2162</w:t>
      </w:r>
      <w:r>
        <w:rPr>
          <w:rFonts w:ascii="Microsoft JhengHei" w:eastAsia="Microsoft JhengHei" w:hint="eastAsia"/>
          <w:b/>
          <w:spacing w:val="1"/>
          <w:w w:val="114"/>
          <w:sz w:val="20"/>
        </w:rPr>
        <w:t>-</w:t>
      </w:r>
      <w:r>
        <w:rPr>
          <w:rFonts w:ascii="Microsoft JhengHei" w:eastAsia="Microsoft JhengHei" w:hint="eastAsia"/>
          <w:b/>
          <w:spacing w:val="-2"/>
          <w:w w:val="83"/>
          <w:sz w:val="20"/>
        </w:rPr>
        <w:t>6</w:t>
      </w:r>
      <w:r>
        <w:rPr>
          <w:rFonts w:ascii="Microsoft JhengHei" w:eastAsia="Microsoft JhengHei" w:hint="eastAsia"/>
          <w:b/>
          <w:spacing w:val="1"/>
          <w:w w:val="83"/>
          <w:sz w:val="20"/>
        </w:rPr>
        <w:t>20</w:t>
      </w:r>
      <w:r>
        <w:rPr>
          <w:rFonts w:ascii="Microsoft JhengHei" w:eastAsia="Microsoft JhengHei" w:hint="eastAsia"/>
          <w:b/>
          <w:spacing w:val="-22"/>
          <w:w w:val="83"/>
          <w:sz w:val="20"/>
        </w:rPr>
        <w:t>1</w:t>
      </w:r>
      <w:r>
        <w:rPr>
          <w:rFonts w:ascii="Microsoft JhengHei" w:eastAsia="Microsoft JhengHei" w:hint="eastAsia"/>
          <w:b/>
          <w:spacing w:val="-18"/>
          <w:w w:val="99"/>
          <w:sz w:val="20"/>
        </w:rPr>
        <w:t>；傳真：</w:t>
      </w:r>
      <w:r>
        <w:rPr>
          <w:rFonts w:ascii="Microsoft JhengHei" w:eastAsia="Microsoft JhengHei" w:hint="eastAsia"/>
          <w:b/>
          <w:spacing w:val="1"/>
          <w:w w:val="83"/>
          <w:sz w:val="20"/>
        </w:rPr>
        <w:t>08</w:t>
      </w:r>
      <w:r>
        <w:rPr>
          <w:rFonts w:ascii="Microsoft JhengHei" w:eastAsia="Microsoft JhengHei" w:hint="eastAsia"/>
          <w:b/>
          <w:spacing w:val="-2"/>
          <w:w w:val="83"/>
          <w:sz w:val="20"/>
        </w:rPr>
        <w:t>0</w:t>
      </w:r>
      <w:r>
        <w:rPr>
          <w:rFonts w:ascii="Microsoft JhengHei" w:eastAsia="Microsoft JhengHei" w:hint="eastAsia"/>
          <w:b/>
          <w:spacing w:val="1"/>
          <w:w w:val="83"/>
          <w:sz w:val="20"/>
        </w:rPr>
        <w:t>0</w:t>
      </w:r>
      <w:r>
        <w:rPr>
          <w:rFonts w:ascii="Microsoft JhengHei" w:eastAsia="Microsoft JhengHei" w:hint="eastAsia"/>
          <w:b/>
          <w:spacing w:val="1"/>
          <w:w w:val="114"/>
          <w:sz w:val="20"/>
        </w:rPr>
        <w:t>-</w:t>
      </w:r>
      <w:r>
        <w:rPr>
          <w:rFonts w:ascii="Microsoft JhengHei" w:eastAsia="Microsoft JhengHei" w:hint="eastAsia"/>
          <w:b/>
          <w:spacing w:val="1"/>
          <w:w w:val="83"/>
          <w:sz w:val="20"/>
        </w:rPr>
        <w:t>2</w:t>
      </w:r>
      <w:r>
        <w:rPr>
          <w:rFonts w:ascii="Microsoft JhengHei" w:eastAsia="Microsoft JhengHei" w:hint="eastAsia"/>
          <w:b/>
          <w:spacing w:val="-2"/>
          <w:w w:val="83"/>
          <w:sz w:val="20"/>
        </w:rPr>
        <w:t>1</w:t>
      </w:r>
      <w:r>
        <w:rPr>
          <w:rFonts w:ascii="Microsoft JhengHei" w:eastAsia="Microsoft JhengHei" w:hint="eastAsia"/>
          <w:b/>
          <w:spacing w:val="-1"/>
          <w:w w:val="83"/>
          <w:sz w:val="20"/>
        </w:rPr>
        <w:t>1</w:t>
      </w:r>
      <w:r>
        <w:rPr>
          <w:rFonts w:ascii="Microsoft JhengHei" w:eastAsia="Microsoft JhengHei" w:hint="eastAsia"/>
          <w:b/>
          <w:spacing w:val="1"/>
          <w:w w:val="114"/>
          <w:sz w:val="20"/>
        </w:rPr>
        <w:t>-</w:t>
      </w:r>
      <w:r>
        <w:rPr>
          <w:rFonts w:ascii="Microsoft JhengHei" w:eastAsia="Microsoft JhengHei" w:hint="eastAsia"/>
          <w:b/>
          <w:spacing w:val="1"/>
          <w:w w:val="83"/>
          <w:sz w:val="20"/>
        </w:rPr>
        <w:t>56</w:t>
      </w:r>
      <w:r>
        <w:rPr>
          <w:rFonts w:ascii="Microsoft JhengHei" w:eastAsia="Microsoft JhengHei" w:hint="eastAsia"/>
          <w:b/>
          <w:spacing w:val="-23"/>
          <w:w w:val="83"/>
          <w:sz w:val="20"/>
        </w:rPr>
        <w:t>8</w:t>
      </w:r>
      <w:r>
        <w:rPr>
          <w:rFonts w:ascii="Microsoft JhengHei" w:eastAsia="Microsoft JhengHei" w:hint="eastAsia"/>
          <w:b/>
          <w:spacing w:val="-15"/>
          <w:w w:val="99"/>
          <w:sz w:val="20"/>
        </w:rPr>
        <w:t>；電子信箱</w:t>
      </w:r>
      <w:r>
        <w:rPr>
          <w:rFonts w:ascii="Microsoft JhengHei" w:eastAsia="Microsoft JhengHei" w:hint="eastAsia"/>
          <w:b/>
          <w:spacing w:val="3"/>
          <w:w w:val="99"/>
          <w:sz w:val="20"/>
        </w:rPr>
        <w:t>（</w:t>
      </w:r>
      <w:r>
        <w:rPr>
          <w:rFonts w:ascii="Microsoft JhengHei" w:eastAsia="Microsoft JhengHei" w:hint="eastAsia"/>
          <w:b/>
          <w:spacing w:val="1"/>
          <w:w w:val="89"/>
          <w:sz w:val="20"/>
        </w:rPr>
        <w:t>E</w:t>
      </w:r>
      <w:r>
        <w:rPr>
          <w:rFonts w:ascii="Microsoft JhengHei" w:eastAsia="Microsoft JhengHei" w:hint="eastAsia"/>
          <w:b/>
          <w:spacing w:val="1"/>
          <w:w w:val="114"/>
          <w:sz w:val="20"/>
        </w:rPr>
        <w:t>-</w:t>
      </w:r>
      <w:r>
        <w:rPr>
          <w:rFonts w:ascii="Microsoft JhengHei" w:eastAsia="Microsoft JhengHei" w:hint="eastAsia"/>
          <w:b/>
          <w:spacing w:val="-2"/>
          <w:w w:val="52"/>
          <w:sz w:val="20"/>
        </w:rPr>
        <w:t>m</w:t>
      </w:r>
      <w:r>
        <w:rPr>
          <w:rFonts w:ascii="Microsoft JhengHei" w:eastAsia="Microsoft JhengHei" w:hint="eastAsia"/>
          <w:b/>
          <w:spacing w:val="1"/>
          <w:w w:val="88"/>
          <w:sz w:val="20"/>
        </w:rPr>
        <w:t>a</w:t>
      </w:r>
      <w:r>
        <w:rPr>
          <w:rFonts w:ascii="Microsoft JhengHei" w:eastAsia="Microsoft JhengHei" w:hint="eastAsia"/>
          <w:b/>
          <w:spacing w:val="1"/>
          <w:w w:val="180"/>
          <w:sz w:val="20"/>
        </w:rPr>
        <w:t>il</w:t>
      </w:r>
      <w:r>
        <w:rPr>
          <w:rFonts w:ascii="Microsoft JhengHei" w:eastAsia="Microsoft JhengHei" w:hint="eastAsia"/>
          <w:b/>
          <w:spacing w:val="-46"/>
          <w:w w:val="99"/>
          <w:sz w:val="20"/>
        </w:rPr>
        <w:t>）： </w:t>
      </w:r>
      <w:hyperlink r:id="rId6">
        <w:r>
          <w:rPr>
            <w:rFonts w:ascii="Microsoft JhengHei" w:eastAsia="Microsoft JhengHei" w:hint="eastAsia"/>
            <w:b/>
            <w:spacing w:val="1"/>
            <w:w w:val="105"/>
            <w:sz w:val="20"/>
          </w:rPr>
          <w:t>s</w:t>
        </w:r>
        <w:r>
          <w:rPr>
            <w:rFonts w:ascii="Microsoft JhengHei" w:eastAsia="Microsoft JhengHei" w:hint="eastAsia"/>
            <w:b/>
            <w:spacing w:val="1"/>
            <w:w w:val="87"/>
            <w:sz w:val="20"/>
          </w:rPr>
          <w:t>e</w:t>
        </w:r>
        <w:r>
          <w:rPr>
            <w:rFonts w:ascii="Microsoft JhengHei" w:eastAsia="Microsoft JhengHei" w:hint="eastAsia"/>
            <w:b/>
            <w:spacing w:val="1"/>
            <w:w w:val="126"/>
            <w:sz w:val="20"/>
          </w:rPr>
          <w:t>r</w:t>
        </w:r>
        <w:r>
          <w:rPr>
            <w:rFonts w:ascii="Microsoft JhengHei" w:eastAsia="Microsoft JhengHei" w:hint="eastAsia"/>
            <w:b/>
            <w:spacing w:val="1"/>
            <w:w w:val="92"/>
            <w:sz w:val="20"/>
          </w:rPr>
          <w:t>v</w:t>
        </w:r>
        <w:r>
          <w:rPr>
            <w:rFonts w:ascii="Microsoft JhengHei" w:eastAsia="Microsoft JhengHei" w:hint="eastAsia"/>
            <w:b/>
            <w:spacing w:val="1"/>
            <w:w w:val="180"/>
            <w:sz w:val="20"/>
          </w:rPr>
          <w:t>i</w:t>
        </w:r>
        <w:r>
          <w:rPr>
            <w:rFonts w:ascii="Microsoft JhengHei" w:eastAsia="Microsoft JhengHei" w:hint="eastAsia"/>
            <w:b/>
            <w:spacing w:val="-2"/>
            <w:w w:val="98"/>
            <w:sz w:val="20"/>
          </w:rPr>
          <w:t>c</w:t>
        </w:r>
        <w:r>
          <w:rPr>
            <w:rFonts w:ascii="Microsoft JhengHei" w:eastAsia="Microsoft JhengHei" w:hint="eastAsia"/>
            <w:b/>
            <w:spacing w:val="1"/>
            <w:w w:val="87"/>
            <w:sz w:val="20"/>
          </w:rPr>
          <w:t>e</w:t>
        </w:r>
        <w:r>
          <w:rPr>
            <w:rFonts w:ascii="Microsoft JhengHei" w:eastAsia="Microsoft JhengHei" w:hint="eastAsia"/>
            <w:b/>
            <w:spacing w:val="1"/>
            <w:w w:val="48"/>
            <w:sz w:val="20"/>
          </w:rPr>
          <w:t>@</w:t>
        </w:r>
        <w:r>
          <w:rPr>
            <w:rFonts w:ascii="Microsoft JhengHei" w:eastAsia="Microsoft JhengHei" w:hint="eastAsia"/>
            <w:b/>
            <w:spacing w:val="1"/>
            <w:w w:val="98"/>
            <w:sz w:val="20"/>
          </w:rPr>
          <w:t>c</w:t>
        </w:r>
        <w:r>
          <w:rPr>
            <w:rFonts w:ascii="Microsoft JhengHei" w:eastAsia="Microsoft JhengHei" w:hint="eastAsia"/>
            <w:b/>
            <w:spacing w:val="-2"/>
            <w:w w:val="88"/>
            <w:sz w:val="20"/>
          </w:rPr>
          <w:t>a</w:t>
        </w:r>
        <w:r>
          <w:rPr>
            <w:rFonts w:ascii="Microsoft JhengHei" w:eastAsia="Microsoft JhengHei" w:hint="eastAsia"/>
            <w:b/>
            <w:spacing w:val="1"/>
            <w:w w:val="129"/>
            <w:sz w:val="20"/>
          </w:rPr>
          <w:t>t</w:t>
        </w:r>
        <w:r>
          <w:rPr>
            <w:rFonts w:ascii="Microsoft JhengHei" w:eastAsia="Microsoft JhengHei" w:hint="eastAsia"/>
            <w:b/>
            <w:spacing w:val="1"/>
            <w:w w:val="79"/>
            <w:sz w:val="20"/>
          </w:rPr>
          <w:t>h</w:t>
        </w:r>
        <w:r>
          <w:rPr>
            <w:rFonts w:ascii="Microsoft JhengHei" w:eastAsia="Microsoft JhengHei" w:hint="eastAsia"/>
            <w:b/>
            <w:spacing w:val="1"/>
            <w:w w:val="88"/>
            <w:sz w:val="20"/>
          </w:rPr>
          <w:t>a</w:t>
        </w:r>
        <w:r>
          <w:rPr>
            <w:rFonts w:ascii="Microsoft JhengHei" w:eastAsia="Microsoft JhengHei" w:hint="eastAsia"/>
            <w:b/>
            <w:spacing w:val="-2"/>
            <w:w w:val="91"/>
            <w:sz w:val="20"/>
          </w:rPr>
          <w:t>y</w:t>
        </w:r>
        <w:r>
          <w:rPr>
            <w:rFonts w:ascii="Microsoft JhengHei" w:eastAsia="Microsoft JhengHei" w:hint="eastAsia"/>
            <w:b/>
            <w:spacing w:val="1"/>
            <w:w w:val="180"/>
            <w:sz w:val="20"/>
          </w:rPr>
          <w:t>li</w:t>
        </w:r>
        <w:r>
          <w:rPr>
            <w:rFonts w:ascii="Microsoft JhengHei" w:eastAsia="Microsoft JhengHei" w:hint="eastAsia"/>
            <w:b/>
            <w:spacing w:val="1"/>
            <w:w w:val="136"/>
            <w:sz w:val="20"/>
          </w:rPr>
          <w:t>f</w:t>
        </w:r>
        <w:r>
          <w:rPr>
            <w:rFonts w:ascii="Microsoft JhengHei" w:eastAsia="Microsoft JhengHei" w:hint="eastAsia"/>
            <w:b/>
            <w:spacing w:val="-2"/>
            <w:w w:val="87"/>
            <w:sz w:val="20"/>
          </w:rPr>
          <w:t>e</w:t>
        </w:r>
        <w:r>
          <w:rPr>
            <w:rFonts w:ascii="Microsoft JhengHei" w:eastAsia="Microsoft JhengHei" w:hint="eastAsia"/>
            <w:b/>
            <w:spacing w:val="1"/>
            <w:w w:val="195"/>
            <w:sz w:val="20"/>
          </w:rPr>
          <w:t>.</w:t>
        </w:r>
        <w:r>
          <w:rPr>
            <w:rFonts w:ascii="Microsoft JhengHei" w:eastAsia="Microsoft JhengHei" w:hint="eastAsia"/>
            <w:b/>
            <w:spacing w:val="1"/>
            <w:w w:val="98"/>
            <w:sz w:val="20"/>
          </w:rPr>
          <w:t>c</w:t>
        </w:r>
        <w:r>
          <w:rPr>
            <w:rFonts w:ascii="Microsoft JhengHei" w:eastAsia="Microsoft JhengHei" w:hint="eastAsia"/>
            <w:b/>
            <w:spacing w:val="1"/>
            <w:w w:val="77"/>
            <w:sz w:val="20"/>
          </w:rPr>
          <w:t>o</w:t>
        </w:r>
        <w:r>
          <w:rPr>
            <w:rFonts w:ascii="Microsoft JhengHei" w:eastAsia="Microsoft JhengHei" w:hint="eastAsia"/>
            <w:b/>
            <w:spacing w:val="-2"/>
            <w:w w:val="52"/>
            <w:sz w:val="20"/>
          </w:rPr>
          <w:t>m</w:t>
        </w:r>
        <w:r>
          <w:rPr>
            <w:rFonts w:ascii="Microsoft JhengHei" w:eastAsia="Microsoft JhengHei" w:hint="eastAsia"/>
            <w:b/>
            <w:spacing w:val="1"/>
            <w:w w:val="195"/>
            <w:sz w:val="20"/>
          </w:rPr>
          <w:t>.</w:t>
        </w:r>
        <w:r>
          <w:rPr>
            <w:rFonts w:ascii="Microsoft JhengHei" w:eastAsia="Microsoft JhengHei" w:hint="eastAsia"/>
            <w:b/>
            <w:spacing w:val="-2"/>
            <w:w w:val="129"/>
            <w:sz w:val="20"/>
          </w:rPr>
          <w:t>t</w:t>
        </w:r>
        <w:r>
          <w:rPr>
            <w:rFonts w:ascii="Microsoft JhengHei" w:eastAsia="Microsoft JhengHei" w:hint="eastAsia"/>
            <w:b/>
            <w:spacing w:val="5"/>
            <w:w w:val="61"/>
            <w:sz w:val="20"/>
          </w:rPr>
          <w:t>w</w:t>
        </w:r>
      </w:hyperlink>
      <w:r>
        <w:rPr>
          <w:rFonts w:ascii="Microsoft JhengHei" w:eastAsia="Microsoft JhengHei" w:hint="eastAsia"/>
          <w:b/>
          <w:w w:val="99"/>
          <w:sz w:val="20"/>
        </w:rPr>
        <w:t>）</w:t>
      </w:r>
    </w:p>
    <w:p>
      <w:pPr>
        <w:pStyle w:val="BodyText"/>
        <w:spacing w:before="4"/>
        <w:ind w:left="0"/>
        <w:rPr>
          <w:rFonts w:ascii="Microsoft JhengHei"/>
          <w:b/>
          <w:sz w:val="12"/>
        </w:rPr>
      </w:pPr>
    </w:p>
    <w:p>
      <w:pPr>
        <w:pStyle w:val="BodyText"/>
      </w:pPr>
      <w:r>
        <w:rPr>
          <w:w w:val="95"/>
        </w:rPr>
        <w:t>103.07.31</w:t>
      </w:r>
      <w:r>
        <w:rPr>
          <w:spacing w:val="-3"/>
          <w:w w:val="95"/>
        </w:rPr>
        <w:t> 國壽字第 </w:t>
      </w:r>
      <w:r>
        <w:rPr>
          <w:w w:val="95"/>
        </w:rPr>
        <w:t>103073011</w:t>
      </w:r>
      <w:r>
        <w:rPr>
          <w:spacing w:val="-3"/>
          <w:w w:val="95"/>
        </w:rPr>
        <w:t> 號函備查</w:t>
      </w:r>
    </w:p>
    <w:p>
      <w:pPr>
        <w:pStyle w:val="BodyText"/>
        <w:spacing w:before="5"/>
      </w:pPr>
      <w:r>
        <w:rPr>
          <w:w w:val="95"/>
        </w:rPr>
        <w:t>104.08.04</w:t>
      </w:r>
      <w:r>
        <w:rPr>
          <w:spacing w:val="2"/>
          <w:w w:val="95"/>
        </w:rPr>
        <w:t> 依 </w:t>
      </w:r>
      <w:r>
        <w:rPr>
          <w:w w:val="95"/>
        </w:rPr>
        <w:t>104.05.19 金管保壽字第 10402543750 號函修正</w:t>
      </w:r>
    </w:p>
    <w:p>
      <w:pPr>
        <w:pStyle w:val="BodyText"/>
        <w:spacing w:before="3"/>
      </w:pPr>
      <w:r>
        <w:rPr>
          <w:w w:val="95"/>
        </w:rPr>
        <w:t>104.08.04</w:t>
      </w:r>
      <w:r>
        <w:rPr>
          <w:spacing w:val="2"/>
          <w:w w:val="95"/>
        </w:rPr>
        <w:t> 依 </w:t>
      </w:r>
      <w:r>
        <w:rPr>
          <w:w w:val="95"/>
        </w:rPr>
        <w:t>104.06.24 金管保壽字第 10402049830 號函修正</w:t>
      </w:r>
    </w:p>
    <w:p>
      <w:pPr>
        <w:pStyle w:val="BodyText"/>
        <w:spacing w:before="3"/>
      </w:pPr>
      <w:r>
        <w:rPr>
          <w:w w:val="95"/>
        </w:rPr>
        <w:t>107.09.13</w:t>
      </w:r>
      <w:r>
        <w:rPr>
          <w:spacing w:val="2"/>
          <w:w w:val="95"/>
        </w:rPr>
        <w:t> 依 </w:t>
      </w:r>
      <w:r>
        <w:rPr>
          <w:w w:val="95"/>
        </w:rPr>
        <w:t>107.06.07 金管保壽字第 10704158370 號函修正</w:t>
      </w:r>
    </w:p>
    <w:p>
      <w:pPr>
        <w:pStyle w:val="BodyText"/>
        <w:spacing w:before="6"/>
      </w:pPr>
      <w:r>
        <w:rPr>
          <w:w w:val="95"/>
        </w:rPr>
        <w:t>108.12.31</w:t>
      </w:r>
      <w:r>
        <w:rPr>
          <w:spacing w:val="2"/>
          <w:w w:val="95"/>
        </w:rPr>
        <w:t> 依 </w:t>
      </w:r>
      <w:r>
        <w:rPr>
          <w:w w:val="95"/>
        </w:rPr>
        <w:t>108.04.09 金管保壽字第 10804904941 號函修正</w:t>
      </w:r>
    </w:p>
    <w:p>
      <w:pPr>
        <w:pStyle w:val="BodyText"/>
        <w:spacing w:before="2"/>
      </w:pPr>
      <w:r>
        <w:rPr>
          <w:w w:val="95"/>
        </w:rPr>
        <w:t>108.12.31</w:t>
      </w:r>
      <w:r>
        <w:rPr>
          <w:spacing w:val="2"/>
          <w:w w:val="95"/>
        </w:rPr>
        <w:t> 依 </w:t>
      </w:r>
      <w:r>
        <w:rPr>
          <w:w w:val="95"/>
        </w:rPr>
        <w:t>108.06.21 金管保壽字第 10804920500 號函修正</w:t>
      </w:r>
    </w:p>
    <w:p>
      <w:pPr>
        <w:pStyle w:val="BodyText"/>
        <w:spacing w:before="6"/>
      </w:pPr>
      <w:r>
        <w:rPr>
          <w:w w:val="95"/>
        </w:rPr>
        <w:t>109.09.01</w:t>
      </w:r>
      <w:r>
        <w:rPr>
          <w:spacing w:val="-3"/>
          <w:w w:val="95"/>
        </w:rPr>
        <w:t> 國壽字第 </w:t>
      </w:r>
      <w:r>
        <w:rPr>
          <w:w w:val="95"/>
        </w:rPr>
        <w:t>109090045</w:t>
      </w:r>
      <w:r>
        <w:rPr>
          <w:spacing w:val="-3"/>
          <w:w w:val="95"/>
        </w:rPr>
        <w:t> 號函備查</w:t>
      </w:r>
    </w:p>
    <w:p>
      <w:pPr>
        <w:pStyle w:val="BodyText"/>
        <w:spacing w:before="3"/>
      </w:pPr>
      <w:r>
        <w:rPr/>
        <w:drawing>
          <wp:anchor distT="0" distB="0" distL="0" distR="0" allowOverlap="1" layoutInCell="1" locked="0" behindDoc="1" simplePos="0" relativeHeight="486260224">
            <wp:simplePos x="0" y="0"/>
            <wp:positionH relativeFrom="page">
              <wp:posOffset>2873375</wp:posOffset>
            </wp:positionH>
            <wp:positionV relativeFrom="paragraph">
              <wp:posOffset>149434</wp:posOffset>
            </wp:positionV>
            <wp:extent cx="1836419" cy="442348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6419" cy="4423487"/>
                    </a:xfrm>
                    <a:prstGeom prst="rect">
                      <a:avLst/>
                    </a:prstGeom>
                  </pic:spPr>
                </pic:pic>
              </a:graphicData>
            </a:graphic>
          </wp:anchor>
        </w:drawing>
      </w:r>
      <w:r>
        <w:rPr>
          <w:w w:val="95"/>
        </w:rPr>
        <w:t>112.02.08</w:t>
      </w:r>
      <w:r>
        <w:rPr>
          <w:spacing w:val="-5"/>
          <w:w w:val="95"/>
        </w:rPr>
        <w:t> 依 </w:t>
      </w:r>
      <w:r>
        <w:rPr>
          <w:w w:val="95"/>
        </w:rPr>
        <w:t>111.08.30</w:t>
      </w:r>
      <w:r>
        <w:rPr>
          <w:spacing w:val="-4"/>
          <w:w w:val="95"/>
        </w:rPr>
        <w:t> 金管保壽字第 </w:t>
      </w:r>
      <w:r>
        <w:rPr>
          <w:w w:val="95"/>
        </w:rPr>
        <w:t>1110445485</w:t>
      </w:r>
      <w:r>
        <w:rPr>
          <w:spacing w:val="-3"/>
          <w:w w:val="95"/>
        </w:rPr>
        <w:t> 號函修正</w:t>
      </w:r>
    </w:p>
    <w:p>
      <w:pPr>
        <w:pStyle w:val="Heading1"/>
        <w:tabs>
          <w:tab w:pos="954" w:val="left" w:leader="none"/>
        </w:tabs>
        <w:spacing w:line="348" w:lineRule="exact" w:before="177"/>
      </w:pPr>
      <w:r>
        <w:rPr/>
        <w:t>第一條</w:t>
        <w:tab/>
        <w:t>保險契約的構成</w:t>
      </w:r>
    </w:p>
    <w:p>
      <w:pPr>
        <w:pStyle w:val="BodyText"/>
        <w:spacing w:line="236" w:lineRule="exact"/>
        <w:ind w:left="753"/>
      </w:pPr>
      <w:r>
        <w:rPr/>
        <w:t>本保險單條款、附著之要保書、批註及其他約定書，均為本保險契約（以下簡稱本契約）的構成部分。</w:t>
      </w:r>
    </w:p>
    <w:p>
      <w:pPr>
        <w:pStyle w:val="BodyText"/>
        <w:spacing w:line="244" w:lineRule="auto" w:before="3"/>
        <w:ind w:left="753" w:right="219"/>
      </w:pPr>
      <w:r>
        <w:rPr>
          <w:w w:val="95"/>
        </w:rPr>
        <w:t>本契約的解釋，應探求契約當事人的真意，不得拘泥於所用的文字；如有疑義時，以作有利於被保險人</w:t>
      </w:r>
      <w:r>
        <w:rPr>
          <w:spacing w:val="189"/>
        </w:rPr>
        <w:t> </w:t>
      </w:r>
      <w:r>
        <w:rPr/>
        <w:t>的解釋為原則。</w:t>
      </w:r>
    </w:p>
    <w:p>
      <w:pPr>
        <w:pStyle w:val="BodyText"/>
        <w:spacing w:line="254" w:lineRule="exact"/>
        <w:ind w:left="753"/>
      </w:pPr>
      <w:r>
        <w:rPr/>
        <w:t>本契約條款如有未盡事宜悉依相關法令辦理。</w:t>
      </w:r>
    </w:p>
    <w:p>
      <w:pPr>
        <w:pStyle w:val="BodyText"/>
        <w:spacing w:before="2"/>
        <w:ind w:left="0"/>
        <w:rPr>
          <w:sz w:val="23"/>
        </w:rPr>
      </w:pPr>
    </w:p>
    <w:p>
      <w:pPr>
        <w:pStyle w:val="Heading1"/>
        <w:tabs>
          <w:tab w:pos="954" w:val="left" w:leader="none"/>
        </w:tabs>
        <w:spacing w:line="348" w:lineRule="exact"/>
      </w:pPr>
      <w:r>
        <w:rPr/>
        <w:t>第二條</w:t>
        <w:tab/>
        <w:t>名詞定義</w:t>
      </w:r>
    </w:p>
    <w:p>
      <w:pPr>
        <w:pStyle w:val="BodyText"/>
        <w:spacing w:line="236" w:lineRule="exact"/>
        <w:ind w:left="753"/>
      </w:pPr>
      <w:r>
        <w:rPr/>
        <w:t>本契約名詞定義如下：</w:t>
      </w:r>
    </w:p>
    <w:p>
      <w:pPr>
        <w:pStyle w:val="BodyText"/>
        <w:spacing w:before="3"/>
        <w:ind w:left="753"/>
      </w:pPr>
      <w:r>
        <w:rPr>
          <w:spacing w:val="-15"/>
        </w:rPr>
        <w:t>一、「意外傷害事故」：指非由疾病引起之外來突發事故。</w:t>
      </w:r>
    </w:p>
    <w:p>
      <w:pPr>
        <w:pStyle w:val="BodyText"/>
        <w:spacing w:line="242" w:lineRule="auto" w:before="5"/>
        <w:ind w:left="1154" w:right="218" w:hanging="401"/>
      </w:pPr>
      <w:r>
        <w:rPr>
          <w:spacing w:val="-15"/>
          <w:w w:val="95"/>
        </w:rPr>
        <w:t>二、「保險年齡」：按被保險人投保本契約時之足歲計算，但是未滿一歲的零數超過六個月者加算一歲，</w:t>
      </w:r>
      <w:r>
        <w:rPr>
          <w:spacing w:val="196"/>
        </w:rPr>
        <w:t> </w:t>
      </w:r>
      <w:r>
        <w:rPr/>
        <w:t>之後須每經過一個保險單年度始加計一歲。</w:t>
      </w:r>
    </w:p>
    <w:p>
      <w:pPr>
        <w:pStyle w:val="Heading1"/>
        <w:tabs>
          <w:tab w:pos="954" w:val="left" w:leader="none"/>
        </w:tabs>
        <w:spacing w:line="348" w:lineRule="exact" w:before="175"/>
      </w:pPr>
      <w:r>
        <w:rPr/>
        <w:t>第三條</w:t>
        <w:tab/>
        <w:t>保險範圍</w:t>
      </w:r>
    </w:p>
    <w:p>
      <w:pPr>
        <w:pStyle w:val="BodyText"/>
        <w:spacing w:line="236" w:lineRule="exact"/>
        <w:ind w:left="753"/>
      </w:pPr>
      <w:r>
        <w:rPr>
          <w:w w:val="95"/>
        </w:rPr>
        <w:t>被保險人於本契約有效期間內，因遭受意外傷害事故，致其身體蒙受傷害而致失能或死亡時，本公司依</w:t>
      </w:r>
    </w:p>
    <w:p>
      <w:pPr>
        <w:pStyle w:val="BodyText"/>
        <w:spacing w:before="3"/>
        <w:ind w:left="753"/>
      </w:pPr>
      <w:r>
        <w:rPr/>
        <w:t>照本契約的約定，給付保險金。</w:t>
      </w:r>
    </w:p>
    <w:p>
      <w:pPr>
        <w:pStyle w:val="BodyText"/>
        <w:spacing w:before="8"/>
        <w:ind w:left="0"/>
        <w:rPr>
          <w:sz w:val="19"/>
        </w:rPr>
      </w:pPr>
    </w:p>
    <w:p>
      <w:pPr>
        <w:pStyle w:val="Heading1"/>
        <w:tabs>
          <w:tab w:pos="954" w:val="left" w:leader="none"/>
        </w:tabs>
      </w:pPr>
      <w:r>
        <w:rPr/>
        <w:t>第四條</w:t>
        <w:tab/>
        <w:t>契約的有效期間及續保</w:t>
      </w:r>
    </w:p>
    <w:p>
      <w:pPr>
        <w:pStyle w:val="BodyText"/>
        <w:spacing w:line="235" w:lineRule="exact"/>
        <w:ind w:left="753"/>
      </w:pPr>
      <w:r>
        <w:rPr/>
        <w:t>本契約的保險期間，以本契約保險單上所載日時為準。</w:t>
      </w:r>
    </w:p>
    <w:p>
      <w:pPr>
        <w:pStyle w:val="BodyText"/>
        <w:spacing w:line="244" w:lineRule="auto" w:before="3"/>
        <w:ind w:left="753" w:right="221"/>
        <w:jc w:val="both"/>
      </w:pPr>
      <w:r>
        <w:rPr>
          <w:w w:val="95"/>
        </w:rPr>
        <w:t>要保人於保險期間屆滿前交付續保保險費，並經本公司同意者，本契約得自原保險期間屆滿日的翌日零</w:t>
      </w:r>
      <w:r>
        <w:rPr>
          <w:spacing w:val="197"/>
        </w:rPr>
        <w:t> </w:t>
      </w:r>
      <w:r>
        <w:rPr>
          <w:w w:val="95"/>
        </w:rPr>
        <w:t>時起續保一年，嗣後保險期間屆滿時亦同。本契約續保時本公司得按照主管機關核可之保險費率調整保</w:t>
      </w:r>
      <w:r>
        <w:rPr>
          <w:spacing w:val="187"/>
        </w:rPr>
        <w:t> </w:t>
      </w:r>
      <w:r>
        <w:rPr/>
        <w:t>險費。</w:t>
      </w:r>
    </w:p>
    <w:p>
      <w:pPr>
        <w:pStyle w:val="BodyText"/>
        <w:spacing w:line="242" w:lineRule="auto"/>
        <w:ind w:left="753" w:right="221"/>
      </w:pPr>
      <w:r>
        <w:rPr>
          <w:w w:val="95"/>
        </w:rPr>
        <w:t>依前項約定辦理續保時，要保人如未能依本公司要求出具被保險人符合投保微型傷害保險資格之身分證</w:t>
      </w:r>
      <w:r>
        <w:rPr>
          <w:spacing w:val="187"/>
        </w:rPr>
        <w:t> </w:t>
      </w:r>
      <w:r>
        <w:rPr/>
        <w:t>明文件或要保人不同意保險費之調整時，本公司得不同意本契約之續保。</w:t>
      </w:r>
    </w:p>
    <w:p>
      <w:pPr>
        <w:pStyle w:val="BodyText"/>
        <w:ind w:left="753"/>
      </w:pPr>
      <w:r>
        <w:rPr>
          <w:w w:val="95"/>
        </w:rPr>
        <w:t>本契約之續保最高至被保險人之保險年齡達七十歲之保險單年度末為止。</w:t>
      </w:r>
    </w:p>
    <w:p>
      <w:pPr>
        <w:pStyle w:val="BodyText"/>
        <w:spacing w:before="7"/>
        <w:ind w:left="0"/>
        <w:rPr>
          <w:sz w:val="19"/>
        </w:rPr>
      </w:pPr>
    </w:p>
    <w:p>
      <w:pPr>
        <w:pStyle w:val="Heading1"/>
        <w:tabs>
          <w:tab w:pos="954" w:val="left" w:leader="none"/>
        </w:tabs>
      </w:pPr>
      <w:r>
        <w:rPr/>
        <w:t>第五條</w:t>
        <w:tab/>
        <w:t>契約的無效</w:t>
      </w:r>
    </w:p>
    <w:p>
      <w:pPr>
        <w:pStyle w:val="BodyText"/>
        <w:spacing w:line="235" w:lineRule="exact"/>
        <w:ind w:left="753"/>
      </w:pPr>
      <w:r>
        <w:rPr/>
        <w:t>本契約訂立時，僅要保人知保險事故已發生者，契約無效，本公司不退還所收受之保險費。</w:t>
      </w:r>
    </w:p>
    <w:p>
      <w:pPr>
        <w:pStyle w:val="BodyText"/>
        <w:spacing w:before="8"/>
        <w:ind w:left="0"/>
        <w:rPr>
          <w:sz w:val="19"/>
        </w:rPr>
      </w:pPr>
    </w:p>
    <w:p>
      <w:pPr>
        <w:pStyle w:val="Heading1"/>
        <w:tabs>
          <w:tab w:pos="954" w:val="left" w:leader="none"/>
        </w:tabs>
      </w:pPr>
      <w:r>
        <w:rPr/>
        <w:t>第六條</w:t>
        <w:tab/>
        <w:t>第二期以後保險費的交付、寬限期間及契約效力的停止</w:t>
      </w:r>
    </w:p>
    <w:p>
      <w:pPr>
        <w:pStyle w:val="BodyText"/>
        <w:spacing w:line="235" w:lineRule="exact"/>
        <w:ind w:left="753"/>
      </w:pPr>
      <w:r>
        <w:rPr>
          <w:w w:val="95"/>
        </w:rPr>
        <w:t>分期繳納的第二期以後保險費，應照本契約所載交付方法及日期，向本公司所在地或指定地點交付，或</w:t>
      </w:r>
    </w:p>
    <w:p>
      <w:pPr>
        <w:pStyle w:val="BodyText"/>
        <w:spacing w:line="242" w:lineRule="auto" w:before="6"/>
        <w:ind w:left="753" w:right="221"/>
        <w:jc w:val="both"/>
      </w:pPr>
      <w:r>
        <w:rPr>
          <w:w w:val="95"/>
        </w:rPr>
        <w:t>由本公司派員前往收取，並交付本公司開發之憑證。第二期以後分期保險費到期未交付時，半年繳者，</w:t>
      </w:r>
      <w:r>
        <w:rPr>
          <w:spacing w:val="197"/>
        </w:rPr>
        <w:t> </w:t>
      </w:r>
      <w:r>
        <w:rPr>
          <w:w w:val="95"/>
        </w:rPr>
        <w:t>自催告到達翌日起三十日內為寬限期間；月繳或季繳者，則不另為催告，自保險單所載交付日期之翌日</w:t>
      </w:r>
      <w:r>
        <w:rPr>
          <w:spacing w:val="187"/>
        </w:rPr>
        <w:t> </w:t>
      </w:r>
      <w:r>
        <w:rPr/>
        <w:t>起三十日為寬限期間。</w:t>
      </w:r>
    </w:p>
    <w:p>
      <w:pPr>
        <w:pStyle w:val="BodyText"/>
        <w:spacing w:line="242" w:lineRule="auto" w:before="4"/>
        <w:ind w:left="753" w:right="221"/>
      </w:pPr>
      <w:r>
        <w:rPr>
          <w:w w:val="95"/>
        </w:rPr>
        <w:t>約定以金融機構轉帳或其他方式交付第二期以後的分期保險費者，本公司於知悉未能依此項約定受領保</w:t>
      </w:r>
      <w:r>
        <w:rPr>
          <w:spacing w:val="187"/>
        </w:rPr>
        <w:t> </w:t>
      </w:r>
      <w:r>
        <w:rPr/>
        <w:t>險費時，應催告要保人交付保險費，自催告到達翌日起三十日內為寬限期間。</w:t>
      </w:r>
    </w:p>
    <w:p>
      <w:pPr>
        <w:pStyle w:val="BodyText"/>
        <w:spacing w:line="242" w:lineRule="auto" w:before="3"/>
        <w:ind w:left="753" w:right="221"/>
      </w:pPr>
      <w:r>
        <w:rPr>
          <w:w w:val="95"/>
        </w:rPr>
        <w:t>前二項對要保人之催告，本公司另應通知被保險人以確保其權益。對被保險人之通知，依最後留存於本</w:t>
      </w:r>
      <w:r>
        <w:rPr>
          <w:spacing w:val="187"/>
        </w:rPr>
        <w:t> </w:t>
      </w:r>
      <w:r>
        <w:rPr/>
        <w:t>公司之聯絡資料，以書面、電子郵件、簡訊或其他約定方式擇一發出通知者，視為已完成。</w:t>
      </w:r>
    </w:p>
    <w:p>
      <w:pPr>
        <w:pStyle w:val="BodyText"/>
        <w:ind w:left="753"/>
      </w:pPr>
      <w:r>
        <w:rPr>
          <w:w w:val="95"/>
        </w:rPr>
        <w:t>逾寬限期間仍未交付者，本契約自寬限期間終了翌日起停止效力。如在寬限期間內發生保險事故時，本</w:t>
      </w:r>
    </w:p>
    <w:p>
      <w:pPr>
        <w:spacing w:after="0"/>
        <w:sectPr>
          <w:footerReference w:type="default" r:id="rId5"/>
          <w:type w:val="continuous"/>
          <w:pgSz w:w="11910" w:h="16840"/>
          <w:pgMar w:footer="775" w:top="1380" w:bottom="960" w:left="980" w:right="920"/>
          <w:pgNumType w:start="1"/>
        </w:sectPr>
      </w:pPr>
    </w:p>
    <w:p>
      <w:pPr>
        <w:pStyle w:val="BodyText"/>
        <w:spacing w:before="47"/>
        <w:ind w:left="753"/>
      </w:pPr>
      <w:r>
        <w:rPr/>
        <w:t>公司仍負保險責任。但應由給付保險金內扣除本契約該要保人欠繳保險費。</w:t>
      </w:r>
    </w:p>
    <w:p>
      <w:pPr>
        <w:pStyle w:val="Heading1"/>
        <w:tabs>
          <w:tab w:pos="954" w:val="left" w:leader="none"/>
        </w:tabs>
        <w:spacing w:line="348" w:lineRule="exact" w:before="177"/>
      </w:pPr>
      <w:r>
        <w:rPr/>
        <w:t>第七條</w:t>
        <w:tab/>
        <w:t>告知義務與本契約的解除</w:t>
      </w:r>
    </w:p>
    <w:p>
      <w:pPr>
        <w:pStyle w:val="BodyText"/>
        <w:spacing w:line="236" w:lineRule="exact"/>
        <w:ind w:left="753"/>
      </w:pPr>
      <w:r>
        <w:rPr>
          <w:w w:val="95"/>
        </w:rPr>
        <w:t>要保人或被保險人在訂立本契約時，對於本公司要保書書面詢問的告知事項應據實說明，如有為隱匿或</w:t>
      </w:r>
    </w:p>
    <w:p>
      <w:pPr>
        <w:pStyle w:val="BodyText"/>
        <w:spacing w:line="242" w:lineRule="auto" w:before="3"/>
        <w:ind w:left="753" w:right="220"/>
      </w:pPr>
      <w:r>
        <w:rPr>
          <w:w w:val="95"/>
        </w:rPr>
        <w:t>遺漏不為說明，或為不實的說明，足以變更或減少本公司對於危險的估計者，本公司得解除本契約，其</w:t>
      </w:r>
      <w:r>
        <w:rPr>
          <w:spacing w:val="188"/>
        </w:rPr>
        <w:t> </w:t>
      </w:r>
      <w:r>
        <w:rPr/>
        <w:t>保險事故發生後亦同。但危險的發生未基於其說明或未說明的事實時，不在此限。</w:t>
      </w:r>
    </w:p>
    <w:p>
      <w:pPr>
        <w:pStyle w:val="BodyText"/>
        <w:spacing w:before="3"/>
        <w:ind w:left="753"/>
      </w:pPr>
      <w:r>
        <w:rPr/>
        <w:t>前項解除契約權，自本公司知有解除之原因後，經過一個月不行使而消滅。</w:t>
      </w:r>
    </w:p>
    <w:p>
      <w:pPr>
        <w:pStyle w:val="Heading1"/>
        <w:tabs>
          <w:tab w:pos="954" w:val="left" w:leader="none"/>
        </w:tabs>
        <w:spacing w:line="348" w:lineRule="exact" w:before="177"/>
      </w:pPr>
      <w:r>
        <w:rPr/>
        <w:t>第八條</w:t>
        <w:tab/>
        <w:t>契約的終止</w:t>
      </w:r>
    </w:p>
    <w:p>
      <w:pPr>
        <w:pStyle w:val="BodyText"/>
        <w:spacing w:line="236" w:lineRule="exact"/>
        <w:ind w:left="753"/>
      </w:pPr>
      <w:r>
        <w:rPr/>
        <w:t>要保人得隨時終止本契約。</w:t>
      </w:r>
    </w:p>
    <w:p>
      <w:pPr>
        <w:pStyle w:val="BodyText"/>
        <w:spacing w:before="3"/>
        <w:ind w:left="753"/>
      </w:pPr>
      <w:r>
        <w:rPr/>
        <w:t>前項契約之終止，自本公司收到要保人書面或其他約定方式通知時，開始生效。</w:t>
      </w:r>
    </w:p>
    <w:p>
      <w:pPr>
        <w:pStyle w:val="BodyText"/>
        <w:spacing w:line="244" w:lineRule="auto" w:before="3"/>
        <w:ind w:left="753" w:right="221"/>
      </w:pPr>
      <w:r>
        <w:rPr>
          <w:w w:val="95"/>
        </w:rPr>
        <w:t>本契約因要保人終止或因第十條以外原因終止後，如有未滿期保險費者，本公司應從當期已繳保險費扣</w:t>
      </w:r>
      <w:r>
        <w:rPr>
          <w:spacing w:val="187"/>
        </w:rPr>
        <w:t> </w:t>
      </w:r>
      <w:r>
        <w:rPr/>
        <w:t>除按短期費率計算已經過期間之保險費後，將其未滿期保險費退還要保人。短期費率如附件。</w:t>
      </w:r>
    </w:p>
    <w:p>
      <w:pPr>
        <w:pStyle w:val="BodyText"/>
        <w:spacing w:line="254" w:lineRule="exact"/>
        <w:ind w:left="753"/>
      </w:pPr>
      <w:r>
        <w:rPr/>
        <w:drawing>
          <wp:anchor distT="0" distB="0" distL="0" distR="0" allowOverlap="1" layoutInCell="1" locked="0" behindDoc="1" simplePos="0" relativeHeight="486260736">
            <wp:simplePos x="0" y="0"/>
            <wp:positionH relativeFrom="page">
              <wp:posOffset>2873375</wp:posOffset>
            </wp:positionH>
            <wp:positionV relativeFrom="paragraph">
              <wp:posOffset>126478</wp:posOffset>
            </wp:positionV>
            <wp:extent cx="1836419" cy="4423487"/>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836419" cy="4423487"/>
                    </a:xfrm>
                    <a:prstGeom prst="rect">
                      <a:avLst/>
                    </a:prstGeom>
                  </pic:spPr>
                </pic:pic>
              </a:graphicData>
            </a:graphic>
          </wp:anchor>
        </w:drawing>
      </w:r>
      <w:r>
        <w:rPr>
          <w:spacing w:val="-2"/>
        </w:rPr>
        <w:t>繳費方式為月繳者，未滿期保險費則以當期已繳保險費扣除按日數比例計算已經過期間之保險費計算之。</w:t>
      </w:r>
    </w:p>
    <w:p>
      <w:pPr>
        <w:pStyle w:val="Heading1"/>
        <w:tabs>
          <w:tab w:pos="954" w:val="left" w:leader="none"/>
        </w:tabs>
        <w:spacing w:line="347" w:lineRule="exact" w:before="180"/>
      </w:pPr>
      <w:r>
        <w:rPr/>
        <w:t>第九條</w:t>
        <w:tab/>
        <w:t>保險事故的通知與保險金的申請時間</w:t>
      </w:r>
    </w:p>
    <w:p>
      <w:pPr>
        <w:pStyle w:val="BodyText"/>
        <w:spacing w:line="235" w:lineRule="exact"/>
        <w:ind w:left="753"/>
      </w:pPr>
      <w:r>
        <w:rPr>
          <w:w w:val="95"/>
        </w:rPr>
        <w:t>被保險人於本契約有效期間內遭受第二條約定的意外傷害事故時，要保人、被保險人或受益人應於知悉</w:t>
      </w:r>
    </w:p>
    <w:p>
      <w:pPr>
        <w:pStyle w:val="BodyText"/>
        <w:spacing w:line="244" w:lineRule="auto" w:before="2"/>
        <w:ind w:left="753" w:right="221"/>
      </w:pPr>
      <w:r>
        <w:rPr>
          <w:w w:val="95"/>
        </w:rPr>
        <w:t>意外傷害事故發生後十日內將事故狀況及被保險人的傷害程度，通知本公司。並於通知後儘速檢具所需</w:t>
      </w:r>
      <w:r>
        <w:rPr>
          <w:spacing w:val="187"/>
        </w:rPr>
        <w:t> </w:t>
      </w:r>
      <w:r>
        <w:rPr/>
        <w:t>文件向本公司申請給付保險金。</w:t>
      </w:r>
    </w:p>
    <w:p>
      <w:pPr>
        <w:pStyle w:val="BodyText"/>
        <w:spacing w:line="244" w:lineRule="auto"/>
        <w:ind w:left="753" w:right="221"/>
      </w:pPr>
      <w:r>
        <w:rPr>
          <w:w w:val="95"/>
        </w:rPr>
        <w:t>本公司應於收齊前項文件後十五日內給付之。但因可歸責於本公司之事由致未在前述約定期限內為給付</w:t>
      </w:r>
      <w:r>
        <w:rPr>
          <w:spacing w:val="187"/>
        </w:rPr>
        <w:t> </w:t>
      </w:r>
      <w:r>
        <w:rPr/>
        <w:t>者，應按年利一分加計利息給付。</w:t>
      </w:r>
    </w:p>
    <w:p>
      <w:pPr>
        <w:pStyle w:val="Heading1"/>
        <w:tabs>
          <w:tab w:pos="954" w:val="left" w:leader="none"/>
        </w:tabs>
        <w:spacing w:before="171"/>
      </w:pPr>
      <w:r>
        <w:rPr/>
        <w:t>第十條</w:t>
        <w:tab/>
        <w:t>意外身故保險金或喪葬費用保險金的給付</w:t>
      </w:r>
    </w:p>
    <w:p>
      <w:pPr>
        <w:pStyle w:val="BodyText"/>
        <w:spacing w:line="235" w:lineRule="exact"/>
        <w:ind w:left="753"/>
      </w:pPr>
      <w:r>
        <w:rPr>
          <w:w w:val="95"/>
        </w:rPr>
        <w:t>被保險人於本契約有效期間內遭受第二條約定的意外傷害事故，自意外傷害事故發生之日起一百八十日</w:t>
      </w:r>
    </w:p>
    <w:p>
      <w:pPr>
        <w:pStyle w:val="BodyText"/>
        <w:spacing w:line="242" w:lineRule="auto" w:before="5"/>
        <w:ind w:left="753" w:right="165"/>
        <w:jc w:val="both"/>
      </w:pPr>
      <w:r>
        <w:rPr>
          <w:spacing w:val="-3"/>
          <w:w w:val="95"/>
        </w:rPr>
        <w:t>以內身故者，本公司按本契約保險單上所記載之保險金額給付「意外身故保險金</w:t>
      </w:r>
      <w:r>
        <w:rPr>
          <w:spacing w:val="-14"/>
          <w:w w:val="95"/>
        </w:rPr>
        <w:t>」，本契約效力即行終止。</w:t>
      </w:r>
      <w:r>
        <w:rPr>
          <w:spacing w:val="66"/>
          <w:w w:val="95"/>
        </w:rPr>
        <w:t> </w:t>
      </w:r>
      <w:r>
        <w:rPr/>
        <w:t>前項情形如被保險人自意外傷害事故發生之日起超過一百八十日身故，受益人若能證明被保險人之死亡</w:t>
      </w:r>
      <w:r>
        <w:rPr>
          <w:spacing w:val="-1"/>
        </w:rPr>
        <w:t>與該意外傷害事故具有因果關係者，本公司仍依前項約定給付「意外身故保險金</w:t>
      </w:r>
      <w:r>
        <w:rPr>
          <w:spacing w:val="-13"/>
        </w:rPr>
        <w:t>」，不受前項一百八十日</w:t>
      </w:r>
      <w:r>
        <w:rPr/>
        <w:t>之限制。</w:t>
      </w:r>
    </w:p>
    <w:p>
      <w:pPr>
        <w:pStyle w:val="BodyText"/>
        <w:spacing w:line="244" w:lineRule="auto" w:before="6"/>
        <w:ind w:left="753" w:right="220"/>
        <w:jc w:val="both"/>
      </w:pPr>
      <w:r>
        <w:rPr>
          <w:w w:val="95"/>
        </w:rPr>
        <w:t>訂立本契約時，以未滿十五足歲之未成年人為被保險人，除喪葬費用之給付外，其餘死亡給付之約定於</w:t>
      </w:r>
      <w:r>
        <w:rPr>
          <w:spacing w:val="198"/>
        </w:rPr>
        <w:t> </w:t>
      </w:r>
      <w:r>
        <w:rPr>
          <w:w w:val="95"/>
        </w:rPr>
        <w:t>被保險人滿十五足歲之日起發生效力；被保險人滿十五足歲前死亡者，其身故保險金變更為喪葬費用保</w:t>
      </w:r>
      <w:r>
        <w:rPr>
          <w:spacing w:val="188"/>
        </w:rPr>
        <w:t> </w:t>
      </w:r>
      <w:r>
        <w:rPr/>
        <w:t>險金。</w:t>
      </w:r>
    </w:p>
    <w:p>
      <w:pPr>
        <w:pStyle w:val="BodyText"/>
        <w:spacing w:line="242" w:lineRule="auto"/>
        <w:ind w:left="753" w:right="213"/>
      </w:pPr>
      <w:r>
        <w:rPr>
          <w:w w:val="95"/>
        </w:rPr>
        <w:t>前項未滿十五足歲之被保險人如有於民國九十九年二月三日(不含)前訂立之保險契約，其喪葬費用保險</w:t>
      </w:r>
      <w:r>
        <w:rPr>
          <w:spacing w:val="195"/>
        </w:rPr>
        <w:t> </w:t>
      </w:r>
      <w:r>
        <w:rPr/>
        <w:t>金之給付依下列方式辦理：</w:t>
      </w:r>
    </w:p>
    <w:p>
      <w:pPr>
        <w:pStyle w:val="BodyText"/>
        <w:spacing w:line="244" w:lineRule="auto"/>
        <w:ind w:left="1154" w:right="214" w:hanging="401"/>
        <w:jc w:val="both"/>
      </w:pPr>
      <w:r>
        <w:rPr>
          <w:w w:val="95"/>
        </w:rPr>
        <w:t>一、被保險人於民國九十九年二月三日(不含)前訂立之保險契約，喪葬費用保險金額大於或等於遺產及</w:t>
      </w:r>
      <w:r>
        <w:rPr>
          <w:spacing w:val="204"/>
        </w:rPr>
        <w:t> </w:t>
      </w:r>
      <w:r>
        <w:rPr>
          <w:w w:val="95"/>
        </w:rPr>
        <w:t>贈與稅法第十七條有關遺產稅喪葬費扣除額之半數(含)者，其喪葬費用保險金之給付，從其約定，</w:t>
      </w:r>
      <w:r>
        <w:rPr>
          <w:spacing w:val="183"/>
        </w:rPr>
        <w:t> </w:t>
      </w:r>
      <w:r>
        <w:rPr>
          <w:w w:val="95"/>
        </w:rPr>
        <w:t>一百零九年六月十二日(含)以後所投保之喪葬費用保險金額，本公司不負給付責任，並應無息退還</w:t>
      </w:r>
      <w:r>
        <w:rPr>
          <w:spacing w:val="173"/>
        </w:rPr>
        <w:t> </w:t>
      </w:r>
      <w:r>
        <w:rPr/>
        <w:t>該超過部分之已繳保險費。</w:t>
      </w:r>
    </w:p>
    <w:p>
      <w:pPr>
        <w:pStyle w:val="BodyText"/>
        <w:spacing w:line="244" w:lineRule="auto"/>
        <w:ind w:left="1154" w:right="211" w:hanging="401"/>
        <w:jc w:val="both"/>
      </w:pPr>
      <w:r>
        <w:rPr>
          <w:w w:val="95"/>
        </w:rPr>
        <w:t>二、被保險人於民國九十九年二月三日(不含)前訂立之保險契約，喪葬費用保險金額小於遺產及贈與稅</w:t>
      </w:r>
      <w:r>
        <w:rPr>
          <w:spacing w:val="207"/>
        </w:rPr>
        <w:t> </w:t>
      </w:r>
      <w:r>
        <w:rPr>
          <w:w w:val="95"/>
        </w:rPr>
        <w:t>法第十七條有關遺產稅喪葬費扣除額之半數(含)者應加計民國一百零九年六月十二日(含)以後所投</w:t>
      </w:r>
      <w:r>
        <w:rPr>
          <w:spacing w:val="186"/>
        </w:rPr>
        <w:t> </w:t>
      </w:r>
      <w:r>
        <w:rPr>
          <w:w w:val="95"/>
        </w:rPr>
        <w:t>保之喪葬費用保險金額，被保險人死亡時，受益人得領取之喪葬費用保險金總和（不限本公司），</w:t>
      </w:r>
      <w:r>
        <w:rPr>
          <w:spacing w:val="186"/>
        </w:rPr>
        <w:t> </w:t>
      </w:r>
      <w:r>
        <w:rPr>
          <w:w w:val="95"/>
        </w:rPr>
        <w:t>不得超過遺產及贈與稅法第十七條有關遺產稅喪葬費扣除額之半數。超過部分，本公司不負給付責</w:t>
      </w:r>
      <w:r>
        <w:rPr>
          <w:spacing w:val="176"/>
        </w:rPr>
        <w:t> </w:t>
      </w:r>
      <w:r>
        <w:rPr/>
        <w:t>任，並應無息退還該超過部分之已繳保險費。</w:t>
      </w:r>
    </w:p>
    <w:p>
      <w:pPr>
        <w:pStyle w:val="BodyText"/>
        <w:spacing w:line="244" w:lineRule="auto"/>
        <w:ind w:left="753" w:right="215"/>
        <w:jc w:val="both"/>
      </w:pPr>
      <w:r>
        <w:rPr>
          <w:w w:val="95"/>
        </w:rPr>
        <w:t>訂立本契約時，以受監護宣告尚未撤銷者為被保險人，其「意外身故保險金」變更為喪葬費用保險金。</w:t>
      </w:r>
      <w:r>
        <w:rPr>
          <w:spacing w:val="203"/>
        </w:rPr>
        <w:t> </w:t>
      </w:r>
      <w:r>
        <w:rPr>
          <w:w w:val="95"/>
        </w:rPr>
        <w:t>第三項未滿十五足歲之被保險人於民國一百零九年六月十二日（含）以後及第五項被保險人於民國九十</w:t>
      </w:r>
      <w:r>
        <w:rPr>
          <w:spacing w:val="191"/>
        </w:rPr>
        <w:t> </w:t>
      </w:r>
      <w:r>
        <w:rPr>
          <w:spacing w:val="-3"/>
          <w:w w:val="99"/>
        </w:rPr>
        <w:t>九年二月三日</w:t>
      </w:r>
      <w:r>
        <w:rPr>
          <w:w w:val="99"/>
        </w:rPr>
        <w:t>（含</w:t>
      </w:r>
      <w:r>
        <w:rPr>
          <w:spacing w:val="-15"/>
          <w:w w:val="99"/>
        </w:rPr>
        <w:t>）</w:t>
      </w:r>
      <w:r>
        <w:rPr>
          <w:spacing w:val="-1"/>
          <w:w w:val="99"/>
        </w:rPr>
        <w:t>以後所投保之喪葬費用保險金額總和</w:t>
      </w:r>
      <w:r>
        <w:rPr>
          <w:spacing w:val="2"/>
          <w:w w:val="99"/>
        </w:rPr>
        <w:t>（</w:t>
      </w:r>
      <w:r>
        <w:rPr>
          <w:w w:val="99"/>
        </w:rPr>
        <w:t>不限本公司</w:t>
      </w:r>
      <w:r>
        <w:rPr>
          <w:spacing w:val="-108"/>
          <w:w w:val="99"/>
        </w:rPr>
        <w:t>）</w:t>
      </w:r>
      <w:r>
        <w:rPr>
          <w:spacing w:val="-2"/>
          <w:w w:val="99"/>
        </w:rPr>
        <w:t>，不得超過遺產及贈與稅法第十</w:t>
      </w:r>
      <w:r>
        <w:rPr>
          <w:w w:val="95"/>
        </w:rPr>
        <w:t>七條有關遺產稅喪葬費扣除額之半數，其超過部分本公司不負給付責任，本公司並應無息退還該超過無</w:t>
      </w:r>
      <w:r>
        <w:rPr>
          <w:spacing w:val="193"/>
        </w:rPr>
        <w:t> </w:t>
      </w:r>
      <w:r>
        <w:rPr/>
        <w:t>效部分之已繳保險費予要保人。</w:t>
      </w:r>
    </w:p>
    <w:p>
      <w:pPr>
        <w:pStyle w:val="BodyText"/>
        <w:spacing w:line="244" w:lineRule="auto"/>
        <w:ind w:left="753" w:right="116"/>
      </w:pPr>
      <w:r>
        <w:rPr>
          <w:spacing w:val="-4"/>
          <w:w w:val="95"/>
        </w:rPr>
        <w:t>第四項及第六項情形，如要保人向二家</w:t>
      </w:r>
      <w:r>
        <w:rPr>
          <w:w w:val="95"/>
        </w:rPr>
        <w:t>（含</w:t>
      </w:r>
      <w:r>
        <w:rPr>
          <w:spacing w:val="-53"/>
          <w:w w:val="95"/>
        </w:rPr>
        <w:t>）</w:t>
      </w:r>
      <w:r>
        <w:rPr>
          <w:spacing w:val="-3"/>
          <w:w w:val="95"/>
        </w:rPr>
        <w:t>以上保險公司投保，或向同一保險公司投保數個保險契</w:t>
      </w:r>
      <w:r>
        <w:rPr>
          <w:w w:val="95"/>
        </w:rPr>
        <w:t>（附）</w:t>
      </w:r>
      <w:r>
        <w:rPr>
          <w:spacing w:val="76"/>
          <w:w w:val="95"/>
        </w:rPr>
        <w:t> </w:t>
      </w:r>
      <w:r>
        <w:rPr/>
        <w:t>約，且其投保之喪葬費用保險金額合計超過所定之限額者，本公司於所承保之喪葬費用金額範圍內，依各要保書所載之要保時間先後，依約給付喪葬費用保險金至前項喪葬費用額度上限為止，如有二家以上保險公司之保險契約要保時間相同或無法區分其要保時間之先後者，各該保險公司應依其喪葬費用保險金額與扣除要保時間在先之保險公司應理賠之金額後所餘之限額比例分擔其責任。</w:t>
      </w:r>
    </w:p>
    <w:p>
      <w:pPr>
        <w:spacing w:after="0" w:line="244" w:lineRule="auto"/>
        <w:sectPr>
          <w:pgSz w:w="11910" w:h="16840"/>
          <w:pgMar w:header="0" w:footer="775" w:top="1340" w:bottom="1040" w:left="980" w:right="920"/>
        </w:sectPr>
      </w:pPr>
    </w:p>
    <w:p>
      <w:pPr>
        <w:pStyle w:val="Heading1"/>
        <w:tabs>
          <w:tab w:pos="1156" w:val="left" w:leader="none"/>
        </w:tabs>
        <w:spacing w:line="328" w:lineRule="exact"/>
      </w:pPr>
      <w:r>
        <w:rPr/>
        <w:t>第十一條</w:t>
        <w:tab/>
        <w:t>意外失能保險金的給付</w:t>
      </w:r>
    </w:p>
    <w:p>
      <w:pPr>
        <w:pStyle w:val="BodyText"/>
        <w:spacing w:line="235" w:lineRule="exact"/>
        <w:ind w:left="952"/>
      </w:pPr>
      <w:r>
        <w:rPr>
          <w:w w:val="95"/>
        </w:rPr>
        <w:t>被保險人於本契約有效期間內遭受第二條約定的意外傷害事故，自意外傷害事故發生之日起一百八十</w:t>
      </w:r>
    </w:p>
    <w:p>
      <w:pPr>
        <w:pStyle w:val="BodyText"/>
        <w:spacing w:line="242" w:lineRule="auto" w:before="5"/>
        <w:ind w:left="952" w:right="219"/>
      </w:pPr>
      <w:r>
        <w:rPr>
          <w:w w:val="95"/>
        </w:rPr>
        <w:t>日以內致成附表所列失能程度之一者，本公司按本契約保險單上所記載之保險金額為準，依附表所列</w:t>
      </w:r>
      <w:r>
        <w:rPr>
          <w:spacing w:val="180"/>
        </w:rPr>
        <w:t> </w:t>
      </w:r>
      <w:r>
        <w:rPr>
          <w:spacing w:val="-7"/>
        </w:rPr>
        <w:t>比例計算給付「意外失能保險金」。</w:t>
      </w:r>
    </w:p>
    <w:p>
      <w:pPr>
        <w:pStyle w:val="BodyText"/>
        <w:spacing w:line="244" w:lineRule="auto" w:before="1"/>
        <w:ind w:left="952" w:right="211"/>
        <w:jc w:val="both"/>
      </w:pPr>
      <w:r>
        <w:rPr>
          <w:w w:val="95"/>
        </w:rPr>
        <w:t>前項情形如被保險人自意外傷害事故發生之日起超過一百八十日致成附表所列失能程度之一者，受益</w:t>
      </w:r>
      <w:r>
        <w:rPr>
          <w:spacing w:val="198"/>
        </w:rPr>
        <w:t> </w:t>
      </w:r>
      <w:r>
        <w:rPr>
          <w:w w:val="95"/>
        </w:rPr>
        <w:t>人若能證明被保險人之失能與該意外傷害事故具有因果關係者，本公司仍依前項約定給付「意外失能</w:t>
      </w:r>
      <w:r>
        <w:rPr>
          <w:spacing w:val="188"/>
        </w:rPr>
        <w:t> </w:t>
      </w:r>
      <w:r>
        <w:rPr>
          <w:spacing w:val="-11"/>
        </w:rPr>
        <w:t>保險金」，不受前項一百八十日之限制。</w:t>
      </w:r>
    </w:p>
    <w:p>
      <w:pPr>
        <w:pStyle w:val="BodyText"/>
        <w:spacing w:line="242" w:lineRule="auto"/>
        <w:ind w:left="952" w:right="206"/>
        <w:jc w:val="both"/>
      </w:pPr>
      <w:r>
        <w:rPr>
          <w:w w:val="95"/>
        </w:rPr>
        <w:t>被保險人因同一意外傷害事故致成附表所列二項以上失能程度時，本公司給付各該項「意外失能保險</w:t>
      </w:r>
      <w:r>
        <w:rPr>
          <w:spacing w:val="203"/>
        </w:rPr>
        <w:t> </w:t>
      </w:r>
      <w:r>
        <w:rPr>
          <w:w w:val="95"/>
        </w:rPr>
        <w:t>金」之和，最高以本契約保險單上所記載之保險金額為限。但不同失能項目屬於同一手或同一足時，</w:t>
      </w:r>
      <w:r>
        <w:rPr>
          <w:spacing w:val="203"/>
        </w:rPr>
        <w:t> </w:t>
      </w:r>
      <w:r>
        <w:rPr>
          <w:w w:val="95"/>
        </w:rPr>
        <w:t>僅給付一項「意外失能保險金</w:t>
      </w:r>
      <w:r>
        <w:rPr>
          <w:spacing w:val="-11"/>
          <w:w w:val="95"/>
        </w:rPr>
        <w:t>」；若失能項目所屬失能等級不同時，給付較嚴重項目的「意外失能保險</w:t>
      </w:r>
      <w:r>
        <w:rPr>
          <w:spacing w:val="111"/>
        </w:rPr>
        <w:t> </w:t>
      </w:r>
      <w:r>
        <w:rPr>
          <w:spacing w:val="-34"/>
        </w:rPr>
        <w:t>金」。</w:t>
      </w:r>
    </w:p>
    <w:p>
      <w:pPr>
        <w:pStyle w:val="BodyText"/>
        <w:spacing w:line="244" w:lineRule="auto" w:before="2"/>
        <w:ind w:left="952" w:right="163"/>
        <w:jc w:val="both"/>
      </w:pPr>
      <w:r>
        <w:rPr/>
        <w:drawing>
          <wp:anchor distT="0" distB="0" distL="0" distR="0" allowOverlap="1" layoutInCell="1" locked="0" behindDoc="1" simplePos="0" relativeHeight="486261248">
            <wp:simplePos x="0" y="0"/>
            <wp:positionH relativeFrom="page">
              <wp:posOffset>2873375</wp:posOffset>
            </wp:positionH>
            <wp:positionV relativeFrom="paragraph">
              <wp:posOffset>433787</wp:posOffset>
            </wp:positionV>
            <wp:extent cx="1836419" cy="4423487"/>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836419" cy="4423487"/>
                    </a:xfrm>
                    <a:prstGeom prst="rect">
                      <a:avLst/>
                    </a:prstGeom>
                  </pic:spPr>
                </pic:pic>
              </a:graphicData>
            </a:graphic>
          </wp:anchor>
        </w:drawing>
      </w:r>
      <w:r>
        <w:rPr/>
        <w:t>被保險人因本次意外傷害事故所致之失能，如合併以前（含本契約訂立前）的失能，可領附表所列較</w:t>
      </w:r>
      <w:r>
        <w:rPr>
          <w:spacing w:val="-3"/>
          <w:w w:val="95"/>
        </w:rPr>
        <w:t>嚴重項目的「意外失能保險金」者，本公司按較嚴重的項目給付「意外失能保險金」，但以前的失能，</w:t>
      </w:r>
      <w:r>
        <w:rPr>
          <w:spacing w:val="147"/>
        </w:rPr>
        <w:t> </w:t>
      </w:r>
      <w:r>
        <w:rPr>
          <w:spacing w:val="-8"/>
        </w:rPr>
        <w:t>視同已給付「意外失能保險金」，應扣除之。</w:t>
      </w:r>
    </w:p>
    <w:p>
      <w:pPr>
        <w:pStyle w:val="BodyText"/>
        <w:spacing w:line="244" w:lineRule="auto"/>
        <w:ind w:left="952" w:right="161"/>
        <w:jc w:val="both"/>
      </w:pPr>
      <w:r>
        <w:rPr>
          <w:w w:val="95"/>
        </w:rPr>
        <w:t>前項情形，若被保險人扣除以前的失能後得領取之保險金低於單獨請領之金額者，不適用合併之約定。</w:t>
      </w:r>
      <w:r>
        <w:rPr>
          <w:spacing w:val="53"/>
          <w:w w:val="95"/>
        </w:rPr>
        <w:t> </w:t>
      </w:r>
      <w:r>
        <w:rPr/>
        <w:t>被保險人於本契約有效期間內因不同意外傷害事故申領「意外失能保險金」時，本公司累計給付金額最高以本契約保險單上所記載之保險金額為限。</w:t>
      </w:r>
    </w:p>
    <w:p>
      <w:pPr>
        <w:pStyle w:val="Heading1"/>
        <w:tabs>
          <w:tab w:pos="1156" w:val="left" w:leader="none"/>
        </w:tabs>
        <w:spacing w:line="345" w:lineRule="exact" w:before="169"/>
      </w:pPr>
      <w:r>
        <w:rPr/>
        <w:t>第十二條</w:t>
        <w:tab/>
        <w:t>微型傷害保險累計投保金額限制</w:t>
      </w:r>
    </w:p>
    <w:p>
      <w:pPr>
        <w:pStyle w:val="BodyText"/>
        <w:spacing w:line="234" w:lineRule="exact"/>
        <w:ind w:left="952"/>
      </w:pPr>
      <w:r>
        <w:rPr>
          <w:position w:val="1"/>
        </w:rPr>
        <w:t>被保險人累計投保微型傷害保險之保險金額</w:t>
      </w:r>
      <w:r>
        <w:rPr>
          <w:rFonts w:ascii="Times New Roman" w:eastAsia="Times New Roman"/>
        </w:rPr>
        <w:t>(</w:t>
      </w:r>
      <w:r>
        <w:rPr>
          <w:position w:val="1"/>
        </w:rPr>
        <w:t>不限本公司</w:t>
      </w:r>
      <w:r>
        <w:rPr>
          <w:rFonts w:ascii="Times New Roman" w:eastAsia="Times New Roman"/>
        </w:rPr>
        <w:t>)</w:t>
      </w:r>
      <w:r>
        <w:rPr>
          <w:position w:val="1"/>
        </w:rPr>
        <w:t>不得超過新臺幣五十萬元。</w:t>
      </w:r>
    </w:p>
    <w:p>
      <w:pPr>
        <w:pStyle w:val="BodyText"/>
        <w:spacing w:line="244" w:lineRule="auto" w:before="6"/>
        <w:ind w:left="952" w:right="216"/>
      </w:pPr>
      <w:r>
        <w:rPr>
          <w:w w:val="95"/>
        </w:rPr>
        <w:t>惟若被保險人向本公司或二家以上公司投保，致保險金額超過前項限額者，本公司仍依第十條及第十</w:t>
      </w:r>
      <w:r>
        <w:rPr>
          <w:spacing w:val="183"/>
        </w:rPr>
        <w:t> </w:t>
      </w:r>
      <w:r>
        <w:rPr/>
        <w:t>一條之規定給付保險金。</w:t>
      </w:r>
    </w:p>
    <w:p>
      <w:pPr>
        <w:pStyle w:val="Heading1"/>
        <w:tabs>
          <w:tab w:pos="1156" w:val="left" w:leader="none"/>
        </w:tabs>
        <w:spacing w:line="348" w:lineRule="exact" w:before="172"/>
      </w:pPr>
      <w:r>
        <w:rPr/>
        <w:t>第十三條</w:t>
        <w:tab/>
        <w:t>保險給付的限制</w:t>
      </w:r>
    </w:p>
    <w:p>
      <w:pPr>
        <w:pStyle w:val="BodyText"/>
        <w:spacing w:line="236" w:lineRule="exact"/>
        <w:ind w:left="952"/>
      </w:pPr>
      <w:r>
        <w:rPr>
          <w:w w:val="95"/>
        </w:rPr>
        <w:t>被保險人於本契約有效期間內因同一意外傷害事故致成失能後身故，並符合本契約第十條及第十一條</w:t>
      </w:r>
    </w:p>
    <w:p>
      <w:pPr>
        <w:pStyle w:val="BodyText"/>
        <w:spacing w:line="242" w:lineRule="auto" w:before="3"/>
        <w:ind w:left="952" w:right="214"/>
      </w:pPr>
      <w:r>
        <w:rPr>
          <w:w w:val="95"/>
        </w:rPr>
        <w:t>約定之申領條件時，本公司給付「意外身故保險金或喪葬費用保險金」及「意外失能保險金」之總金</w:t>
      </w:r>
      <w:r>
        <w:rPr>
          <w:spacing w:val="185"/>
        </w:rPr>
        <w:t> </w:t>
      </w:r>
      <w:r>
        <w:rPr/>
        <w:t>額合計最高以保險單上所記載之保險金額為限。</w:t>
      </w:r>
    </w:p>
    <w:p>
      <w:pPr>
        <w:pStyle w:val="BodyText"/>
        <w:spacing w:line="244" w:lineRule="auto" w:before="3"/>
        <w:ind w:left="952" w:right="160"/>
        <w:jc w:val="both"/>
      </w:pPr>
      <w:r>
        <w:rPr>
          <w:w w:val="95"/>
        </w:rPr>
        <w:t>前項情形，受益人已受領意外失能保險金者，本公司僅就保險金額與已受領金額間之差額負給付責任。</w:t>
      </w:r>
      <w:r>
        <w:rPr>
          <w:spacing w:val="54"/>
          <w:w w:val="95"/>
        </w:rPr>
        <w:t> </w:t>
      </w:r>
      <w:r>
        <w:rPr/>
        <w:t>被保險人於本契約有效期間內因不同意外傷害事故致成失能、身故時，受益人得依第十條至第十一條之約定分別申領保險金，不適用第一項之約定。</w:t>
      </w:r>
    </w:p>
    <w:p>
      <w:pPr>
        <w:pStyle w:val="Heading1"/>
        <w:tabs>
          <w:tab w:pos="1156" w:val="left" w:leader="none"/>
        </w:tabs>
        <w:spacing w:before="170"/>
      </w:pPr>
      <w:r>
        <w:rPr/>
        <w:t>第十四條</w:t>
        <w:tab/>
        <w:t>意外身故保險金或喪葬費用保險金的申領</w:t>
      </w:r>
    </w:p>
    <w:p>
      <w:pPr>
        <w:pStyle w:val="BodyText"/>
        <w:spacing w:line="235" w:lineRule="exact"/>
        <w:ind w:left="952"/>
      </w:pPr>
      <w:r>
        <w:rPr/>
        <w:t>受益人申領「意外身故保險金或喪葬費用保險金」時，應檢具下列文件：</w:t>
      </w:r>
    </w:p>
    <w:p>
      <w:pPr>
        <w:pStyle w:val="BodyText"/>
        <w:spacing w:line="242" w:lineRule="auto" w:before="6"/>
        <w:ind w:left="952" w:right="7053"/>
      </w:pPr>
      <w:r>
        <w:rPr/>
        <w:t>一、保險金申請書。</w:t>
      </w:r>
      <w:r>
        <w:rPr>
          <w:spacing w:val="1"/>
        </w:rPr>
        <w:t> </w:t>
      </w:r>
      <w:r>
        <w:rPr>
          <w:spacing w:val="-1"/>
        </w:rPr>
        <w:t>二、保險單或其謄本。</w:t>
      </w:r>
    </w:p>
    <w:p>
      <w:pPr>
        <w:pStyle w:val="BodyText"/>
        <w:spacing w:line="242" w:lineRule="auto" w:before="3"/>
        <w:ind w:left="952" w:right="1254"/>
      </w:pPr>
      <w:r>
        <w:rPr>
          <w:w w:val="95"/>
        </w:rPr>
        <w:t>三、相驗屍體證明書或死亡診斷書；但必要時本公司得要求提供意外傷害事故證明文件。</w:t>
      </w:r>
      <w:r>
        <w:rPr>
          <w:spacing w:val="95"/>
        </w:rPr>
        <w:t> </w:t>
      </w:r>
      <w:r>
        <w:rPr/>
        <w:t>四、被保險人除戶戶籍謄本。</w:t>
      </w:r>
    </w:p>
    <w:p>
      <w:pPr>
        <w:pStyle w:val="BodyText"/>
        <w:spacing w:before="1"/>
        <w:ind w:left="952"/>
      </w:pPr>
      <w:r>
        <w:rPr>
          <w:w w:val="95"/>
        </w:rPr>
        <w:t>五、受益人的身分證明。</w:t>
      </w:r>
    </w:p>
    <w:p>
      <w:pPr>
        <w:pStyle w:val="Heading1"/>
        <w:tabs>
          <w:tab w:pos="1156" w:val="left" w:leader="none"/>
        </w:tabs>
        <w:spacing w:before="179"/>
      </w:pPr>
      <w:r>
        <w:rPr/>
        <w:t>第十五條</w:t>
        <w:tab/>
      </w:r>
      <w:r>
        <w:rPr>
          <w:w w:val="95"/>
        </w:rPr>
        <w:t>意外失能保險金的申領</w:t>
      </w:r>
    </w:p>
    <w:p>
      <w:pPr>
        <w:pStyle w:val="BodyText"/>
        <w:spacing w:line="235" w:lineRule="exact"/>
        <w:ind w:left="952"/>
      </w:pPr>
      <w:r>
        <w:rPr/>
        <w:t>受益人申領「意外失能保險金」時，應檢具下列文件：</w:t>
      </w:r>
    </w:p>
    <w:p>
      <w:pPr>
        <w:pStyle w:val="BodyText"/>
        <w:spacing w:line="242" w:lineRule="auto" w:before="5"/>
        <w:ind w:left="952" w:right="7053"/>
      </w:pPr>
      <w:r>
        <w:rPr/>
        <w:t>一、保險金申請書。</w:t>
      </w:r>
      <w:r>
        <w:rPr>
          <w:spacing w:val="1"/>
        </w:rPr>
        <w:t> </w:t>
      </w:r>
      <w:r>
        <w:rPr>
          <w:spacing w:val="-1"/>
        </w:rPr>
        <w:t>二、保險單或其謄本。</w:t>
      </w:r>
    </w:p>
    <w:p>
      <w:pPr>
        <w:pStyle w:val="BodyText"/>
        <w:spacing w:line="244" w:lineRule="auto" w:before="1"/>
        <w:ind w:left="952" w:right="2854"/>
      </w:pPr>
      <w:r>
        <w:rPr>
          <w:w w:val="95"/>
        </w:rPr>
        <w:t>三、失能診斷書；但必要時本公司得要求提供意外傷害事故證明文件。</w:t>
      </w:r>
      <w:r>
        <w:rPr>
          <w:spacing w:val="20"/>
          <w:w w:val="95"/>
        </w:rPr>
        <w:t> </w:t>
      </w:r>
      <w:r>
        <w:rPr/>
        <w:t>四、受益人的身分證明。</w:t>
      </w:r>
    </w:p>
    <w:p>
      <w:pPr>
        <w:pStyle w:val="BodyText"/>
        <w:spacing w:line="244" w:lineRule="auto"/>
        <w:ind w:left="952" w:right="213"/>
        <w:jc w:val="both"/>
      </w:pPr>
      <w:r>
        <w:rPr>
          <w:w w:val="95"/>
        </w:rPr>
        <w:t>受益人申領「意外失能保險金」時，本公司基於審核保險金之需要，得對被保險人的身體予以檢驗，</w:t>
      </w:r>
      <w:r>
        <w:rPr>
          <w:spacing w:val="196"/>
        </w:rPr>
        <w:t> </w:t>
      </w:r>
      <w:r>
        <w:rPr>
          <w:w w:val="95"/>
        </w:rPr>
        <w:t>另得徵詢其他醫師之醫學專業意見，並得經受益人同意調閱被保險人之就醫相關資料。因此所生之費</w:t>
      </w:r>
      <w:r>
        <w:rPr>
          <w:spacing w:val="186"/>
        </w:rPr>
        <w:t> </w:t>
      </w:r>
      <w:r>
        <w:rPr/>
        <w:t>用由本公司負擔。</w:t>
      </w:r>
    </w:p>
    <w:p>
      <w:pPr>
        <w:pStyle w:val="Heading1"/>
        <w:tabs>
          <w:tab w:pos="1156" w:val="left" w:leader="none"/>
        </w:tabs>
        <w:spacing w:line="348" w:lineRule="exact" w:before="169"/>
      </w:pPr>
      <w:r>
        <w:rPr/>
        <w:t>第十六條</w:t>
        <w:tab/>
        <w:t>除外責任（原因）</w:t>
      </w:r>
    </w:p>
    <w:p>
      <w:pPr>
        <w:pStyle w:val="BodyText"/>
        <w:spacing w:line="236" w:lineRule="exact"/>
        <w:ind w:left="952"/>
      </w:pPr>
      <w:r>
        <w:rPr/>
        <w:t>被保險人因下列事由致成身故、失能時，本公司不負給付保險金的責任。</w:t>
      </w:r>
    </w:p>
    <w:p>
      <w:pPr>
        <w:pStyle w:val="BodyText"/>
        <w:spacing w:line="244" w:lineRule="auto" w:before="3"/>
        <w:ind w:left="952" w:right="5853"/>
      </w:pPr>
      <w:r>
        <w:rPr>
          <w:spacing w:val="-1"/>
        </w:rPr>
        <w:t>一、要保人、被保險人的故意行為。</w:t>
      </w:r>
      <w:r>
        <w:rPr/>
        <w:t>二、被保險人犯罪行為。</w:t>
      </w:r>
    </w:p>
    <w:p>
      <w:pPr>
        <w:pStyle w:val="BodyText"/>
        <w:spacing w:line="254" w:lineRule="exact"/>
        <w:ind w:left="952"/>
      </w:pPr>
      <w:r>
        <w:rPr/>
        <w:t>三、被保險人飲酒後駕（騎）車，其吐氣或血液所含酒精成份超過道路交通法令規定標準者。</w:t>
      </w:r>
    </w:p>
    <w:p>
      <w:pPr>
        <w:spacing w:after="0" w:line="254" w:lineRule="exact"/>
        <w:sectPr>
          <w:pgSz w:w="11910" w:h="16840"/>
          <w:pgMar w:header="0" w:footer="775" w:top="1340" w:bottom="1040" w:left="980" w:right="920"/>
        </w:sectPr>
      </w:pPr>
    </w:p>
    <w:p>
      <w:pPr>
        <w:pStyle w:val="BodyText"/>
        <w:spacing w:line="242" w:lineRule="auto" w:before="47"/>
        <w:ind w:left="952" w:right="1055"/>
      </w:pPr>
      <w:r>
        <w:rPr/>
        <w:t>四、戰爭（不論宣戰與否</w:t>
      </w:r>
      <w:r>
        <w:rPr>
          <w:spacing w:val="-101"/>
        </w:rPr>
        <w:t>）</w:t>
      </w:r>
      <w:r>
        <w:rPr/>
        <w:t>、內亂及其他類似的武裝變亂。但契約另有約定者不在此限。</w:t>
      </w:r>
      <w:r>
        <w:rPr>
          <w:spacing w:val="15"/>
        </w:rPr>
        <w:t> </w:t>
      </w:r>
      <w:r>
        <w:rPr>
          <w:w w:val="95"/>
        </w:rPr>
        <w:t>五、因原子或核子能裝置所引起的爆炸、灼熱、輻射或污染。但契約另有約定者不在此限。</w:t>
      </w:r>
    </w:p>
    <w:p>
      <w:pPr>
        <w:pStyle w:val="BodyText"/>
        <w:spacing w:line="242" w:lineRule="auto" w:before="3"/>
        <w:ind w:left="952" w:right="214"/>
      </w:pPr>
      <w:r>
        <w:rPr>
          <w:spacing w:val="-3"/>
          <w:w w:val="99"/>
        </w:rPr>
        <w:t>前項第一款情形</w:t>
      </w:r>
      <w:r>
        <w:rPr>
          <w:w w:val="99"/>
        </w:rPr>
        <w:t>（除被保險人的故意行為外</w:t>
      </w:r>
      <w:r>
        <w:rPr>
          <w:spacing w:val="-111"/>
          <w:w w:val="99"/>
        </w:rPr>
        <w:t>）</w:t>
      </w:r>
      <w:r>
        <w:rPr>
          <w:spacing w:val="-5"/>
          <w:w w:val="99"/>
        </w:rPr>
        <w:t>，致被保險人失能時，本公司仍依本契約之約定給付保險</w:t>
      </w:r>
      <w:r>
        <w:rPr/>
        <w:t>金。</w:t>
      </w:r>
    </w:p>
    <w:p>
      <w:pPr>
        <w:pStyle w:val="Heading1"/>
        <w:tabs>
          <w:tab w:pos="1156" w:val="left" w:leader="none"/>
        </w:tabs>
        <w:spacing w:line="348" w:lineRule="exact" w:before="175"/>
      </w:pPr>
      <w:r>
        <w:rPr/>
        <w:t>第十七條</w:t>
        <w:tab/>
        <w:t>不保事項</w:t>
      </w:r>
    </w:p>
    <w:p>
      <w:pPr>
        <w:pStyle w:val="BodyText"/>
        <w:spacing w:line="236" w:lineRule="exact"/>
        <w:ind w:left="952"/>
      </w:pPr>
      <w:r>
        <w:rPr/>
        <w:t>被保險人從事下列活動，致成身故、失能時，本公司不負給付保險金的責任。</w:t>
      </w:r>
    </w:p>
    <w:p>
      <w:pPr>
        <w:pStyle w:val="BodyText"/>
        <w:spacing w:line="244" w:lineRule="auto" w:before="3"/>
        <w:ind w:left="952" w:right="455"/>
      </w:pPr>
      <w:r>
        <w:rPr>
          <w:w w:val="95"/>
        </w:rPr>
        <w:t>一、被保險人從事角力、摔跤、柔道、空手道、跆拳道、馬術、拳擊、特技表演等的競賽或表演。</w:t>
      </w:r>
      <w:r>
        <w:rPr>
          <w:spacing w:val="134"/>
        </w:rPr>
        <w:t> </w:t>
      </w:r>
      <w:r>
        <w:rPr/>
        <w:t>二、被保險人從事汽車、機車及自由車等的競賽或表演。</w:t>
      </w:r>
    </w:p>
    <w:p>
      <w:pPr>
        <w:pStyle w:val="Heading1"/>
        <w:tabs>
          <w:tab w:pos="1156" w:val="left" w:leader="none"/>
        </w:tabs>
        <w:spacing w:before="172"/>
      </w:pPr>
      <w:r>
        <w:rPr/>
        <w:t>第十八條</w:t>
        <w:tab/>
        <w:t>失蹤處理</w:t>
      </w:r>
    </w:p>
    <w:p>
      <w:pPr>
        <w:pStyle w:val="BodyText"/>
        <w:spacing w:line="235" w:lineRule="exact"/>
        <w:ind w:left="952"/>
      </w:pPr>
      <w:r>
        <w:rPr>
          <w:w w:val="95"/>
        </w:rPr>
        <w:t>被保險人在本契約有效期間內因第二條所約定的意外傷害事故失蹤，於戶籍資料所載失蹤之日起滿一</w:t>
      </w:r>
    </w:p>
    <w:p>
      <w:pPr>
        <w:pStyle w:val="BodyText"/>
        <w:spacing w:line="242" w:lineRule="auto" w:before="6"/>
        <w:ind w:left="952" w:right="114"/>
      </w:pPr>
      <w:r>
        <w:rPr/>
        <w:drawing>
          <wp:anchor distT="0" distB="0" distL="0" distR="0" allowOverlap="1" layoutInCell="1" locked="0" behindDoc="1" simplePos="0" relativeHeight="486261760">
            <wp:simplePos x="0" y="0"/>
            <wp:positionH relativeFrom="page">
              <wp:posOffset>2873375</wp:posOffset>
            </wp:positionH>
            <wp:positionV relativeFrom="paragraph">
              <wp:posOffset>296118</wp:posOffset>
            </wp:positionV>
            <wp:extent cx="1836419" cy="4423487"/>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836419" cy="4423487"/>
                    </a:xfrm>
                    <a:prstGeom prst="rect">
                      <a:avLst/>
                    </a:prstGeom>
                  </pic:spPr>
                </pic:pic>
              </a:graphicData>
            </a:graphic>
          </wp:anchor>
        </w:drawing>
      </w:r>
      <w:r>
        <w:rPr/>
        <w:t>年仍未尋獲，或要保人、受益人能提出證明文件足以認為被保險人極可能因本契約所約定之意外傷害事故而身故者，本公司按第十條約定先行給付「意外身故保險金或喪葬費用保險金</w:t>
      </w:r>
      <w:r>
        <w:rPr>
          <w:spacing w:val="-15"/>
        </w:rPr>
        <w:t>」；但日後發現被保</w:t>
      </w:r>
      <w:r>
        <w:rPr>
          <w:w w:val="95"/>
        </w:rPr>
        <w:t>險人生還時，要保人或受益人應將該筆已領之退還已繳保險費或「意外身故保險金或喪葬費用保險金」</w:t>
      </w:r>
      <w:r>
        <w:rPr>
          <w:spacing w:val="95"/>
        </w:rPr>
        <w:t> </w:t>
      </w:r>
      <w:r>
        <w:rPr/>
        <w:t>歸還本公司，其間有應繳而未繳之保險費者，於要保人一次清償後，本契約自原終止日繼續有效，本公司如有應行給付其他保險金情事者，仍依約給付。</w:t>
      </w:r>
    </w:p>
    <w:p>
      <w:pPr>
        <w:pStyle w:val="BodyText"/>
        <w:spacing w:before="1"/>
        <w:ind w:left="0"/>
        <w:rPr>
          <w:sz w:val="14"/>
        </w:rPr>
      </w:pPr>
    </w:p>
    <w:p>
      <w:pPr>
        <w:pStyle w:val="Heading1"/>
        <w:tabs>
          <w:tab w:pos="1156" w:val="left" w:leader="none"/>
        </w:tabs>
        <w:spacing w:before="1"/>
      </w:pPr>
      <w:r>
        <w:rPr/>
        <w:t>第十九條</w:t>
        <w:tab/>
        <w:t>受益人的指定及變更</w:t>
      </w:r>
    </w:p>
    <w:p>
      <w:pPr>
        <w:pStyle w:val="BodyText"/>
        <w:spacing w:line="235" w:lineRule="exact"/>
        <w:ind w:left="952"/>
      </w:pPr>
      <w:r>
        <w:rPr/>
        <w:t>「意外失能保險金」的受益人，為被保險人本人，本公司不受理另行指定或變更。</w:t>
      </w:r>
    </w:p>
    <w:p>
      <w:pPr>
        <w:pStyle w:val="BodyText"/>
        <w:spacing w:line="242" w:lineRule="auto" w:before="5"/>
        <w:ind w:left="952" w:right="653"/>
      </w:pPr>
      <w:r>
        <w:rPr>
          <w:w w:val="95"/>
        </w:rPr>
        <w:t>「意外身故或喪葬費用保險金」受益人的指定及變更，以被保險人的家屬或其法定繼承人為限。</w:t>
      </w:r>
      <w:r>
        <w:rPr>
          <w:spacing w:val="126"/>
        </w:rPr>
        <w:t> </w:t>
      </w:r>
      <w:r>
        <w:rPr/>
        <w:t>受益人之指定及變更，要保人得依下列約定辦理，並應符合指定或變更當時法令之規定：</w:t>
      </w:r>
    </w:p>
    <w:p>
      <w:pPr>
        <w:pStyle w:val="BodyText"/>
        <w:spacing w:before="1"/>
        <w:ind w:left="952"/>
      </w:pPr>
      <w:r>
        <w:rPr/>
        <w:t>一、於訂立本契約時，經被保險人同意指定受益人。</w:t>
      </w:r>
    </w:p>
    <w:p>
      <w:pPr>
        <w:pStyle w:val="BodyText"/>
        <w:spacing w:line="242" w:lineRule="auto" w:before="5"/>
        <w:ind w:left="1353" w:right="221" w:hanging="401"/>
      </w:pPr>
      <w:r>
        <w:rPr>
          <w:w w:val="95"/>
        </w:rPr>
        <w:t>二、於保險事故發生前經被保險人同意變更受益人，如要保人未將前述變更通知本公司者，不得對抗</w:t>
      </w:r>
      <w:r>
        <w:rPr>
          <w:spacing w:val="178"/>
        </w:rPr>
        <w:t> </w:t>
      </w:r>
      <w:r>
        <w:rPr/>
        <w:t>本公司。</w:t>
      </w:r>
    </w:p>
    <w:p>
      <w:pPr>
        <w:pStyle w:val="BodyText"/>
        <w:spacing w:line="242" w:lineRule="auto" w:before="3"/>
        <w:ind w:left="952" w:right="216"/>
      </w:pPr>
      <w:r>
        <w:rPr>
          <w:w w:val="95"/>
        </w:rPr>
        <w:t>前項受益人的變更，於要保人檢具申請書及被保險人的同意書（要、被保險人為同一人時為申請書或</w:t>
      </w:r>
      <w:r>
        <w:rPr>
          <w:spacing w:val="183"/>
        </w:rPr>
        <w:t> </w:t>
      </w:r>
      <w:r>
        <w:rPr/>
        <w:t>電子申請文件）送達本公司時，本公司應即予批註或發給批註書。</w:t>
      </w:r>
    </w:p>
    <w:p>
      <w:pPr>
        <w:pStyle w:val="BodyText"/>
        <w:spacing w:before="1"/>
        <w:ind w:left="952"/>
      </w:pPr>
      <w:r>
        <w:rPr/>
        <w:t>本公司為身故或失能給付時，應以受益人直接申領為限。</w:t>
      </w:r>
    </w:p>
    <w:p>
      <w:pPr>
        <w:pStyle w:val="Heading1"/>
        <w:tabs>
          <w:tab w:pos="1156" w:val="left" w:leader="none"/>
        </w:tabs>
        <w:spacing w:before="179"/>
      </w:pPr>
      <w:r>
        <w:rPr/>
        <w:t>第二十條</w:t>
        <w:tab/>
        <w:t>受益人之受益權</w:t>
      </w:r>
    </w:p>
    <w:p>
      <w:pPr>
        <w:pStyle w:val="BodyText"/>
        <w:spacing w:line="235" w:lineRule="exact"/>
        <w:ind w:left="952"/>
      </w:pPr>
      <w:r>
        <w:rPr/>
        <w:t>受益人故意致被保險人於死或雖未致死者，喪失其受益權。</w:t>
      </w:r>
    </w:p>
    <w:p>
      <w:pPr>
        <w:pStyle w:val="BodyText"/>
        <w:spacing w:line="242" w:lineRule="auto" w:before="6"/>
        <w:ind w:left="952" w:right="167"/>
      </w:pPr>
      <w:r>
        <w:rPr>
          <w:w w:val="95"/>
        </w:rPr>
        <w:t>前項情形，如因該受益人喪失受益權，而致無受益人受領保險金額時，其保險金額作為被保險人遺產。</w:t>
      </w:r>
      <w:r>
        <w:rPr>
          <w:spacing w:val="47"/>
          <w:w w:val="95"/>
        </w:rPr>
        <w:t> </w:t>
      </w:r>
      <w:r>
        <w:rPr/>
        <w:t>如有其他受益人者，喪失受益權之受益人原應得之部分，按其他受益人原約定比例分歸其他受益人。</w:t>
      </w:r>
    </w:p>
    <w:p>
      <w:pPr>
        <w:pStyle w:val="Heading1"/>
        <w:tabs>
          <w:tab w:pos="1355" w:val="left" w:leader="none"/>
        </w:tabs>
        <w:spacing w:line="348" w:lineRule="exact" w:before="175"/>
      </w:pPr>
      <w:r>
        <w:rPr/>
        <w:t>第二十一條</w:t>
        <w:tab/>
        <w:t>時效</w:t>
      </w:r>
    </w:p>
    <w:p>
      <w:pPr>
        <w:pStyle w:val="BodyText"/>
        <w:spacing w:line="236" w:lineRule="exact"/>
        <w:ind w:left="1154"/>
      </w:pPr>
      <w:r>
        <w:rPr/>
        <w:t>由本契約所生的權利，自得為請求之日起，經過兩年不行使而消滅。</w:t>
      </w:r>
    </w:p>
    <w:p>
      <w:pPr>
        <w:pStyle w:val="Heading1"/>
        <w:tabs>
          <w:tab w:pos="1355" w:val="left" w:leader="none"/>
        </w:tabs>
        <w:spacing w:line="348" w:lineRule="exact" w:before="177"/>
      </w:pPr>
      <w:r>
        <w:rPr/>
        <w:t>第二十二條</w:t>
        <w:tab/>
        <w:t>住所變更</w:t>
      </w:r>
    </w:p>
    <w:p>
      <w:pPr>
        <w:pStyle w:val="BodyText"/>
        <w:spacing w:line="236" w:lineRule="exact"/>
        <w:ind w:left="1154"/>
      </w:pPr>
      <w:r>
        <w:rPr/>
        <w:t>要保人的住所有變更時，應即以書面通知本公司。</w:t>
      </w:r>
    </w:p>
    <w:p>
      <w:pPr>
        <w:pStyle w:val="BodyText"/>
        <w:spacing w:before="3"/>
        <w:ind w:left="1154"/>
      </w:pPr>
      <w:r>
        <w:rPr/>
        <w:t>要保人不為前項通知者，本公司之各項通知，得以本契約所載要保人之最後住所發送之。</w:t>
      </w:r>
    </w:p>
    <w:p>
      <w:pPr>
        <w:pStyle w:val="Heading1"/>
        <w:tabs>
          <w:tab w:pos="1355" w:val="left" w:leader="none"/>
        </w:tabs>
        <w:spacing w:line="348" w:lineRule="exact" w:before="177"/>
      </w:pPr>
      <w:r>
        <w:rPr/>
        <w:t>第二十三條</w:t>
        <w:tab/>
        <w:t>批註</w:t>
      </w:r>
    </w:p>
    <w:p>
      <w:pPr>
        <w:pStyle w:val="BodyText"/>
        <w:spacing w:line="236" w:lineRule="exact"/>
        <w:ind w:left="1154"/>
      </w:pPr>
      <w:r>
        <w:rPr>
          <w:w w:val="95"/>
        </w:rPr>
        <w:t>本契約內容的變更，或記載事項的增刪，除第十九條另有約定外，應經要保人與本公司雙方書面或</w:t>
      </w:r>
    </w:p>
    <w:p>
      <w:pPr>
        <w:pStyle w:val="BodyText"/>
        <w:spacing w:before="3"/>
        <w:ind w:left="1154"/>
      </w:pPr>
      <w:r>
        <w:rPr/>
        <w:t>其他約定方式同意，並由本公司即予批註或發給批註書。</w:t>
      </w:r>
    </w:p>
    <w:p>
      <w:pPr>
        <w:pStyle w:val="Heading1"/>
        <w:tabs>
          <w:tab w:pos="1355" w:val="left" w:leader="none"/>
        </w:tabs>
        <w:spacing w:line="347" w:lineRule="exact" w:before="179"/>
      </w:pPr>
      <w:r>
        <w:rPr/>
        <w:t>第二十四條</w:t>
        <w:tab/>
        <w:t>管轄法院</w:t>
      </w:r>
    </w:p>
    <w:p>
      <w:pPr>
        <w:pStyle w:val="BodyText"/>
        <w:spacing w:line="235" w:lineRule="exact"/>
        <w:ind w:left="1154"/>
      </w:pPr>
      <w:r>
        <w:rPr>
          <w:w w:val="95"/>
        </w:rPr>
        <w:t>因本契約涉訟者，同意以要保人住所所在地地方法院為第一審管轄法院，要保人的住所在中華民國</w:t>
      </w:r>
    </w:p>
    <w:p>
      <w:pPr>
        <w:pStyle w:val="BodyText"/>
        <w:spacing w:line="244" w:lineRule="auto" w:before="3"/>
        <w:ind w:left="1154" w:right="216"/>
      </w:pPr>
      <w:r>
        <w:rPr>
          <w:w w:val="95"/>
        </w:rPr>
        <w:t>境外時，以本公司總公司所在地地方法院為第一審管轄法院。但不得排除消費者保護法第四十七條</w:t>
      </w:r>
      <w:r>
        <w:rPr>
          <w:spacing w:val="171"/>
        </w:rPr>
        <w:t> </w:t>
      </w:r>
      <w:r>
        <w:rPr/>
        <w:t>及民事訴訟法第四百三十六條之九小額訴訟管轄法院之適用。</w:t>
      </w:r>
    </w:p>
    <w:p>
      <w:pPr>
        <w:spacing w:after="0" w:line="244" w:lineRule="auto"/>
        <w:sectPr>
          <w:pgSz w:w="11910" w:h="16840"/>
          <w:pgMar w:header="0" w:footer="775" w:top="1340" w:bottom="1040" w:left="980" w:right="920"/>
        </w:sectPr>
      </w:pPr>
    </w:p>
    <w:p>
      <w:pPr>
        <w:pStyle w:val="Heading1"/>
        <w:spacing w:line="342" w:lineRule="exact" w:after="18"/>
      </w:pPr>
      <w:r>
        <w:rPr/>
        <w:drawing>
          <wp:anchor distT="0" distB="0" distL="0" distR="0" allowOverlap="1" layoutInCell="1" locked="0" behindDoc="1" simplePos="0" relativeHeight="486262272">
            <wp:simplePos x="0" y="0"/>
            <wp:positionH relativeFrom="page">
              <wp:posOffset>2873375</wp:posOffset>
            </wp:positionH>
            <wp:positionV relativeFrom="page">
              <wp:posOffset>3141934</wp:posOffset>
            </wp:positionV>
            <wp:extent cx="1836419" cy="4423487"/>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836419" cy="4423487"/>
                    </a:xfrm>
                    <a:prstGeom prst="rect">
                      <a:avLst/>
                    </a:prstGeom>
                  </pic:spPr>
                </pic:pic>
              </a:graphicData>
            </a:graphic>
          </wp:anchor>
        </w:drawing>
      </w:r>
      <w:r>
        <w:rPr/>
        <w:t>附表：失能程度與保險金給付表</w:t>
      </w: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849"/>
        <w:gridCol w:w="1132"/>
      </w:tblGrid>
      <w:tr>
        <w:trPr>
          <w:trHeight w:val="561" w:hRule="atLeast"/>
        </w:trPr>
        <w:tc>
          <w:tcPr>
            <w:tcW w:w="1730" w:type="dxa"/>
            <w:gridSpan w:val="2"/>
            <w:tcBorders>
              <w:bottom w:val="single" w:sz="4" w:space="0" w:color="000000"/>
              <w:right w:val="single" w:sz="4" w:space="0" w:color="000000"/>
            </w:tcBorders>
          </w:tcPr>
          <w:p>
            <w:pPr>
              <w:pStyle w:val="TableParagraph"/>
              <w:spacing w:before="164"/>
              <w:ind w:left="656" w:right="634"/>
              <w:jc w:val="center"/>
              <w:rPr>
                <w:sz w:val="20"/>
              </w:rPr>
            </w:pPr>
            <w:r>
              <w:rPr>
                <w:w w:val="95"/>
                <w:sz w:val="20"/>
              </w:rPr>
              <w:t>項目</w:t>
            </w:r>
          </w:p>
        </w:tc>
        <w:tc>
          <w:tcPr>
            <w:tcW w:w="849" w:type="dxa"/>
            <w:tcBorders>
              <w:left w:val="single" w:sz="4" w:space="0" w:color="000000"/>
              <w:bottom w:val="single" w:sz="4" w:space="0" w:color="000000"/>
              <w:right w:val="single" w:sz="4" w:space="0" w:color="000000"/>
            </w:tcBorders>
          </w:tcPr>
          <w:p>
            <w:pPr>
              <w:pStyle w:val="TableParagraph"/>
              <w:spacing w:before="164"/>
              <w:ind w:left="116" w:right="81"/>
              <w:jc w:val="center"/>
              <w:rPr>
                <w:sz w:val="20"/>
              </w:rPr>
            </w:pPr>
            <w:r>
              <w:rPr>
                <w:w w:val="95"/>
                <w:sz w:val="20"/>
              </w:rPr>
              <w:t>項次</w:t>
            </w:r>
          </w:p>
        </w:tc>
        <w:tc>
          <w:tcPr>
            <w:tcW w:w="5105" w:type="dxa"/>
            <w:tcBorders>
              <w:left w:val="single" w:sz="4" w:space="0" w:color="000000"/>
              <w:bottom w:val="single" w:sz="4" w:space="0" w:color="000000"/>
              <w:right w:val="single" w:sz="4" w:space="0" w:color="000000"/>
            </w:tcBorders>
          </w:tcPr>
          <w:p>
            <w:pPr>
              <w:pStyle w:val="TableParagraph"/>
              <w:spacing w:before="164"/>
              <w:ind w:left="2143" w:right="2111"/>
              <w:jc w:val="center"/>
              <w:rPr>
                <w:sz w:val="20"/>
              </w:rPr>
            </w:pPr>
            <w:r>
              <w:rPr>
                <w:sz w:val="20"/>
              </w:rPr>
              <w:t>失能程度</w:t>
            </w:r>
          </w:p>
        </w:tc>
        <w:tc>
          <w:tcPr>
            <w:tcW w:w="849" w:type="dxa"/>
            <w:tcBorders>
              <w:left w:val="single" w:sz="4" w:space="0" w:color="000000"/>
              <w:bottom w:val="single" w:sz="4" w:space="0" w:color="000000"/>
              <w:right w:val="single" w:sz="4" w:space="0" w:color="000000"/>
            </w:tcBorders>
          </w:tcPr>
          <w:p>
            <w:pPr>
              <w:pStyle w:val="TableParagraph"/>
              <w:spacing w:line="280" w:lineRule="atLeast"/>
              <w:ind w:left="237" w:right="196"/>
              <w:rPr>
                <w:sz w:val="20"/>
              </w:rPr>
            </w:pPr>
            <w:r>
              <w:rPr>
                <w:spacing w:val="-1"/>
                <w:sz w:val="20"/>
              </w:rPr>
              <w:t>失能等級</w:t>
            </w:r>
          </w:p>
        </w:tc>
        <w:tc>
          <w:tcPr>
            <w:tcW w:w="1132" w:type="dxa"/>
            <w:tcBorders>
              <w:left w:val="single" w:sz="4" w:space="0" w:color="000000"/>
              <w:bottom w:val="single" w:sz="4" w:space="0" w:color="000000"/>
            </w:tcBorders>
          </w:tcPr>
          <w:p>
            <w:pPr>
              <w:pStyle w:val="TableParagraph"/>
              <w:spacing w:before="164"/>
              <w:ind w:left="160" w:right="112"/>
              <w:jc w:val="center"/>
              <w:rPr>
                <w:sz w:val="20"/>
              </w:rPr>
            </w:pPr>
            <w:r>
              <w:rPr>
                <w:sz w:val="20"/>
              </w:rPr>
              <w:t>給付比例</w:t>
            </w:r>
          </w:p>
        </w:tc>
      </w:tr>
      <w:tr>
        <w:trPr>
          <w:trHeight w:val="779" w:hRule="atLeast"/>
        </w:trPr>
        <w:tc>
          <w:tcPr>
            <w:tcW w:w="456" w:type="dxa"/>
            <w:vMerge w:val="restart"/>
            <w:tcBorders>
              <w:top w:val="single" w:sz="4" w:space="0" w:color="000000"/>
              <w:bottom w:val="single" w:sz="4" w:space="0" w:color="000000"/>
              <w:right w:val="single" w:sz="4" w:space="0" w:color="000000"/>
            </w:tcBorders>
          </w:tcPr>
          <w:p>
            <w:pPr>
              <w:pStyle w:val="TableParagraph"/>
              <w:rPr>
                <w:rFonts w:ascii="Microsoft JhengHei"/>
                <w:b/>
                <w:sz w:val="20"/>
              </w:rPr>
            </w:pPr>
          </w:p>
          <w:p>
            <w:pPr>
              <w:pStyle w:val="TableParagraph"/>
              <w:rPr>
                <w:rFonts w:ascii="Microsoft JhengHei"/>
                <w:b/>
                <w:sz w:val="20"/>
              </w:rPr>
            </w:pPr>
          </w:p>
          <w:p>
            <w:pPr>
              <w:pStyle w:val="TableParagraph"/>
              <w:spacing w:before="2"/>
              <w:rPr>
                <w:rFonts w:ascii="Microsoft JhengHei"/>
                <w:b/>
                <w:sz w:val="24"/>
              </w:rPr>
            </w:pPr>
          </w:p>
          <w:p>
            <w:pPr>
              <w:pStyle w:val="TableParagraph"/>
              <w:spacing w:line="244" w:lineRule="auto" w:before="1"/>
              <w:ind w:left="126" w:right="108"/>
              <w:jc w:val="both"/>
              <w:rPr>
                <w:sz w:val="20"/>
              </w:rPr>
            </w:pPr>
            <w:r>
              <w:rPr>
                <w:sz w:val="20"/>
              </w:rPr>
              <w:t>１神經</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15"/>
              <w:rPr>
                <w:rFonts w:ascii="Microsoft JhengHei"/>
                <w:b/>
                <w:sz w:val="11"/>
              </w:rPr>
            </w:pPr>
          </w:p>
          <w:p>
            <w:pPr>
              <w:pStyle w:val="TableParagraph"/>
              <w:spacing w:before="1"/>
              <w:ind w:left="247"/>
              <w:rPr>
                <w:sz w:val="20"/>
              </w:rPr>
            </w:pPr>
            <w:r>
              <w:rPr>
                <w:sz w:val="20"/>
              </w:rPr>
              <w:t>神經障害</w:t>
            </w:r>
          </w:p>
          <w:p>
            <w:pPr>
              <w:pStyle w:val="TableParagraph"/>
              <w:spacing w:before="43"/>
              <w:ind w:left="297"/>
              <w:rPr>
                <w:sz w:val="20"/>
              </w:rPr>
            </w:pPr>
            <w:r>
              <w:rPr>
                <w:sz w:val="20"/>
              </w:rPr>
              <w:t>（註1）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Microsoft JhengHei"/>
                <w:b/>
                <w:sz w:val="13"/>
              </w:rPr>
            </w:pPr>
          </w:p>
          <w:p>
            <w:pPr>
              <w:pStyle w:val="TableParagraph"/>
              <w:ind w:left="115" w:right="83"/>
              <w:jc w:val="center"/>
              <w:rPr>
                <w:sz w:val="20"/>
              </w:rPr>
            </w:pPr>
            <w:r>
              <w:rPr>
                <w:sz w:val="20"/>
              </w:rPr>
              <w:t>1-1-1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39" w:right="-44"/>
              <w:rPr>
                <w:sz w:val="20"/>
              </w:rPr>
            </w:pPr>
            <w:r>
              <w:rPr>
                <w:spacing w:val="-15"/>
                <w:sz w:val="20"/>
              </w:rPr>
              <w:t>中樞神經系統機能遺存極度障害，包括植物人狀態或氣切呼吸</w:t>
            </w:r>
            <w:r>
              <w:rPr>
                <w:spacing w:val="-2"/>
                <w:w w:val="95"/>
                <w:sz w:val="20"/>
              </w:rPr>
              <w:t>器輔助，終身無工作能力，為維持生命必要之日常生活活動，</w:t>
            </w:r>
          </w:p>
          <w:p>
            <w:pPr>
              <w:pStyle w:val="TableParagraph"/>
              <w:spacing w:line="249" w:lineRule="exact"/>
              <w:ind w:left="39"/>
              <w:rPr>
                <w:sz w:val="20"/>
              </w:rPr>
            </w:pPr>
            <w:r>
              <w:rPr>
                <w:spacing w:val="-2"/>
                <w:w w:val="95"/>
                <w:sz w:val="20"/>
              </w:rPr>
              <w:t>全須他人扶助，經常需醫療護理或專人周密照護者。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Microsoft JhengHei"/>
                <w:b/>
                <w:sz w:val="13"/>
              </w:rPr>
            </w:pPr>
          </w:p>
          <w:p>
            <w:pPr>
              <w:pStyle w:val="TableParagraph"/>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before="9"/>
              <w:rPr>
                <w:rFonts w:ascii="Microsoft JhengHei"/>
                <w:b/>
                <w:sz w:val="13"/>
              </w:rPr>
            </w:pPr>
          </w:p>
          <w:p>
            <w:pPr>
              <w:pStyle w:val="TableParagraph"/>
              <w:ind w:left="160" w:right="109"/>
              <w:jc w:val="center"/>
              <w:rPr>
                <w:sz w:val="20"/>
              </w:rPr>
            </w:pPr>
            <w:r>
              <w:rPr>
                <w:sz w:val="20"/>
              </w:rPr>
              <w:t>100%</w:t>
            </w:r>
          </w:p>
        </w:tc>
      </w:tr>
      <w:tr>
        <w:trPr>
          <w:trHeight w:val="77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Microsoft JhengHei"/>
                <w:b/>
                <w:sz w:val="13"/>
              </w:rPr>
            </w:pPr>
          </w:p>
          <w:p>
            <w:pPr>
              <w:pStyle w:val="TableParagraph"/>
              <w:spacing w:before="1"/>
              <w:ind w:left="115" w:right="83"/>
              <w:jc w:val="center"/>
              <w:rPr>
                <w:sz w:val="20"/>
              </w:rPr>
            </w:pPr>
            <w:r>
              <w:rPr>
                <w:sz w:val="20"/>
              </w:rPr>
              <w:t>1-1-2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rPr>
                <w:sz w:val="20"/>
              </w:rPr>
            </w:pPr>
            <w:r>
              <w:rPr>
                <w:spacing w:val="-2"/>
                <w:w w:val="95"/>
                <w:sz w:val="20"/>
              </w:rPr>
              <w:t>中樞神經系統機能遺存高度障害，須長期臥床或無法自行翻</w:t>
            </w:r>
          </w:p>
          <w:p>
            <w:pPr>
              <w:pStyle w:val="TableParagraph"/>
              <w:spacing w:line="260" w:lineRule="atLeast"/>
              <w:ind w:left="39" w:right="-15"/>
              <w:rPr>
                <w:sz w:val="20"/>
              </w:rPr>
            </w:pPr>
            <w:r>
              <w:rPr>
                <w:spacing w:val="-3"/>
                <w:w w:val="95"/>
                <w:sz w:val="20"/>
              </w:rPr>
              <w:t>身，終身無工作能力，為維持生命必要之日常生活活動之一部</w:t>
            </w:r>
            <w:r>
              <w:rPr>
                <w:sz w:val="20"/>
              </w:rPr>
              <w:t>分須他人扶助者。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Microsoft JhengHei"/>
                <w:b/>
                <w:sz w:val="13"/>
              </w:rPr>
            </w:pPr>
          </w:p>
          <w:p>
            <w:pPr>
              <w:pStyle w:val="TableParagraph"/>
              <w:spacing w:before="1"/>
              <w:ind w:right="351"/>
              <w:jc w:val="right"/>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before="11"/>
              <w:rPr>
                <w:rFonts w:ascii="Microsoft JhengHei"/>
                <w:b/>
                <w:sz w:val="13"/>
              </w:rPr>
            </w:pPr>
          </w:p>
          <w:p>
            <w:pPr>
              <w:pStyle w:val="TableParagraph"/>
              <w:spacing w:before="1"/>
              <w:ind w:left="160" w:right="109"/>
              <w:jc w:val="center"/>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jc w:val="center"/>
              <w:rPr>
                <w:sz w:val="20"/>
              </w:rPr>
            </w:pPr>
            <w:r>
              <w:rPr>
                <w:sz w:val="20"/>
              </w:rPr>
              <w:t>1-1-3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 w:right="-15"/>
              <w:rPr>
                <w:sz w:val="20"/>
              </w:rPr>
            </w:pPr>
            <w:r>
              <w:rPr>
                <w:spacing w:val="-3"/>
                <w:w w:val="95"/>
                <w:sz w:val="20"/>
              </w:rPr>
              <w:t>中樞神經系統機能遺存顯著障害，終身無工作能力，為維持生</w:t>
            </w:r>
          </w:p>
          <w:p>
            <w:pPr>
              <w:pStyle w:val="TableParagraph"/>
              <w:spacing w:line="249" w:lineRule="exact" w:before="3"/>
              <w:ind w:left="39"/>
              <w:rPr>
                <w:sz w:val="20"/>
              </w:rPr>
            </w:pPr>
            <w:r>
              <w:rPr>
                <w:spacing w:val="-2"/>
                <w:w w:val="95"/>
                <w:sz w:val="20"/>
              </w:rPr>
              <w:t>命必要之日常生活活動尚可自理者。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121"/>
              <w:ind w:left="160" w:right="109"/>
              <w:jc w:val="center"/>
              <w:rPr>
                <w:sz w:val="20"/>
              </w:rPr>
            </w:pPr>
            <w:r>
              <w:rPr>
                <w:sz w:val="20"/>
              </w:rPr>
              <w:t>80%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jc w:val="center"/>
              <w:rPr>
                <w:sz w:val="20"/>
              </w:rPr>
            </w:pPr>
            <w:r>
              <w:rPr>
                <w:sz w:val="20"/>
              </w:rPr>
              <w:t>1-1-4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 w:right="-15"/>
              <w:rPr>
                <w:sz w:val="20"/>
              </w:rPr>
            </w:pPr>
            <w:r>
              <w:rPr>
                <w:spacing w:val="-3"/>
                <w:w w:val="95"/>
                <w:sz w:val="20"/>
              </w:rPr>
              <w:t>中樞神經系統機能遺存障害，由醫學上可證明局部遺存頑固神</w:t>
            </w:r>
          </w:p>
          <w:p>
            <w:pPr>
              <w:pStyle w:val="TableParagraph"/>
              <w:spacing w:line="249" w:lineRule="exact" w:before="3"/>
              <w:ind w:left="39"/>
              <w:rPr>
                <w:sz w:val="20"/>
              </w:rPr>
            </w:pPr>
            <w:r>
              <w:rPr>
                <w:spacing w:val="-2"/>
                <w:w w:val="95"/>
                <w:sz w:val="20"/>
              </w:rPr>
              <w:t>經症狀，且勞動能力較一般顯明低下者。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21"/>
              <w:ind w:left="160" w:right="109"/>
              <w:jc w:val="center"/>
              <w:rPr>
                <w:sz w:val="20"/>
              </w:rPr>
            </w:pPr>
            <w:r>
              <w:rPr>
                <w:sz w:val="20"/>
              </w:rPr>
              <w:t>40%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jc w:val="center"/>
              <w:rPr>
                <w:sz w:val="20"/>
              </w:rPr>
            </w:pPr>
            <w:r>
              <w:rPr>
                <w:sz w:val="20"/>
              </w:rPr>
              <w:t>1-1-5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rPr>
                <w:sz w:val="20"/>
              </w:rPr>
            </w:pPr>
            <w:r>
              <w:rPr>
                <w:spacing w:val="-3"/>
                <w:w w:val="95"/>
                <w:sz w:val="20"/>
              </w:rPr>
              <w:t>中樞神經系統機能遺存障害，由醫學上可證明局部遺存頑固神</w:t>
            </w:r>
          </w:p>
          <w:p>
            <w:pPr>
              <w:pStyle w:val="TableParagraph"/>
              <w:spacing w:line="249" w:lineRule="exact" w:before="5"/>
              <w:ind w:left="39"/>
              <w:rPr>
                <w:sz w:val="20"/>
              </w:rPr>
            </w:pPr>
            <w:r>
              <w:rPr>
                <w:spacing w:val="-2"/>
                <w:w w:val="95"/>
                <w:sz w:val="20"/>
              </w:rPr>
              <w:t>經症狀，但通常無礙勞動。</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121"/>
              <w:ind w:left="160" w:right="110"/>
              <w:jc w:val="center"/>
              <w:rPr>
                <w:sz w:val="20"/>
              </w:rPr>
            </w:pPr>
            <w:r>
              <w:rPr>
                <w:sz w:val="20"/>
              </w:rPr>
              <w:t>5%</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3"/>
              <w:rPr>
                <w:rFonts w:ascii="Microsoft JhengHei"/>
                <w:b/>
                <w:sz w:val="29"/>
              </w:rPr>
            </w:pPr>
          </w:p>
          <w:p>
            <w:pPr>
              <w:pStyle w:val="TableParagraph"/>
              <w:spacing w:line="242" w:lineRule="auto" w:before="1"/>
              <w:ind w:left="126" w:right="108"/>
              <w:rPr>
                <w:sz w:val="20"/>
              </w:rPr>
            </w:pPr>
            <w:r>
              <w:rPr>
                <w:sz w:val="20"/>
              </w:rPr>
              <w:t>２眼</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
              <w:rPr>
                <w:rFonts w:ascii="Microsoft JhengHei"/>
                <w:b/>
                <w:sz w:val="29"/>
              </w:rPr>
            </w:pPr>
          </w:p>
          <w:p>
            <w:pPr>
              <w:pStyle w:val="TableParagraph"/>
              <w:ind w:left="247"/>
              <w:rPr>
                <w:sz w:val="20"/>
              </w:rPr>
            </w:pPr>
            <w:r>
              <w:rPr>
                <w:sz w:val="20"/>
              </w:rPr>
              <w:t>視力障害</w:t>
            </w:r>
          </w:p>
          <w:p>
            <w:pPr>
              <w:pStyle w:val="TableParagraph"/>
              <w:spacing w:before="44"/>
              <w:ind w:left="297"/>
              <w:rPr>
                <w:sz w:val="20"/>
              </w:rPr>
            </w:pPr>
            <w:r>
              <w:rPr>
                <w:sz w:val="20"/>
              </w:rPr>
              <w:t>（註2）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83"/>
              <w:jc w:val="center"/>
              <w:rPr>
                <w:sz w:val="20"/>
              </w:rPr>
            </w:pPr>
            <w:r>
              <w:rPr>
                <w:sz w:val="20"/>
              </w:rPr>
              <w:t>2-1-1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9"/>
              <w:rPr>
                <w:sz w:val="20"/>
              </w:rPr>
            </w:pPr>
            <w:r>
              <w:rPr>
                <w:spacing w:val="-1"/>
                <w:w w:val="95"/>
                <w:sz w:val="20"/>
              </w:rPr>
              <w:t>雙目均失明者。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line="242" w:lineRule="exact"/>
              <w:ind w:left="160" w:right="109"/>
              <w:jc w:val="center"/>
              <w:rPr>
                <w:sz w:val="20"/>
              </w:rPr>
            </w:pPr>
            <w:r>
              <w:rPr>
                <w:sz w:val="20"/>
              </w:rPr>
              <w:t>100%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2-1-2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雙目視力減退至</w:t>
            </w:r>
            <w:r>
              <w:rPr>
                <w:spacing w:val="-1"/>
                <w:w w:val="95"/>
                <w:sz w:val="20"/>
              </w:rPr>
              <w:t>0.06以下者。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60" w:right="109"/>
              <w:jc w:val="center"/>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2-1-3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雙目視力減退至</w:t>
            </w:r>
            <w:r>
              <w:rPr>
                <w:spacing w:val="-1"/>
                <w:w w:val="95"/>
                <w:sz w:val="20"/>
              </w:rPr>
              <w:t>0.1以下者。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60" w:right="109"/>
              <w:jc w:val="center"/>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2-1-4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一目失明，他目視力減退至</w:t>
            </w:r>
            <w:r>
              <w:rPr>
                <w:spacing w:val="-1"/>
                <w:w w:val="95"/>
                <w:sz w:val="20"/>
              </w:rPr>
              <w:t>0.06以下者。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4</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60" w:right="109"/>
              <w:jc w:val="center"/>
              <w:rPr>
                <w:sz w:val="20"/>
              </w:rPr>
            </w:pPr>
            <w:r>
              <w:rPr>
                <w:sz w:val="20"/>
              </w:rPr>
              <w:t>70%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2-1-5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一目失明，他目視力減退至</w:t>
            </w:r>
            <w:r>
              <w:rPr>
                <w:spacing w:val="-1"/>
                <w:w w:val="95"/>
                <w:sz w:val="20"/>
              </w:rPr>
              <w:t>0.1以下者。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60" w:right="110"/>
              <w:jc w:val="center"/>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2-1-6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1"/>
                <w:w w:val="95"/>
                <w:sz w:val="20"/>
              </w:rPr>
              <w:t>一目失明者。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60" w:right="109"/>
              <w:jc w:val="center"/>
              <w:rPr>
                <w:sz w:val="20"/>
              </w:rPr>
            </w:pPr>
            <w:r>
              <w:rPr>
                <w:sz w:val="20"/>
              </w:rPr>
              <w:t>40%</w:t>
            </w:r>
          </w:p>
        </w:tc>
      </w:tr>
      <w:tr>
        <w:trPr>
          <w:trHeight w:val="258"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4" w:lineRule="auto" w:before="28"/>
              <w:ind w:left="126" w:right="108"/>
              <w:rPr>
                <w:sz w:val="20"/>
              </w:rPr>
            </w:pPr>
            <w:r>
              <w:rPr>
                <w:sz w:val="20"/>
              </w:rPr>
              <w:t>３耳</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0"/>
              <w:ind w:left="247"/>
              <w:rPr>
                <w:sz w:val="20"/>
              </w:rPr>
            </w:pPr>
            <w:r>
              <w:rPr>
                <w:sz w:val="20"/>
              </w:rPr>
              <w:t>聽覺障害</w:t>
            </w:r>
          </w:p>
          <w:p>
            <w:pPr>
              <w:pStyle w:val="TableParagraph"/>
              <w:spacing w:line="240" w:lineRule="exact" w:before="43"/>
              <w:ind w:left="297"/>
              <w:rPr>
                <w:sz w:val="20"/>
              </w:rPr>
            </w:pPr>
            <w:r>
              <w:rPr>
                <w:sz w:val="20"/>
              </w:rPr>
              <w:t>（註3）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兩耳鼓膜全部缺損或兩耳聽覺機能均喪失</w:t>
            </w:r>
            <w:r>
              <w:rPr>
                <w:spacing w:val="-1"/>
                <w:w w:val="95"/>
                <w:sz w:val="20"/>
              </w:rPr>
              <w:t>90分貝以上者。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60" w:right="109"/>
              <w:jc w:val="center"/>
              <w:rPr>
                <w:sz w:val="20"/>
              </w:rPr>
            </w:pPr>
            <w:r>
              <w:rPr>
                <w:sz w:val="20"/>
              </w:rPr>
              <w:t>60%</w:t>
            </w:r>
          </w:p>
        </w:tc>
      </w:tr>
      <w:tr>
        <w:trPr>
          <w:trHeight w:val="33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 w:right="83"/>
              <w:jc w:val="center"/>
              <w:rPr>
                <w:sz w:val="20"/>
              </w:rPr>
            </w:pPr>
            <w:r>
              <w:rPr>
                <w:sz w:val="20"/>
              </w:rPr>
              <w:t>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25"/>
              <w:ind w:left="39"/>
              <w:rPr>
                <w:sz w:val="20"/>
              </w:rPr>
            </w:pPr>
            <w:r>
              <w:rPr>
                <w:spacing w:val="-2"/>
                <w:w w:val="95"/>
                <w:sz w:val="20"/>
              </w:rPr>
              <w:t>兩耳聽覺機能均喪失</w:t>
            </w:r>
            <w:r>
              <w:rPr>
                <w:spacing w:val="-1"/>
                <w:w w:val="95"/>
                <w:sz w:val="20"/>
              </w:rPr>
              <w:t>70分貝以上者。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5"/>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25"/>
              <w:ind w:left="160" w:right="109"/>
              <w:jc w:val="center"/>
              <w:rPr>
                <w:sz w:val="20"/>
              </w:rPr>
            </w:pPr>
            <w:r>
              <w:rPr>
                <w:sz w:val="20"/>
              </w:rPr>
              <w:t>40%</w:t>
            </w:r>
          </w:p>
        </w:tc>
      </w:tr>
      <w:tr>
        <w:trPr>
          <w:trHeight w:val="258"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before="30"/>
              <w:ind w:left="126" w:right="108"/>
              <w:rPr>
                <w:sz w:val="20"/>
              </w:rPr>
            </w:pPr>
            <w:r>
              <w:rPr>
                <w:sz w:val="20"/>
              </w:rPr>
              <w:t>４鼻</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97" w:right="14" w:hanging="149"/>
              <w:rPr>
                <w:sz w:val="20"/>
              </w:rPr>
            </w:pPr>
            <w:r>
              <w:rPr>
                <w:spacing w:val="-1"/>
                <w:sz w:val="20"/>
              </w:rPr>
              <w:t>缺損及機能障</w:t>
            </w:r>
            <w:r>
              <w:rPr>
                <w:sz w:val="20"/>
              </w:rPr>
              <w:t>害（註4）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鼻部缺損，致其機能永久遺存顯著障害者。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60" w:right="109"/>
              <w:jc w:val="center"/>
              <w:rPr>
                <w:sz w:val="20"/>
              </w:rPr>
            </w:pPr>
            <w:r>
              <w:rPr>
                <w:sz w:val="20"/>
              </w:rPr>
              <w:t>20%</w:t>
            </w:r>
          </w:p>
        </w:tc>
      </w:tr>
      <w:tr>
        <w:trPr>
          <w:trHeight w:val="33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5"/>
              <w:ind w:left="115" w:right="83"/>
              <w:jc w:val="center"/>
              <w:rPr>
                <w:sz w:val="20"/>
              </w:rPr>
            </w:pPr>
            <w:r>
              <w:rPr>
                <w:sz w:val="20"/>
              </w:rPr>
              <w:t>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25"/>
              <w:ind w:left="39"/>
              <w:rPr>
                <w:sz w:val="20"/>
              </w:rPr>
            </w:pPr>
            <w:r>
              <w:rPr>
                <w:sz w:val="20"/>
              </w:rPr>
              <w:t>鼻未缺損，而鼻機能永久遺存顯著障害者。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25"/>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before="25"/>
              <w:ind w:left="160" w:right="109"/>
              <w:jc w:val="center"/>
              <w:rPr>
                <w:sz w:val="20"/>
              </w:rPr>
            </w:pPr>
            <w:r>
              <w:rPr>
                <w:sz w:val="20"/>
              </w:rPr>
              <w:t>5%</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before="130"/>
              <w:ind w:left="126" w:right="108"/>
              <w:rPr>
                <w:sz w:val="20"/>
              </w:rPr>
            </w:pPr>
            <w:r>
              <w:rPr>
                <w:sz w:val="20"/>
              </w:rPr>
              <w:t>５口</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8" w:right="14"/>
              <w:jc w:val="center"/>
              <w:rPr>
                <w:sz w:val="20"/>
              </w:rPr>
            </w:pPr>
            <w:r>
              <w:rPr>
                <w:spacing w:val="-1"/>
                <w:sz w:val="20"/>
              </w:rPr>
              <w:t>咀嚼吞嚥及言</w:t>
            </w:r>
            <w:r>
              <w:rPr>
                <w:sz w:val="20"/>
              </w:rPr>
              <w:t>語機能障害</w:t>
            </w:r>
          </w:p>
          <w:p>
            <w:pPr>
              <w:pStyle w:val="TableParagraph"/>
              <w:spacing w:line="254" w:lineRule="exact"/>
              <w:ind w:left="46" w:right="14"/>
              <w:jc w:val="center"/>
              <w:rPr>
                <w:sz w:val="20"/>
              </w:rPr>
            </w:pPr>
            <w:r>
              <w:rPr>
                <w:sz w:val="20"/>
              </w:rPr>
              <w:t>（註5）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5-1-1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永久喪失咀嚼、吞嚥或言語之機能者。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60" w:right="109"/>
              <w:jc w:val="center"/>
              <w:rPr>
                <w:sz w:val="20"/>
              </w:rPr>
            </w:pPr>
            <w:r>
              <w:rPr>
                <w:sz w:val="20"/>
              </w:rPr>
              <w:t>100%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5-1-2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咀嚼、吞嚥及言語之機能永久遺存顯著障害者。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60" w:right="109"/>
              <w:jc w:val="center"/>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5-1-3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咀嚼、吞嚥或言語構音之機能永久遺存顯著障害者。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60" w:right="109"/>
              <w:jc w:val="center"/>
              <w:rPr>
                <w:sz w:val="20"/>
              </w:rPr>
            </w:pPr>
            <w:r>
              <w:rPr>
                <w:sz w:val="20"/>
              </w:rPr>
              <w:t>40%</w:t>
            </w:r>
          </w:p>
        </w:tc>
      </w:tr>
      <w:tr>
        <w:trPr>
          <w:trHeight w:val="520"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6"/>
              <w:rPr>
                <w:rFonts w:ascii="Microsoft JhengHei"/>
                <w:b/>
                <w:sz w:val="29"/>
              </w:rPr>
            </w:pPr>
          </w:p>
          <w:p>
            <w:pPr>
              <w:pStyle w:val="TableParagraph"/>
              <w:spacing w:line="244" w:lineRule="auto"/>
              <w:ind w:left="126" w:right="108"/>
              <w:jc w:val="both"/>
              <w:rPr>
                <w:sz w:val="20"/>
              </w:rPr>
            </w:pPr>
            <w:r>
              <w:rPr>
                <w:sz w:val="20"/>
              </w:rPr>
              <w:t>６胸腹部臟器</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rPr>
                <w:rFonts w:ascii="Microsoft JhengHei"/>
                <w:b/>
                <w:sz w:val="28"/>
              </w:rPr>
            </w:pPr>
          </w:p>
          <w:p>
            <w:pPr>
              <w:pStyle w:val="TableParagraph"/>
              <w:spacing w:line="242" w:lineRule="auto"/>
              <w:ind w:left="146" w:right="114"/>
              <w:jc w:val="center"/>
              <w:rPr>
                <w:sz w:val="20"/>
              </w:rPr>
            </w:pPr>
            <w:r>
              <w:rPr>
                <w:spacing w:val="-1"/>
                <w:sz w:val="20"/>
              </w:rPr>
              <w:t>胸腹部臟器</w:t>
            </w:r>
            <w:r>
              <w:rPr>
                <w:sz w:val="20"/>
              </w:rPr>
              <w:t>機能障害</w:t>
            </w:r>
          </w:p>
          <w:p>
            <w:pPr>
              <w:pStyle w:val="TableParagraph"/>
              <w:spacing w:before="3"/>
              <w:ind w:left="46" w:right="14"/>
              <w:jc w:val="center"/>
              <w:rPr>
                <w:sz w:val="20"/>
              </w:rPr>
            </w:pPr>
            <w:r>
              <w:rPr>
                <w:sz w:val="20"/>
              </w:rPr>
              <w:t>（註6）</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jc w:val="center"/>
              <w:rPr>
                <w:sz w:val="20"/>
              </w:rPr>
            </w:pPr>
            <w:r>
              <w:rPr>
                <w:sz w:val="20"/>
              </w:rPr>
              <w:t>6-1-1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rPr>
                <w:sz w:val="20"/>
              </w:rPr>
            </w:pPr>
            <w:r>
              <w:rPr>
                <w:spacing w:val="-3"/>
                <w:w w:val="95"/>
                <w:sz w:val="20"/>
              </w:rPr>
              <w:t>胸腹部臟器機能遺存極度障害，終身不能從事任何工作，經常</w:t>
            </w:r>
          </w:p>
          <w:p>
            <w:pPr>
              <w:pStyle w:val="TableParagraph"/>
              <w:spacing w:line="252" w:lineRule="exact" w:before="3"/>
              <w:ind w:left="39"/>
              <w:rPr>
                <w:sz w:val="20"/>
              </w:rPr>
            </w:pPr>
            <w:r>
              <w:rPr>
                <w:spacing w:val="-2"/>
                <w:w w:val="95"/>
                <w:sz w:val="20"/>
              </w:rPr>
              <w:t>需要醫療護理或專人周密照護者。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before="119"/>
              <w:ind w:left="160" w:right="109"/>
              <w:jc w:val="center"/>
              <w:rPr>
                <w:sz w:val="20"/>
              </w:rPr>
            </w:pPr>
            <w:r>
              <w:rPr>
                <w:sz w:val="20"/>
              </w:rPr>
              <w:t>100%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jc w:val="center"/>
              <w:rPr>
                <w:sz w:val="20"/>
              </w:rPr>
            </w:pPr>
            <w:r>
              <w:rPr>
                <w:sz w:val="20"/>
              </w:rPr>
              <w:t>6-1-2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rPr>
                <w:sz w:val="20"/>
              </w:rPr>
            </w:pPr>
            <w:r>
              <w:rPr>
                <w:spacing w:val="-3"/>
                <w:w w:val="95"/>
                <w:sz w:val="20"/>
              </w:rPr>
              <w:t>胸腹部臟器機能遺存高度障害，終身不能從事任何工作，且日</w:t>
            </w:r>
          </w:p>
          <w:p>
            <w:pPr>
              <w:pStyle w:val="TableParagraph"/>
              <w:spacing w:line="252" w:lineRule="exact" w:before="3"/>
              <w:ind w:left="39"/>
              <w:rPr>
                <w:sz w:val="20"/>
              </w:rPr>
            </w:pPr>
            <w:r>
              <w:rPr>
                <w:spacing w:val="-1"/>
                <w:w w:val="95"/>
                <w:sz w:val="20"/>
              </w:rPr>
              <w:t>常生活需人扶助。</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351"/>
              <w:jc w:val="right"/>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before="119"/>
              <w:ind w:left="160" w:right="109"/>
              <w:jc w:val="center"/>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jc w:val="center"/>
              <w:rPr>
                <w:sz w:val="20"/>
              </w:rPr>
            </w:pPr>
            <w:r>
              <w:rPr>
                <w:sz w:val="20"/>
              </w:rPr>
              <w:t>6-1-3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rPr>
                <w:sz w:val="20"/>
              </w:rPr>
            </w:pPr>
            <w:r>
              <w:rPr>
                <w:spacing w:val="-3"/>
                <w:w w:val="95"/>
                <w:sz w:val="20"/>
              </w:rPr>
              <w:t>胸腹部臟器機能遺存顯著障害，終身不能從事任何工作，但日</w:t>
            </w:r>
          </w:p>
          <w:p>
            <w:pPr>
              <w:pStyle w:val="TableParagraph"/>
              <w:spacing w:line="252" w:lineRule="exact" w:before="3"/>
              <w:ind w:left="39"/>
              <w:rPr>
                <w:sz w:val="20"/>
              </w:rPr>
            </w:pPr>
            <w:r>
              <w:rPr>
                <w:spacing w:val="-2"/>
                <w:w w:val="95"/>
                <w:sz w:val="20"/>
              </w:rPr>
              <w:t>常生活尚可自理者。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before="119"/>
              <w:ind w:left="160" w:right="109"/>
              <w:jc w:val="center"/>
              <w:rPr>
                <w:sz w:val="20"/>
              </w:rPr>
            </w:pPr>
            <w:r>
              <w:rPr>
                <w:sz w:val="20"/>
              </w:rPr>
              <w:t>80%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6-1-4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胸腹部臟器機能遺存顯著障害，終身祇能從事輕便工作者。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60" w:right="109"/>
              <w:jc w:val="center"/>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6"/>
              <w:ind w:left="247"/>
              <w:rPr>
                <w:sz w:val="20"/>
              </w:rPr>
            </w:pPr>
            <w:r>
              <w:rPr>
                <w:sz w:val="20"/>
              </w:rPr>
              <w:t>臟器切除</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6-2-1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任一主要臟器切除二分之一以上者。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60" w:right="109"/>
              <w:jc w:val="center"/>
              <w:rPr>
                <w:sz w:val="20"/>
              </w:rPr>
            </w:pPr>
            <w:r>
              <w:rPr>
                <w:sz w:val="20"/>
              </w:rPr>
              <w:t>20%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6-2-2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1"/>
                <w:w w:val="95"/>
                <w:sz w:val="20"/>
              </w:rPr>
              <w:t>脾臟切除者。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60" w:right="110"/>
              <w:jc w:val="center"/>
              <w:rPr>
                <w:sz w:val="20"/>
              </w:rPr>
            </w:pPr>
            <w:r>
              <w:rPr>
                <w:sz w:val="20"/>
              </w:rPr>
              <w:t>5%</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Pr>
                <w:sz w:val="20"/>
              </w:rPr>
            </w:pPr>
            <w:r>
              <w:rPr>
                <w:sz w:val="20"/>
              </w:rPr>
              <w:t>膀胱機能障害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6-3-1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膀胱機能完全喪失且無裝置人工膀胱者。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60" w:right="109"/>
              <w:jc w:val="center"/>
              <w:rPr>
                <w:sz w:val="20"/>
              </w:rPr>
            </w:pPr>
            <w:r>
              <w:rPr>
                <w:sz w:val="20"/>
              </w:rPr>
              <w:t>80%</w:t>
            </w:r>
          </w:p>
        </w:tc>
      </w:tr>
      <w:tr>
        <w:trPr>
          <w:trHeight w:val="258"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ind w:left="126" w:right="108"/>
              <w:rPr>
                <w:sz w:val="20"/>
              </w:rPr>
            </w:pPr>
            <w:r>
              <w:rPr>
                <w:sz w:val="20"/>
              </w:rPr>
              <w:t>７軀</w:t>
            </w:r>
          </w:p>
          <w:p>
            <w:pPr>
              <w:pStyle w:val="TableParagraph"/>
              <w:spacing w:line="249" w:lineRule="exact"/>
              <w:ind w:left="126"/>
              <w:rPr>
                <w:sz w:val="20"/>
              </w:rPr>
            </w:pPr>
            <w:r>
              <w:rPr>
                <w:w w:val="99"/>
                <w:sz w:val="20"/>
              </w:rPr>
              <w:t>幹</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9"/>
              <w:ind w:left="32"/>
              <w:jc w:val="center"/>
              <w:rPr>
                <w:sz w:val="20"/>
              </w:rPr>
            </w:pPr>
            <w:r>
              <w:rPr>
                <w:sz w:val="20"/>
              </w:rPr>
              <w:t>脊柱運動障害</w:t>
            </w:r>
          </w:p>
          <w:p>
            <w:pPr>
              <w:pStyle w:val="TableParagraph"/>
              <w:spacing w:before="5"/>
              <w:ind w:left="46" w:right="14"/>
              <w:jc w:val="center"/>
              <w:rPr>
                <w:sz w:val="20"/>
              </w:rPr>
            </w:pPr>
            <w:r>
              <w:rPr>
                <w:sz w:val="20"/>
              </w:rPr>
              <w:t>（註7）</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7-1-1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脊柱永久遺存顯著運動障害者。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60" w:right="109"/>
              <w:jc w:val="center"/>
              <w:rPr>
                <w:sz w:val="20"/>
              </w:rPr>
            </w:pPr>
            <w:r>
              <w:rPr>
                <w:sz w:val="20"/>
              </w:rPr>
              <w:t>40%</w:t>
            </w:r>
          </w:p>
        </w:tc>
      </w:tr>
      <w:tr>
        <w:trPr>
          <w:trHeight w:val="51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left="115" w:right="83"/>
              <w:jc w:val="center"/>
              <w:rPr>
                <w:sz w:val="20"/>
              </w:rPr>
            </w:pPr>
            <w:r>
              <w:rPr>
                <w:sz w:val="20"/>
              </w:rPr>
              <w:t>7-1-2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116"/>
              <w:ind w:left="39"/>
              <w:rPr>
                <w:sz w:val="20"/>
              </w:rPr>
            </w:pPr>
            <w:r>
              <w:rPr>
                <w:spacing w:val="-2"/>
                <w:w w:val="95"/>
                <w:sz w:val="20"/>
              </w:rPr>
              <w:t>脊柱永久遺存運動障害者。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before="116"/>
              <w:ind w:left="160" w:right="110"/>
              <w:jc w:val="center"/>
              <w:rPr>
                <w:sz w:val="20"/>
              </w:rPr>
            </w:pPr>
            <w:r>
              <w:rPr>
                <w:sz w:val="20"/>
              </w:rPr>
              <w:t>20%</w:t>
            </w:r>
          </w:p>
        </w:tc>
      </w:tr>
      <w:tr>
        <w:trPr>
          <w:trHeight w:val="251" w:hRule="atLeast"/>
        </w:trPr>
        <w:tc>
          <w:tcPr>
            <w:tcW w:w="456" w:type="dxa"/>
            <w:vMerge w:val="restart"/>
            <w:tcBorders>
              <w:top w:val="single" w:sz="4" w:space="0" w:color="000000"/>
              <w:right w:val="single" w:sz="4" w:space="0" w:color="000000"/>
            </w:tcBorders>
          </w:tcPr>
          <w:p>
            <w:pPr>
              <w:pStyle w:val="TableParagraph"/>
              <w:rPr>
                <w:rFonts w:ascii="Microsoft JhengHei"/>
                <w:b/>
                <w:sz w:val="20"/>
              </w:rPr>
            </w:pPr>
          </w:p>
          <w:p>
            <w:pPr>
              <w:pStyle w:val="TableParagraph"/>
              <w:rPr>
                <w:rFonts w:ascii="Microsoft JhengHei"/>
                <w:b/>
                <w:sz w:val="20"/>
              </w:rPr>
            </w:pPr>
          </w:p>
          <w:p>
            <w:pPr>
              <w:pStyle w:val="TableParagraph"/>
              <w:spacing w:before="9"/>
              <w:rPr>
                <w:rFonts w:ascii="Microsoft JhengHei"/>
                <w:b/>
                <w:sz w:val="11"/>
              </w:rPr>
            </w:pPr>
          </w:p>
          <w:p>
            <w:pPr>
              <w:pStyle w:val="TableParagraph"/>
              <w:spacing w:line="242" w:lineRule="auto"/>
              <w:ind w:left="126" w:right="108"/>
              <w:jc w:val="both"/>
              <w:rPr>
                <w:sz w:val="20"/>
              </w:rPr>
            </w:pPr>
            <w:r>
              <w:rPr>
                <w:sz w:val="20"/>
              </w:rPr>
              <w:t>８上肢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4"/>
              </w:rPr>
            </w:pPr>
          </w:p>
          <w:p>
            <w:pPr>
              <w:pStyle w:val="TableParagraph"/>
              <w:ind w:left="48"/>
              <w:rPr>
                <w:sz w:val="20"/>
              </w:rPr>
            </w:pPr>
            <w:r>
              <w:rPr>
                <w:sz w:val="20"/>
              </w:rPr>
              <w:t>上肢缺損障害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5" w:right="83"/>
              <w:jc w:val="center"/>
              <w:rPr>
                <w:sz w:val="20"/>
              </w:rPr>
            </w:pPr>
            <w:r>
              <w:rPr>
                <w:sz w:val="20"/>
              </w:rPr>
              <w:t>8-1-1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9"/>
              <w:rPr>
                <w:sz w:val="20"/>
              </w:rPr>
            </w:pPr>
            <w:r>
              <w:rPr>
                <w:spacing w:val="-2"/>
                <w:w w:val="95"/>
                <w:sz w:val="20"/>
              </w:rPr>
              <w:t>兩上肢腕關節缺失者。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line="231" w:lineRule="exact"/>
              <w:ind w:left="160" w:right="109"/>
              <w:jc w:val="center"/>
              <w:rPr>
                <w:sz w:val="20"/>
              </w:rPr>
            </w:pPr>
            <w:r>
              <w:rPr>
                <w:sz w:val="20"/>
              </w:rPr>
              <w:t>100%</w:t>
            </w:r>
          </w:p>
        </w:tc>
      </w:tr>
      <w:tr>
        <w:trPr>
          <w:trHeight w:val="2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6" w:space="0" w:color="000000"/>
              <w:right w:val="single" w:sz="4" w:space="0" w:color="000000"/>
            </w:tcBorders>
          </w:tcPr>
          <w:p>
            <w:pPr>
              <w:pStyle w:val="TableParagraph"/>
              <w:spacing w:line="219" w:lineRule="exact"/>
              <w:ind w:left="115" w:right="83"/>
              <w:jc w:val="center"/>
              <w:rPr>
                <w:sz w:val="20"/>
              </w:rPr>
            </w:pPr>
            <w:r>
              <w:rPr>
                <w:sz w:val="20"/>
              </w:rPr>
              <w:t>8-1-2</w:t>
            </w:r>
          </w:p>
        </w:tc>
        <w:tc>
          <w:tcPr>
            <w:tcW w:w="5105" w:type="dxa"/>
            <w:tcBorders>
              <w:top w:val="single" w:sz="4" w:space="0" w:color="000000"/>
              <w:left w:val="single" w:sz="4" w:space="0" w:color="000000"/>
              <w:bottom w:val="single" w:sz="6" w:space="0" w:color="000000"/>
              <w:right w:val="single" w:sz="4" w:space="0" w:color="000000"/>
            </w:tcBorders>
          </w:tcPr>
          <w:p>
            <w:pPr>
              <w:pStyle w:val="TableParagraph"/>
              <w:spacing w:line="219" w:lineRule="exact"/>
              <w:ind w:left="39"/>
              <w:rPr>
                <w:sz w:val="20"/>
              </w:rPr>
            </w:pPr>
            <w:r>
              <w:rPr>
                <w:spacing w:val="-2"/>
                <w:w w:val="95"/>
                <w:sz w:val="20"/>
              </w:rPr>
              <w:t>一上肢肩、肘及腕關節中，有二大關節以上缺失者。</w:t>
            </w:r>
          </w:p>
        </w:tc>
        <w:tc>
          <w:tcPr>
            <w:tcW w:w="849" w:type="dxa"/>
            <w:tcBorders>
              <w:top w:val="single" w:sz="4" w:space="0" w:color="000000"/>
              <w:left w:val="single" w:sz="4" w:space="0" w:color="000000"/>
              <w:bottom w:val="single" w:sz="6" w:space="0" w:color="000000"/>
              <w:right w:val="single" w:sz="4" w:space="0" w:color="000000"/>
            </w:tcBorders>
          </w:tcPr>
          <w:p>
            <w:pPr>
              <w:pStyle w:val="TableParagraph"/>
              <w:spacing w:line="219" w:lineRule="exact"/>
              <w:ind w:right="351"/>
              <w:jc w:val="right"/>
              <w:rPr>
                <w:sz w:val="20"/>
              </w:rPr>
            </w:pPr>
            <w:r>
              <w:rPr>
                <w:w w:val="99"/>
                <w:sz w:val="20"/>
              </w:rPr>
              <w:t>5</w:t>
            </w:r>
          </w:p>
        </w:tc>
        <w:tc>
          <w:tcPr>
            <w:tcW w:w="1132" w:type="dxa"/>
            <w:tcBorders>
              <w:top w:val="single" w:sz="4" w:space="0" w:color="000000"/>
              <w:left w:val="single" w:sz="4" w:space="0" w:color="000000"/>
              <w:bottom w:val="single" w:sz="6" w:space="0" w:color="000000"/>
            </w:tcBorders>
          </w:tcPr>
          <w:p>
            <w:pPr>
              <w:pStyle w:val="TableParagraph"/>
              <w:spacing w:line="219" w:lineRule="exact"/>
              <w:ind w:left="160" w:right="109"/>
              <w:jc w:val="center"/>
              <w:rPr>
                <w:sz w:val="20"/>
              </w:rPr>
            </w:pPr>
            <w:r>
              <w:rPr>
                <w:sz w:val="20"/>
              </w:rPr>
              <w:t>60%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8-1-3</w:t>
            </w:r>
          </w:p>
        </w:tc>
        <w:tc>
          <w:tcPr>
            <w:tcW w:w="5105"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一上肢腕關節缺失者。</w:t>
            </w:r>
          </w:p>
        </w:tc>
        <w:tc>
          <w:tcPr>
            <w:tcW w:w="849"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6</w:t>
            </w:r>
          </w:p>
        </w:tc>
        <w:tc>
          <w:tcPr>
            <w:tcW w:w="1132" w:type="dxa"/>
            <w:tcBorders>
              <w:top w:val="single" w:sz="6" w:space="0" w:color="000000"/>
              <w:left w:val="single" w:sz="4" w:space="0" w:color="000000"/>
              <w:bottom w:val="single" w:sz="4" w:space="0" w:color="000000"/>
            </w:tcBorders>
          </w:tcPr>
          <w:p>
            <w:pPr>
              <w:pStyle w:val="TableParagraph"/>
              <w:spacing w:line="221" w:lineRule="exact"/>
              <w:ind w:left="160" w:right="109"/>
              <w:jc w:val="center"/>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rPr>
                <w:rFonts w:ascii="Microsoft JhengHei"/>
                <w:b/>
                <w:sz w:val="20"/>
              </w:rPr>
            </w:pPr>
          </w:p>
          <w:p>
            <w:pPr>
              <w:pStyle w:val="TableParagraph"/>
              <w:spacing w:before="17"/>
              <w:rPr>
                <w:rFonts w:ascii="Microsoft JhengHei"/>
                <w:b/>
                <w:sz w:val="15"/>
              </w:rPr>
            </w:pPr>
          </w:p>
          <w:p>
            <w:pPr>
              <w:pStyle w:val="TableParagraph"/>
              <w:ind w:left="32"/>
              <w:jc w:val="center"/>
              <w:rPr>
                <w:sz w:val="20"/>
              </w:rPr>
            </w:pPr>
            <w:r>
              <w:rPr>
                <w:sz w:val="20"/>
              </w:rPr>
              <w:t>手指缺損障害</w:t>
            </w:r>
          </w:p>
          <w:p>
            <w:pPr>
              <w:pStyle w:val="TableParagraph"/>
              <w:spacing w:before="3"/>
              <w:ind w:left="46" w:right="14"/>
              <w:jc w:val="center"/>
              <w:rPr>
                <w:sz w:val="20"/>
              </w:rPr>
            </w:pPr>
            <w:r>
              <w:rPr>
                <w:sz w:val="20"/>
              </w:rPr>
              <w:t>（註8）</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jc w:val="center"/>
              <w:rPr>
                <w:sz w:val="20"/>
              </w:rPr>
            </w:pPr>
            <w:r>
              <w:rPr>
                <w:sz w:val="20"/>
              </w:rPr>
              <w:t>8-2-1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Pr>
                <w:sz w:val="20"/>
              </w:rPr>
            </w:pPr>
            <w:r>
              <w:rPr>
                <w:spacing w:val="-2"/>
                <w:w w:val="95"/>
                <w:sz w:val="20"/>
              </w:rPr>
              <w:t>雙手十指均缺失者。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60" w:right="109"/>
              <w:jc w:val="center"/>
              <w:rPr>
                <w:sz w:val="20"/>
              </w:rPr>
            </w:pPr>
            <w:r>
              <w:rPr>
                <w:sz w:val="20"/>
              </w:rPr>
              <w:t>80%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8-2-2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雙手兩拇指均缺失者。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60" w:right="109"/>
              <w:jc w:val="center"/>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8-2-3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一手五指均缺失者。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60" w:right="109"/>
              <w:jc w:val="center"/>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jc w:val="center"/>
              <w:rPr>
                <w:sz w:val="20"/>
              </w:rPr>
            </w:pPr>
            <w:r>
              <w:rPr>
                <w:sz w:val="20"/>
              </w:rPr>
              <w:t>8-2-4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Pr>
                <w:sz w:val="20"/>
              </w:rPr>
            </w:pPr>
            <w:r>
              <w:rPr>
                <w:spacing w:val="-2"/>
                <w:w w:val="95"/>
                <w:sz w:val="20"/>
              </w:rPr>
              <w:t>一手包含拇指及食指在內，共有四指缺失者。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60" w:right="109"/>
              <w:jc w:val="center"/>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8-2-5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一手拇指及食指缺失者。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21" w:lineRule="exact"/>
              <w:ind w:left="160" w:right="109"/>
              <w:jc w:val="center"/>
              <w:rPr>
                <w:sz w:val="20"/>
              </w:rPr>
            </w:pPr>
            <w:r>
              <w:rPr>
                <w:sz w:val="20"/>
              </w:rPr>
              <w:t>30%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jc w:val="center"/>
              <w:rPr>
                <w:sz w:val="20"/>
              </w:rPr>
            </w:pPr>
            <w:r>
              <w:rPr>
                <w:sz w:val="20"/>
              </w:rPr>
              <w:t>8-2-6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Pr>
                <w:sz w:val="20"/>
              </w:rPr>
            </w:pPr>
            <w:r>
              <w:rPr>
                <w:spacing w:val="-2"/>
                <w:w w:val="95"/>
                <w:sz w:val="20"/>
              </w:rPr>
              <w:t>一手包含拇指或食指在內，共有三指以上缺失。</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19" w:lineRule="exact"/>
              <w:ind w:left="160" w:right="109"/>
              <w:jc w:val="center"/>
              <w:rPr>
                <w:sz w:val="20"/>
              </w:rPr>
            </w:pPr>
            <w:r>
              <w:rPr>
                <w:sz w:val="20"/>
              </w:rPr>
              <w:t>30%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jc w:val="center"/>
              <w:rPr>
                <w:sz w:val="20"/>
              </w:rPr>
            </w:pPr>
            <w:r>
              <w:rPr>
                <w:sz w:val="20"/>
              </w:rPr>
              <w:t>8-2-7</w:t>
            </w:r>
          </w:p>
        </w:tc>
        <w:tc>
          <w:tcPr>
            <w:tcW w:w="5105" w:type="dxa"/>
            <w:tcBorders>
              <w:top w:val="single" w:sz="4" w:space="0" w:color="000000"/>
              <w:left w:val="single" w:sz="4" w:space="0" w:color="000000"/>
              <w:right w:val="single" w:sz="4" w:space="0" w:color="000000"/>
            </w:tcBorders>
          </w:tcPr>
          <w:p>
            <w:pPr>
              <w:pStyle w:val="TableParagraph"/>
              <w:spacing w:line="228" w:lineRule="exact"/>
              <w:ind w:left="39"/>
              <w:rPr>
                <w:sz w:val="20"/>
              </w:rPr>
            </w:pPr>
            <w:r>
              <w:rPr>
                <w:spacing w:val="-2"/>
                <w:w w:val="95"/>
                <w:sz w:val="20"/>
              </w:rPr>
              <w:t>一手包含拇指在內，共有二指缺失者。</w:t>
            </w:r>
          </w:p>
        </w:tc>
        <w:tc>
          <w:tcPr>
            <w:tcW w:w="849" w:type="dxa"/>
            <w:tcBorders>
              <w:top w:val="single" w:sz="4" w:space="0" w:color="000000"/>
              <w:left w:val="single" w:sz="4" w:space="0" w:color="000000"/>
              <w:right w:val="single" w:sz="4" w:space="0" w:color="000000"/>
            </w:tcBorders>
          </w:tcPr>
          <w:p>
            <w:pPr>
              <w:pStyle w:val="TableParagraph"/>
              <w:spacing w:line="228" w:lineRule="exact"/>
              <w:ind w:right="351"/>
              <w:jc w:val="right"/>
              <w:rPr>
                <w:sz w:val="20"/>
              </w:rPr>
            </w:pPr>
            <w:r>
              <w:rPr>
                <w:w w:val="99"/>
                <w:sz w:val="20"/>
              </w:rPr>
              <w:t>9</w:t>
            </w:r>
          </w:p>
        </w:tc>
        <w:tc>
          <w:tcPr>
            <w:tcW w:w="1132" w:type="dxa"/>
            <w:tcBorders>
              <w:top w:val="single" w:sz="4" w:space="0" w:color="000000"/>
              <w:left w:val="single" w:sz="4" w:space="0" w:color="000000"/>
            </w:tcBorders>
          </w:tcPr>
          <w:p>
            <w:pPr>
              <w:pStyle w:val="TableParagraph"/>
              <w:spacing w:line="228" w:lineRule="exact"/>
              <w:ind w:left="160" w:right="109"/>
              <w:jc w:val="center"/>
              <w:rPr>
                <w:sz w:val="20"/>
              </w:rPr>
            </w:pPr>
            <w:r>
              <w:rPr>
                <w:sz w:val="20"/>
              </w:rPr>
              <w:t>20%</w:t>
            </w:r>
          </w:p>
        </w:tc>
      </w:tr>
    </w:tbl>
    <w:p>
      <w:pPr>
        <w:spacing w:after="0" w:line="228" w:lineRule="exact"/>
        <w:jc w:val="center"/>
        <w:rPr>
          <w:sz w:val="20"/>
        </w:rPr>
        <w:sectPr>
          <w:pgSz w:w="11910" w:h="16840"/>
          <w:pgMar w:header="0" w:footer="775" w:top="1400" w:bottom="1040" w:left="980" w:right="920"/>
        </w:sect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849"/>
        <w:gridCol w:w="1132"/>
      </w:tblGrid>
      <w:tr>
        <w:trPr>
          <w:trHeight w:val="260" w:hRule="atLeast"/>
        </w:trPr>
        <w:tc>
          <w:tcPr>
            <w:tcW w:w="456" w:type="dxa"/>
            <w:vMerge w:val="restart"/>
            <w:tcBorders>
              <w:bottom w:val="single" w:sz="4" w:space="0" w:color="000000"/>
              <w:right w:val="single" w:sz="4" w:space="0" w:color="000000"/>
            </w:tcBorders>
          </w:tcPr>
          <w:p>
            <w:pPr>
              <w:pStyle w:val="TableParagraph"/>
              <w:rPr>
                <w:rFonts w:ascii="Times New Roman"/>
                <w:sz w:val="18"/>
              </w:rPr>
            </w:pPr>
          </w:p>
        </w:tc>
        <w:tc>
          <w:tcPr>
            <w:tcW w:w="1274" w:type="dxa"/>
            <w:vMerge w:val="restart"/>
            <w:tcBorders>
              <w:left w:val="single" w:sz="4" w:space="0" w:color="000000"/>
              <w:bottom w:val="single" w:sz="4" w:space="0" w:color="000000"/>
              <w:right w:val="single" w:sz="4" w:space="0" w:color="000000"/>
            </w:tcBorders>
          </w:tcPr>
          <w:p>
            <w:pPr>
              <w:pStyle w:val="TableParagraph"/>
              <w:rPr>
                <w:rFonts w:ascii="Times New Roman"/>
                <w:sz w:val="18"/>
              </w:rPr>
            </w:pPr>
          </w:p>
        </w:tc>
        <w:tc>
          <w:tcPr>
            <w:tcW w:w="849" w:type="dxa"/>
            <w:tcBorders>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8-2-8</w:t>
            </w:r>
          </w:p>
        </w:tc>
        <w:tc>
          <w:tcPr>
            <w:tcW w:w="5105" w:type="dxa"/>
            <w:tcBorders>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一手拇指缺失或一手食指缺失者。</w:t>
            </w:r>
          </w:p>
        </w:tc>
        <w:tc>
          <w:tcPr>
            <w:tcW w:w="849" w:type="dxa"/>
            <w:tcBorders>
              <w:left w:val="single" w:sz="4" w:space="0" w:color="000000"/>
              <w:bottom w:val="single" w:sz="4" w:space="0" w:color="000000"/>
              <w:right w:val="single" w:sz="4" w:space="0" w:color="000000"/>
            </w:tcBorders>
          </w:tcPr>
          <w:p>
            <w:pPr>
              <w:pStyle w:val="TableParagraph"/>
              <w:spacing w:line="241" w:lineRule="exact"/>
              <w:ind w:right="297"/>
              <w:jc w:val="right"/>
              <w:rPr>
                <w:sz w:val="20"/>
              </w:rPr>
            </w:pPr>
            <w:r>
              <w:rPr>
                <w:sz w:val="20"/>
              </w:rPr>
              <w:t>11</w:t>
            </w:r>
          </w:p>
        </w:tc>
        <w:tc>
          <w:tcPr>
            <w:tcW w:w="1132" w:type="dxa"/>
            <w:tcBorders>
              <w:left w:val="single" w:sz="4" w:space="0" w:color="000000"/>
              <w:bottom w:val="single" w:sz="4" w:space="0" w:color="000000"/>
            </w:tcBorders>
          </w:tcPr>
          <w:p>
            <w:pPr>
              <w:pStyle w:val="TableParagraph"/>
              <w:spacing w:line="241" w:lineRule="exact"/>
              <w:ind w:left="160" w:right="109"/>
              <w:jc w:val="center"/>
              <w:rPr>
                <w:sz w:val="20"/>
              </w:rPr>
            </w:pPr>
            <w:r>
              <w:rPr>
                <w:sz w:val="20"/>
              </w:rPr>
              <w:t>5%</w:t>
            </w:r>
          </w:p>
        </w:tc>
      </w:tr>
      <w:tr>
        <w:trPr>
          <w:trHeight w:val="2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8-2-9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一手拇指及食指以外之任何手指，共有二指以上缺失者。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line="239" w:lineRule="exact"/>
              <w:ind w:left="160" w:right="109"/>
              <w:jc w:val="center"/>
              <w:rPr>
                <w:sz w:val="20"/>
              </w:rPr>
            </w:pPr>
            <w:r>
              <w:rPr>
                <w:sz w:val="20"/>
              </w:rPr>
              <w:t>5%</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13"/>
              <w:rPr>
                <w:rFonts w:ascii="Microsoft JhengHei"/>
                <w:b/>
                <w:sz w:val="21"/>
              </w:rPr>
            </w:pPr>
          </w:p>
          <w:p>
            <w:pPr>
              <w:pStyle w:val="TableParagraph"/>
              <w:ind w:left="32"/>
              <w:jc w:val="center"/>
              <w:rPr>
                <w:sz w:val="20"/>
              </w:rPr>
            </w:pPr>
            <w:r>
              <w:rPr>
                <w:sz w:val="20"/>
              </w:rPr>
              <w:t>上肢機能障害</w:t>
            </w:r>
          </w:p>
          <w:p>
            <w:pPr>
              <w:pStyle w:val="TableParagraph"/>
              <w:spacing w:before="6"/>
              <w:ind w:left="46" w:right="14"/>
              <w:jc w:val="center"/>
              <w:rPr>
                <w:sz w:val="20"/>
              </w:rPr>
            </w:pPr>
            <w:r>
              <w:rPr>
                <w:sz w:val="20"/>
              </w:rPr>
              <w:t>（註9）</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8-3-1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兩上肢肩、肘及腕關節均永久喪失機能者。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line="241" w:lineRule="exact"/>
              <w:ind w:right="377"/>
              <w:jc w:val="right"/>
              <w:rPr>
                <w:sz w:val="20"/>
              </w:rPr>
            </w:pPr>
            <w:r>
              <w:rPr>
                <w:sz w:val="20"/>
              </w:rPr>
              <w:t>90%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8-3-2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兩上肢肩、肘及腕關節中，各有二大關節永久喪失機能者。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line="239" w:lineRule="exact"/>
              <w:ind w:right="377"/>
              <w:jc w:val="right"/>
              <w:rPr>
                <w:sz w:val="20"/>
              </w:rPr>
            </w:pPr>
            <w:r>
              <w:rPr>
                <w:sz w:val="20"/>
              </w:rPr>
              <w:t>80%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8-3-3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兩上肢肩、肘及腕關節中，各有一大關節永久喪失機能者。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41" w:lineRule="exact"/>
              <w:ind w:right="377"/>
              <w:jc w:val="right"/>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8-3-4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一上肢肩、肘及腕關節均永久喪失機能者。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41" w:lineRule="exact"/>
              <w:ind w:right="377"/>
              <w:jc w:val="right"/>
              <w:rPr>
                <w:sz w:val="20"/>
              </w:rPr>
            </w:pPr>
            <w:r>
              <w:rPr>
                <w:sz w:val="20"/>
              </w:rPr>
              <w:t>50%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8-3-5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一上肢肩、肘及腕關節中，有二大關節永久喪失機能者。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39" w:lineRule="exact"/>
              <w:ind w:right="377"/>
              <w:jc w:val="right"/>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8-3-6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一上肢肩、肘及腕關節中，有一大關節永久喪失機能者。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41" w:lineRule="exact"/>
              <w:ind w:right="377"/>
              <w:jc w:val="right"/>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8-3-7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兩上肢肩、肘及腕關節均永久遺存顯著運動障害者。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4</w:t>
            </w:r>
          </w:p>
        </w:tc>
        <w:tc>
          <w:tcPr>
            <w:tcW w:w="1132" w:type="dxa"/>
            <w:tcBorders>
              <w:top w:val="single" w:sz="4" w:space="0" w:color="000000"/>
              <w:left w:val="single" w:sz="4" w:space="0" w:color="000000"/>
              <w:bottom w:val="single" w:sz="4" w:space="0" w:color="000000"/>
            </w:tcBorders>
          </w:tcPr>
          <w:p>
            <w:pPr>
              <w:pStyle w:val="TableParagraph"/>
              <w:spacing w:line="239" w:lineRule="exact"/>
              <w:ind w:right="377"/>
              <w:jc w:val="right"/>
              <w:rPr>
                <w:sz w:val="20"/>
              </w:rPr>
            </w:pPr>
            <w:r>
              <w:rPr>
                <w:sz w:val="20"/>
              </w:rPr>
              <w:t>70%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jc w:val="center"/>
              <w:rPr>
                <w:sz w:val="20"/>
              </w:rPr>
            </w:pPr>
            <w:r>
              <w:rPr>
                <w:sz w:val="20"/>
              </w:rPr>
              <w:t>8-3-8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rPr>
                <w:sz w:val="20"/>
              </w:rPr>
            </w:pPr>
            <w:r>
              <w:rPr>
                <w:spacing w:val="-3"/>
                <w:w w:val="95"/>
                <w:sz w:val="20"/>
              </w:rPr>
              <w:t>兩上肢肩、肘及腕關節中，各有二大關節永久遺存顯著運動障</w:t>
            </w:r>
          </w:p>
          <w:p>
            <w:pPr>
              <w:pStyle w:val="TableParagraph"/>
              <w:spacing w:line="249" w:lineRule="exact" w:before="5"/>
              <w:ind w:left="39"/>
              <w:rPr>
                <w:sz w:val="20"/>
              </w:rPr>
            </w:pPr>
            <w:r>
              <w:rPr>
                <w:spacing w:val="-3"/>
                <w:w w:val="95"/>
                <w:sz w:val="20"/>
              </w:rPr>
              <w:t>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121"/>
              <w:ind w:right="377"/>
              <w:jc w:val="right"/>
              <w:rPr>
                <w:sz w:val="20"/>
              </w:rPr>
            </w:pPr>
            <w:r>
              <w:rPr>
                <w:sz w:val="20"/>
              </w:rPr>
              <w:t>60%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jc w:val="center"/>
              <w:rPr>
                <w:sz w:val="20"/>
              </w:rPr>
            </w:pPr>
            <w:r>
              <w:rPr>
                <w:sz w:val="20"/>
              </w:rPr>
              <w:t>8-3-9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rPr>
                <w:sz w:val="20"/>
              </w:rPr>
            </w:pPr>
            <w:r>
              <w:rPr>
                <w:spacing w:val="-3"/>
                <w:w w:val="95"/>
                <w:sz w:val="20"/>
              </w:rPr>
              <w:t>兩上肢肩、肘及腕關節中，各有一大關節永久遺存顯著運動障</w:t>
            </w:r>
          </w:p>
          <w:p>
            <w:pPr>
              <w:pStyle w:val="TableParagraph"/>
              <w:spacing w:line="249" w:lineRule="exact" w:before="5"/>
              <w:ind w:left="39"/>
              <w:rPr>
                <w:sz w:val="20"/>
              </w:rPr>
            </w:pPr>
            <w:r>
              <w:rPr>
                <w:spacing w:val="-3"/>
                <w:w w:val="95"/>
                <w:sz w:val="20"/>
              </w:rPr>
              <w:t>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21"/>
              <w:ind w:right="377"/>
              <w:jc w:val="right"/>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83"/>
              <w:jc w:val="center"/>
              <w:rPr>
                <w:sz w:val="20"/>
              </w:rPr>
            </w:pPr>
            <w:r>
              <w:rPr>
                <w:sz w:val="20"/>
              </w:rPr>
              <w:t>8-3-10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一上肢肩、肘及腕關節均永久遺存顯著運動障害者。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41" w:lineRule="exact"/>
              <w:ind w:right="377"/>
              <w:jc w:val="right"/>
              <w:rPr>
                <w:sz w:val="20"/>
              </w:rPr>
            </w:pPr>
            <w:r>
              <w:rPr>
                <w:sz w:val="20"/>
              </w:rPr>
              <w:t>40%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6" w:right="83"/>
              <w:jc w:val="center"/>
              <w:rPr>
                <w:sz w:val="20"/>
              </w:rPr>
            </w:pPr>
            <w:r>
              <w:rPr>
                <w:sz w:val="20"/>
              </w:rPr>
              <w:t>8-3-11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rPr>
                <w:sz w:val="20"/>
              </w:rPr>
            </w:pPr>
            <w:r>
              <w:rPr>
                <w:spacing w:val="-3"/>
                <w:w w:val="95"/>
                <w:sz w:val="20"/>
              </w:rPr>
              <w:t>一上肢肩、肘及腕關節中，有二大關節永久遺存顯著運動障害</w:t>
            </w:r>
          </w:p>
          <w:p>
            <w:pPr>
              <w:pStyle w:val="TableParagraph"/>
              <w:spacing w:line="252" w:lineRule="exact" w:before="3"/>
              <w:ind w:left="39"/>
              <w:rPr>
                <w:sz w:val="20"/>
              </w:rPr>
            </w:pPr>
            <w:r>
              <w:rPr>
                <w:spacing w:val="-3"/>
                <w:w w:val="95"/>
                <w:sz w:val="20"/>
              </w:rPr>
              <w:t>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119"/>
              <w:ind w:right="377"/>
              <w:jc w:val="right"/>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83"/>
              <w:jc w:val="center"/>
              <w:rPr>
                <w:sz w:val="20"/>
              </w:rPr>
            </w:pPr>
            <w:r>
              <w:rPr>
                <w:sz w:val="20"/>
              </w:rPr>
              <w:t>8-3-12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兩上肢肩、肘及腕關節均永久遺存運動障害者。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39" w:lineRule="exact"/>
              <w:ind w:right="377"/>
              <w:jc w:val="right"/>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83"/>
              <w:jc w:val="center"/>
              <w:rPr>
                <w:sz w:val="20"/>
              </w:rPr>
            </w:pPr>
            <w:r>
              <w:rPr>
                <w:sz w:val="20"/>
              </w:rPr>
              <w:t>8-3-13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一上肢肩、肘及腕關節均永久遺存運動障害者。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41" w:lineRule="exact"/>
              <w:ind w:right="377"/>
              <w:jc w:val="right"/>
              <w:rPr>
                <w:sz w:val="20"/>
              </w:rPr>
            </w:pPr>
            <w:r>
              <w:rPr>
                <w:sz w:val="20"/>
              </w:rPr>
              <w:t>20%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Microsoft JhengHei"/>
                <w:b/>
                <w:sz w:val="20"/>
              </w:rPr>
            </w:pPr>
          </w:p>
          <w:p>
            <w:pPr>
              <w:pStyle w:val="TableParagraph"/>
              <w:spacing w:before="9"/>
              <w:rPr>
                <w:rFonts w:ascii="Microsoft JhengHei"/>
                <w:b/>
                <w:sz w:val="23"/>
              </w:rPr>
            </w:pPr>
          </w:p>
          <w:p>
            <w:pPr>
              <w:pStyle w:val="TableParagraph"/>
              <w:spacing w:before="1"/>
              <w:ind w:left="32"/>
              <w:jc w:val="center"/>
              <w:rPr>
                <w:sz w:val="20"/>
              </w:rPr>
            </w:pPr>
            <w:r>
              <w:rPr>
                <w:sz w:val="20"/>
              </w:rPr>
              <w:t>手指機能障害</w:t>
            </w:r>
          </w:p>
          <w:p>
            <w:pPr>
              <w:pStyle w:val="TableParagraph"/>
              <w:spacing w:before="3"/>
              <w:ind w:left="44" w:right="14"/>
              <w:jc w:val="center"/>
              <w:rPr>
                <w:sz w:val="20"/>
              </w:rPr>
            </w:pPr>
            <w:r>
              <w:rPr>
                <w:sz w:val="20"/>
              </w:rPr>
              <w:t>（註10）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8-4-1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雙手十指均永久喪失機能者。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39" w:lineRule="exact"/>
              <w:ind w:right="377"/>
              <w:jc w:val="right"/>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8-4-2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雙手兩拇指均永久喪失機能者。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41" w:lineRule="exact"/>
              <w:ind w:right="377"/>
              <w:jc w:val="right"/>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8-4-3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一手五指均永久喪失機能者。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41" w:lineRule="exact"/>
              <w:ind w:right="377"/>
              <w:jc w:val="right"/>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8-4-4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一手包含拇指及食指在內，共有四指永久喪失機能者。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39" w:lineRule="exact"/>
              <w:ind w:right="377"/>
              <w:jc w:val="right"/>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jc w:val="center"/>
              <w:rPr>
                <w:sz w:val="20"/>
              </w:rPr>
            </w:pPr>
            <w:r>
              <w:rPr>
                <w:sz w:val="20"/>
              </w:rPr>
              <w:t>8-4-5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
              <w:rPr>
                <w:sz w:val="20"/>
              </w:rPr>
            </w:pPr>
            <w:r>
              <w:rPr>
                <w:spacing w:val="-2"/>
                <w:w w:val="95"/>
                <w:sz w:val="20"/>
              </w:rPr>
              <w:t>一手拇指及食指永久喪失機能者。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7"/>
              <w:jc w:val="right"/>
              <w:rPr>
                <w:sz w:val="20"/>
              </w:rPr>
            </w:pPr>
            <w:r>
              <w:rPr>
                <w:sz w:val="20"/>
              </w:rPr>
              <w:t>11</w:t>
            </w:r>
          </w:p>
        </w:tc>
        <w:tc>
          <w:tcPr>
            <w:tcW w:w="1132" w:type="dxa"/>
            <w:tcBorders>
              <w:top w:val="single" w:sz="4" w:space="0" w:color="000000"/>
              <w:left w:val="single" w:sz="4" w:space="0" w:color="000000"/>
              <w:bottom w:val="single" w:sz="4" w:space="0" w:color="000000"/>
            </w:tcBorders>
          </w:tcPr>
          <w:p>
            <w:pPr>
              <w:pStyle w:val="TableParagraph"/>
              <w:spacing w:line="241" w:lineRule="exact"/>
              <w:ind w:left="160" w:right="109"/>
              <w:jc w:val="center"/>
              <w:rPr>
                <w:sz w:val="20"/>
              </w:rPr>
            </w:pPr>
            <w:r>
              <w:rPr>
                <w:sz w:val="20"/>
              </w:rPr>
              <w:t>5%</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jc w:val="center"/>
              <w:rPr>
                <w:sz w:val="20"/>
              </w:rPr>
            </w:pPr>
            <w:r>
              <w:rPr>
                <w:sz w:val="20"/>
              </w:rPr>
              <w:t>8-4-6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9"/>
              <w:rPr>
                <w:sz w:val="20"/>
              </w:rPr>
            </w:pPr>
            <w:r>
              <w:rPr>
                <w:spacing w:val="-2"/>
                <w:w w:val="95"/>
                <w:sz w:val="20"/>
              </w:rPr>
              <w:t>一手含拇指及食指有三手指以上之機能永久完全喪失者。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39" w:lineRule="exact"/>
              <w:ind w:right="377"/>
              <w:jc w:val="right"/>
              <w:rPr>
                <w:sz w:val="20"/>
              </w:rPr>
            </w:pPr>
            <w:r>
              <w:rPr>
                <w:sz w:val="20"/>
              </w:rPr>
              <w:t>20%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jc w:val="center"/>
              <w:rPr>
                <w:sz w:val="20"/>
              </w:rPr>
            </w:pPr>
            <w:r>
              <w:rPr>
                <w:sz w:val="20"/>
              </w:rPr>
              <w:t>8-4-7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9" w:right="-15"/>
              <w:rPr>
                <w:sz w:val="20"/>
              </w:rPr>
            </w:pPr>
            <w:r>
              <w:rPr>
                <w:spacing w:val="-3"/>
                <w:w w:val="95"/>
                <w:sz w:val="20"/>
              </w:rPr>
              <w:t>一手拇指或食指及其他任何手指，共有三指以上永久喪失機能</w:t>
            </w:r>
          </w:p>
          <w:p>
            <w:pPr>
              <w:pStyle w:val="TableParagraph"/>
              <w:spacing w:line="249" w:lineRule="exact" w:before="5"/>
              <w:ind w:left="39"/>
              <w:rPr>
                <w:sz w:val="20"/>
              </w:rPr>
            </w:pPr>
            <w:r>
              <w:rPr>
                <w:spacing w:val="-3"/>
                <w:w w:val="95"/>
                <w:sz w:val="20"/>
              </w:rPr>
              <w:t>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right="297"/>
              <w:jc w:val="right"/>
              <w:rPr>
                <w:sz w:val="20"/>
              </w:rPr>
            </w:pPr>
            <w:r>
              <w:rPr>
                <w:sz w:val="20"/>
              </w:rPr>
              <w:t>10</w:t>
            </w:r>
          </w:p>
        </w:tc>
        <w:tc>
          <w:tcPr>
            <w:tcW w:w="1132" w:type="dxa"/>
            <w:tcBorders>
              <w:top w:val="single" w:sz="4" w:space="0" w:color="000000"/>
              <w:left w:val="single" w:sz="4" w:space="0" w:color="000000"/>
              <w:bottom w:val="single" w:sz="4" w:space="0" w:color="000000"/>
            </w:tcBorders>
          </w:tcPr>
          <w:p>
            <w:pPr>
              <w:pStyle w:val="TableParagraph"/>
              <w:spacing w:before="121"/>
              <w:ind w:right="377"/>
              <w:jc w:val="right"/>
              <w:rPr>
                <w:sz w:val="20"/>
              </w:rPr>
            </w:pPr>
            <w:r>
              <w:rPr>
                <w:sz w:val="20"/>
              </w:rPr>
              <w:t>10%</w:t>
            </w:r>
          </w:p>
        </w:tc>
      </w:tr>
      <w:tr>
        <w:trPr>
          <w:trHeight w:val="251" w:hRule="atLeast"/>
        </w:trPr>
        <w:tc>
          <w:tcPr>
            <w:tcW w:w="456" w:type="dxa"/>
            <w:vMerge w:val="restart"/>
            <w:tcBorders>
              <w:top w:val="single" w:sz="4" w:space="0" w:color="000000"/>
              <w:right w:val="single" w:sz="4" w:space="0" w:color="000000"/>
            </w:tcBorders>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9"/>
              <w:rPr>
                <w:rFonts w:ascii="Microsoft JhengHei"/>
                <w:b/>
                <w:sz w:val="20"/>
              </w:rPr>
            </w:pPr>
          </w:p>
          <w:p>
            <w:pPr>
              <w:pStyle w:val="TableParagraph"/>
              <w:spacing w:line="244" w:lineRule="auto"/>
              <w:ind w:left="126" w:right="108"/>
              <w:jc w:val="both"/>
              <w:rPr>
                <w:sz w:val="20"/>
              </w:rPr>
            </w:pPr>
            <w:r>
              <w:rPr>
                <w:sz w:val="20"/>
              </w:rPr>
              <w:t>９下肢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4"/>
              </w:rPr>
            </w:pPr>
          </w:p>
          <w:p>
            <w:pPr>
              <w:pStyle w:val="TableParagraph"/>
              <w:ind w:left="48"/>
              <w:rPr>
                <w:sz w:val="20"/>
              </w:rPr>
            </w:pPr>
            <w:r>
              <w:rPr>
                <w:sz w:val="20"/>
              </w:rPr>
              <w:t>下肢缺損障害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5" w:right="83"/>
              <w:jc w:val="center"/>
              <w:rPr>
                <w:sz w:val="20"/>
              </w:rPr>
            </w:pPr>
            <w:r>
              <w:rPr>
                <w:sz w:val="20"/>
              </w:rPr>
              <w:t>9-1-1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9"/>
              <w:rPr>
                <w:sz w:val="20"/>
              </w:rPr>
            </w:pPr>
            <w:r>
              <w:rPr>
                <w:spacing w:val="-2"/>
                <w:w w:val="95"/>
                <w:sz w:val="20"/>
              </w:rPr>
              <w:t>兩下肢足踝關節缺失者。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51"/>
              <w:jc w:val="right"/>
              <w:rPr>
                <w:sz w:val="20"/>
              </w:rPr>
            </w:pPr>
            <w:r>
              <w:rPr>
                <w:w w:val="99"/>
                <w:sz w:val="20"/>
              </w:rPr>
              <w:t>1</w:t>
            </w:r>
          </w:p>
        </w:tc>
        <w:tc>
          <w:tcPr>
            <w:tcW w:w="1132" w:type="dxa"/>
            <w:tcBorders>
              <w:top w:val="single" w:sz="4" w:space="0" w:color="000000"/>
              <w:left w:val="single" w:sz="4" w:space="0" w:color="000000"/>
              <w:bottom w:val="single" w:sz="4" w:space="0" w:color="000000"/>
            </w:tcBorders>
          </w:tcPr>
          <w:p>
            <w:pPr>
              <w:pStyle w:val="TableParagraph"/>
              <w:spacing w:line="231" w:lineRule="exact"/>
              <w:ind w:right="326"/>
              <w:jc w:val="right"/>
              <w:rPr>
                <w:sz w:val="20"/>
              </w:rPr>
            </w:pPr>
            <w:r>
              <w:rPr>
                <w:sz w:val="20"/>
              </w:rPr>
              <w:t>100%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jc w:val="center"/>
              <w:rPr>
                <w:sz w:val="20"/>
              </w:rPr>
            </w:pPr>
            <w:r>
              <w:rPr>
                <w:sz w:val="20"/>
              </w:rPr>
              <w:t>9-1-2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Pr>
                <w:sz w:val="20"/>
              </w:rPr>
            </w:pPr>
            <w:r>
              <w:rPr>
                <w:spacing w:val="-2"/>
                <w:w w:val="95"/>
                <w:sz w:val="20"/>
              </w:rPr>
              <w:t>一下肢髖、膝及足踝關節中，有二大關節以上缺失者。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19" w:lineRule="exact"/>
              <w:ind w:right="377"/>
              <w:jc w:val="right"/>
              <w:rPr>
                <w:sz w:val="20"/>
              </w:rPr>
            </w:pPr>
            <w:r>
              <w:rPr>
                <w:sz w:val="20"/>
              </w:rPr>
              <w:t>60%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9-1-3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一下肢足踝關節缺失者。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21" w:lineRule="exact"/>
              <w:ind w:right="377"/>
              <w:jc w:val="right"/>
              <w:rPr>
                <w:sz w:val="20"/>
              </w:rPr>
            </w:pPr>
            <w:r>
              <w:rPr>
                <w:sz w:val="20"/>
              </w:rPr>
              <w:t>50%</w:t>
            </w:r>
          </w:p>
        </w:tc>
      </w:tr>
      <w:tr>
        <w:trPr>
          <w:trHeight w:val="500" w:hRule="atLeast"/>
        </w:trPr>
        <w:tc>
          <w:tcPr>
            <w:tcW w:w="456" w:type="dxa"/>
            <w:vMerge/>
            <w:tcBorders>
              <w:top w:val="nil"/>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7"/>
              <w:rPr>
                <w:sz w:val="20"/>
              </w:rPr>
            </w:pPr>
            <w:r>
              <w:rPr>
                <w:w w:val="95"/>
                <w:sz w:val="20"/>
              </w:rPr>
              <w:t>縮短障害</w:t>
            </w:r>
          </w:p>
          <w:p>
            <w:pPr>
              <w:pStyle w:val="TableParagraph"/>
              <w:spacing w:line="242" w:lineRule="exact" w:before="3"/>
              <w:ind w:left="247"/>
              <w:rPr>
                <w:sz w:val="20"/>
              </w:rPr>
            </w:pPr>
            <w:r>
              <w:rPr>
                <w:w w:val="95"/>
                <w:sz w:val="20"/>
              </w:rPr>
              <w:t>（註11）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jc w:val="center"/>
              <w:rPr>
                <w:sz w:val="20"/>
              </w:rPr>
            </w:pPr>
            <w:r>
              <w:rPr>
                <w:sz w:val="20"/>
              </w:rPr>
              <w:t>9-2-1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109"/>
              <w:ind w:left="39"/>
              <w:rPr>
                <w:sz w:val="20"/>
              </w:rPr>
            </w:pPr>
            <w:r>
              <w:rPr>
                <w:spacing w:val="-2"/>
                <w:w w:val="95"/>
                <w:sz w:val="20"/>
              </w:rPr>
              <w:t>一下肢永久縮短五公分以上者。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09"/>
              <w:ind w:right="377"/>
              <w:jc w:val="right"/>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jc w:val="center"/>
              <w:rPr>
                <w:sz w:val="20"/>
              </w:rPr>
            </w:pPr>
            <w:r>
              <w:rPr>
                <w:sz w:val="20"/>
              </w:rPr>
              <w:t>足趾缺損障害</w:t>
            </w:r>
          </w:p>
          <w:p>
            <w:pPr>
              <w:pStyle w:val="TableParagraph"/>
              <w:spacing w:line="247" w:lineRule="exact" w:before="3"/>
              <w:ind w:left="44" w:right="14"/>
              <w:jc w:val="center"/>
              <w:rPr>
                <w:sz w:val="20"/>
              </w:rPr>
            </w:pPr>
            <w:r>
              <w:rPr>
                <w:sz w:val="20"/>
              </w:rPr>
              <w:t>（註12）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jc w:val="center"/>
              <w:rPr>
                <w:sz w:val="20"/>
              </w:rPr>
            </w:pPr>
            <w:r>
              <w:rPr>
                <w:sz w:val="20"/>
              </w:rPr>
              <w:t>9-3-1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Pr>
                <w:sz w:val="20"/>
              </w:rPr>
            </w:pPr>
            <w:r>
              <w:rPr>
                <w:spacing w:val="-2"/>
                <w:w w:val="95"/>
                <w:sz w:val="20"/>
              </w:rPr>
              <w:t>雙足十趾均缺失者。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line="219" w:lineRule="exact"/>
              <w:ind w:right="377"/>
              <w:jc w:val="right"/>
              <w:rPr>
                <w:sz w:val="20"/>
              </w:rPr>
            </w:pPr>
            <w:r>
              <w:rPr>
                <w:sz w:val="20"/>
              </w:rPr>
              <w:t>60%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9-3-2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一足五趾均缺失者。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21" w:lineRule="exact"/>
              <w:ind w:right="377"/>
              <w:jc w:val="right"/>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3"/>
              <w:rPr>
                <w:rFonts w:ascii="Microsoft JhengHei"/>
                <w:b/>
                <w:sz w:val="21"/>
              </w:rPr>
            </w:pPr>
          </w:p>
          <w:p>
            <w:pPr>
              <w:pStyle w:val="TableParagraph"/>
              <w:ind w:left="32"/>
              <w:jc w:val="center"/>
              <w:rPr>
                <w:sz w:val="20"/>
              </w:rPr>
            </w:pPr>
            <w:r>
              <w:rPr>
                <w:sz w:val="20"/>
              </w:rPr>
              <w:t>下肢機能障害</w:t>
            </w:r>
          </w:p>
          <w:p>
            <w:pPr>
              <w:pStyle w:val="TableParagraph"/>
              <w:spacing w:before="3"/>
              <w:ind w:left="44" w:right="14"/>
              <w:jc w:val="center"/>
              <w:rPr>
                <w:sz w:val="20"/>
              </w:rPr>
            </w:pPr>
            <w:r>
              <w:rPr>
                <w:sz w:val="20"/>
              </w:rPr>
              <w:t>（註13）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9-4-1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兩下肢髖、膝及足踝關節均永久喪失機能者。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2</w:t>
            </w:r>
          </w:p>
        </w:tc>
        <w:tc>
          <w:tcPr>
            <w:tcW w:w="1132" w:type="dxa"/>
            <w:tcBorders>
              <w:top w:val="single" w:sz="4" w:space="0" w:color="000000"/>
              <w:left w:val="single" w:sz="4" w:space="0" w:color="000000"/>
              <w:bottom w:val="single" w:sz="4" w:space="0" w:color="000000"/>
            </w:tcBorders>
          </w:tcPr>
          <w:p>
            <w:pPr>
              <w:pStyle w:val="TableParagraph"/>
              <w:spacing w:line="221" w:lineRule="exact"/>
              <w:ind w:right="377"/>
              <w:jc w:val="right"/>
              <w:rPr>
                <w:sz w:val="20"/>
              </w:rPr>
            </w:pPr>
            <w:r>
              <w:rPr>
                <w:sz w:val="20"/>
              </w:rPr>
              <w:t>90%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jc w:val="center"/>
              <w:rPr>
                <w:sz w:val="20"/>
              </w:rPr>
            </w:pPr>
            <w:r>
              <w:rPr>
                <w:sz w:val="20"/>
              </w:rPr>
              <w:t>9-4-2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ight="-44"/>
              <w:rPr>
                <w:sz w:val="20"/>
              </w:rPr>
            </w:pPr>
            <w:r>
              <w:rPr>
                <w:spacing w:val="-2"/>
                <w:w w:val="95"/>
                <w:sz w:val="20"/>
              </w:rPr>
              <w:t>兩下肢髖、膝及足踝關節中，各有二大關節永久喪失機能者。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3</w:t>
            </w:r>
          </w:p>
        </w:tc>
        <w:tc>
          <w:tcPr>
            <w:tcW w:w="1132" w:type="dxa"/>
            <w:tcBorders>
              <w:top w:val="single" w:sz="4" w:space="0" w:color="000000"/>
              <w:left w:val="single" w:sz="4" w:space="0" w:color="000000"/>
              <w:bottom w:val="single" w:sz="4" w:space="0" w:color="000000"/>
            </w:tcBorders>
          </w:tcPr>
          <w:p>
            <w:pPr>
              <w:pStyle w:val="TableParagraph"/>
              <w:spacing w:line="219" w:lineRule="exact"/>
              <w:ind w:right="377"/>
              <w:jc w:val="right"/>
              <w:rPr>
                <w:sz w:val="20"/>
              </w:rPr>
            </w:pPr>
            <w:r>
              <w:rPr>
                <w:sz w:val="20"/>
              </w:rPr>
              <w:t>80%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9-4-3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ight="-44"/>
              <w:rPr>
                <w:sz w:val="20"/>
              </w:rPr>
            </w:pPr>
            <w:r>
              <w:rPr>
                <w:spacing w:val="-2"/>
                <w:w w:val="95"/>
                <w:sz w:val="20"/>
              </w:rPr>
              <w:t>兩下肢髖、膝及足踝關節中，各有一大關節永久喪失機能者。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21" w:lineRule="exact"/>
              <w:ind w:right="377"/>
              <w:jc w:val="right"/>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jc w:val="center"/>
              <w:rPr>
                <w:sz w:val="20"/>
              </w:rPr>
            </w:pPr>
            <w:r>
              <w:rPr>
                <w:sz w:val="20"/>
              </w:rPr>
              <w:t>9-4-4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Pr>
                <w:sz w:val="20"/>
              </w:rPr>
            </w:pPr>
            <w:r>
              <w:rPr>
                <w:spacing w:val="-2"/>
                <w:w w:val="95"/>
                <w:sz w:val="20"/>
              </w:rPr>
              <w:t>一下肢髖、膝及足踝關節均永久喪失機能者。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19" w:lineRule="exact"/>
              <w:ind w:right="377"/>
              <w:jc w:val="right"/>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9-4-5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一下肢髖、膝及足踝關節中，有二大關節永久喪失機能者。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21" w:lineRule="exact"/>
              <w:ind w:right="377"/>
              <w:jc w:val="right"/>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jc w:val="center"/>
              <w:rPr>
                <w:sz w:val="20"/>
              </w:rPr>
            </w:pPr>
            <w:r>
              <w:rPr>
                <w:sz w:val="20"/>
              </w:rPr>
              <w:t>9-4-6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Pr>
                <w:sz w:val="20"/>
              </w:rPr>
            </w:pPr>
            <w:r>
              <w:rPr>
                <w:spacing w:val="-2"/>
                <w:w w:val="95"/>
                <w:sz w:val="20"/>
              </w:rPr>
              <w:t>一下肢髖、膝及足踝關節中，有一大關節永久喪失機能者。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line="219" w:lineRule="exact"/>
              <w:ind w:right="377"/>
              <w:jc w:val="right"/>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jc w:val="center"/>
              <w:rPr>
                <w:sz w:val="20"/>
              </w:rPr>
            </w:pPr>
            <w:r>
              <w:rPr>
                <w:sz w:val="20"/>
              </w:rPr>
              <w:t>9-4-7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兩下肢髖、膝及足踝關節均永久遺存顯著運動障害者。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4</w:t>
            </w:r>
          </w:p>
        </w:tc>
        <w:tc>
          <w:tcPr>
            <w:tcW w:w="1132" w:type="dxa"/>
            <w:tcBorders>
              <w:top w:val="single" w:sz="4" w:space="0" w:color="000000"/>
              <w:left w:val="single" w:sz="4" w:space="0" w:color="000000"/>
              <w:bottom w:val="single" w:sz="4" w:space="0" w:color="000000"/>
            </w:tcBorders>
          </w:tcPr>
          <w:p>
            <w:pPr>
              <w:pStyle w:val="TableParagraph"/>
              <w:spacing w:line="221" w:lineRule="exact"/>
              <w:ind w:right="377"/>
              <w:jc w:val="right"/>
              <w:rPr>
                <w:sz w:val="20"/>
              </w:rPr>
            </w:pPr>
            <w:r>
              <w:rPr>
                <w:sz w:val="20"/>
              </w:rPr>
              <w:t>70%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jc w:val="center"/>
              <w:rPr>
                <w:sz w:val="20"/>
              </w:rPr>
            </w:pPr>
            <w:r>
              <w:rPr>
                <w:sz w:val="20"/>
              </w:rPr>
              <w:t>9-4-8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9" w:right="-15"/>
              <w:rPr>
                <w:sz w:val="20"/>
              </w:rPr>
            </w:pPr>
            <w:r>
              <w:rPr>
                <w:spacing w:val="-3"/>
                <w:w w:val="95"/>
                <w:sz w:val="20"/>
              </w:rPr>
              <w:t>兩下肢髖、膝及足踝關節中，各有二大關節永久遺存顯著運動</w:t>
            </w:r>
          </w:p>
          <w:p>
            <w:pPr>
              <w:pStyle w:val="TableParagraph"/>
              <w:spacing w:line="239" w:lineRule="exact" w:before="5"/>
              <w:ind w:left="39"/>
              <w:rPr>
                <w:sz w:val="20"/>
              </w:rPr>
            </w:pPr>
            <w:r>
              <w:rPr>
                <w:spacing w:val="-3"/>
                <w:w w:val="95"/>
                <w:sz w:val="20"/>
              </w:rPr>
              <w:t>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right="351"/>
              <w:jc w:val="right"/>
              <w:rPr>
                <w:sz w:val="20"/>
              </w:rPr>
            </w:pPr>
            <w:r>
              <w:rPr>
                <w:w w:val="99"/>
                <w:sz w:val="20"/>
              </w:rPr>
              <w:t>5</w:t>
            </w:r>
          </w:p>
        </w:tc>
        <w:tc>
          <w:tcPr>
            <w:tcW w:w="1132" w:type="dxa"/>
            <w:tcBorders>
              <w:top w:val="single" w:sz="4" w:space="0" w:color="000000"/>
              <w:left w:val="single" w:sz="4" w:space="0" w:color="000000"/>
              <w:bottom w:val="single" w:sz="4" w:space="0" w:color="000000"/>
            </w:tcBorders>
          </w:tcPr>
          <w:p>
            <w:pPr>
              <w:pStyle w:val="TableParagraph"/>
              <w:spacing w:before="109"/>
              <w:ind w:right="377"/>
              <w:jc w:val="right"/>
              <w:rPr>
                <w:sz w:val="20"/>
              </w:rPr>
            </w:pPr>
            <w:r>
              <w:rPr>
                <w:sz w:val="20"/>
              </w:rPr>
              <w:t>60%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jc w:val="center"/>
              <w:rPr>
                <w:sz w:val="20"/>
              </w:rPr>
            </w:pPr>
            <w:r>
              <w:rPr>
                <w:sz w:val="20"/>
              </w:rPr>
              <w:t>9-4-9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9" w:right="-15"/>
              <w:rPr>
                <w:sz w:val="20"/>
              </w:rPr>
            </w:pPr>
            <w:r>
              <w:rPr>
                <w:spacing w:val="-3"/>
                <w:w w:val="95"/>
                <w:sz w:val="20"/>
              </w:rPr>
              <w:t>兩下肢髖、膝及足踝關節中，各有一大關節永久遺存顯著運動</w:t>
            </w:r>
          </w:p>
          <w:p>
            <w:pPr>
              <w:pStyle w:val="TableParagraph"/>
              <w:spacing w:line="242" w:lineRule="exact" w:before="3"/>
              <w:ind w:left="39"/>
              <w:rPr>
                <w:sz w:val="20"/>
              </w:rPr>
            </w:pPr>
            <w:r>
              <w:rPr>
                <w:spacing w:val="-3"/>
                <w:w w:val="95"/>
                <w:sz w:val="20"/>
              </w:rPr>
              <w:t>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before="109"/>
              <w:ind w:right="377"/>
              <w:jc w:val="right"/>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6" w:right="83"/>
              <w:jc w:val="center"/>
              <w:rPr>
                <w:sz w:val="20"/>
              </w:rPr>
            </w:pPr>
            <w:r>
              <w:rPr>
                <w:sz w:val="20"/>
              </w:rPr>
              <w:t>9-4-10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Pr>
                <w:sz w:val="20"/>
              </w:rPr>
            </w:pPr>
            <w:r>
              <w:rPr>
                <w:spacing w:val="-2"/>
                <w:w w:val="95"/>
                <w:sz w:val="20"/>
              </w:rPr>
              <w:t>一下肢髖、膝及足踝關節均遺存永久顯著運動障害者。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19" w:lineRule="exact"/>
              <w:ind w:right="377"/>
              <w:jc w:val="right"/>
              <w:rPr>
                <w:sz w:val="20"/>
              </w:rPr>
            </w:pPr>
            <w:r>
              <w:rPr>
                <w:sz w:val="20"/>
              </w:rPr>
              <w:t>40%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1"/>
              <w:ind w:left="116" w:right="83"/>
              <w:jc w:val="center"/>
              <w:rPr>
                <w:sz w:val="20"/>
              </w:rPr>
            </w:pPr>
            <w:r>
              <w:rPr>
                <w:sz w:val="20"/>
              </w:rPr>
              <w:t>9-4-11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9" w:right="-15"/>
              <w:rPr>
                <w:sz w:val="20"/>
              </w:rPr>
            </w:pPr>
            <w:r>
              <w:rPr>
                <w:spacing w:val="-3"/>
                <w:w w:val="95"/>
                <w:sz w:val="20"/>
              </w:rPr>
              <w:t>一下肢髖、膝及足踝關節中，有二大關節永久遺存顯著運動障</w:t>
            </w:r>
          </w:p>
          <w:p>
            <w:pPr>
              <w:pStyle w:val="TableParagraph"/>
              <w:spacing w:line="239" w:lineRule="exact" w:before="3"/>
              <w:ind w:left="39"/>
              <w:rPr>
                <w:sz w:val="20"/>
              </w:rPr>
            </w:pPr>
            <w:r>
              <w:rPr>
                <w:spacing w:val="-3"/>
                <w:w w:val="95"/>
                <w:sz w:val="20"/>
              </w:rPr>
              <w:t>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1"/>
              <w:ind w:right="351"/>
              <w:jc w:val="right"/>
              <w:rPr>
                <w:sz w:val="20"/>
              </w:rPr>
            </w:pPr>
            <w:r>
              <w:rPr>
                <w:w w:val="99"/>
                <w:sz w:val="20"/>
              </w:rPr>
              <w:t>8</w:t>
            </w:r>
          </w:p>
        </w:tc>
        <w:tc>
          <w:tcPr>
            <w:tcW w:w="1132" w:type="dxa"/>
            <w:tcBorders>
              <w:top w:val="single" w:sz="4" w:space="0" w:color="000000"/>
              <w:left w:val="single" w:sz="4" w:space="0" w:color="000000"/>
              <w:bottom w:val="single" w:sz="4" w:space="0" w:color="000000"/>
            </w:tcBorders>
          </w:tcPr>
          <w:p>
            <w:pPr>
              <w:pStyle w:val="TableParagraph"/>
              <w:spacing w:before="111"/>
              <w:ind w:right="377"/>
              <w:jc w:val="right"/>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6" w:right="83"/>
              <w:jc w:val="center"/>
              <w:rPr>
                <w:sz w:val="20"/>
              </w:rPr>
            </w:pPr>
            <w:r>
              <w:rPr>
                <w:sz w:val="20"/>
              </w:rPr>
              <w:t>9-4-12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兩下肢髖、膝及足踝關節均永久遺存運動障害者。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6</w:t>
            </w:r>
          </w:p>
        </w:tc>
        <w:tc>
          <w:tcPr>
            <w:tcW w:w="1132" w:type="dxa"/>
            <w:tcBorders>
              <w:top w:val="single" w:sz="4" w:space="0" w:color="000000"/>
              <w:left w:val="single" w:sz="4" w:space="0" w:color="000000"/>
              <w:bottom w:val="single" w:sz="4" w:space="0" w:color="000000"/>
            </w:tcBorders>
          </w:tcPr>
          <w:p>
            <w:pPr>
              <w:pStyle w:val="TableParagraph"/>
              <w:spacing w:line="221" w:lineRule="exact"/>
              <w:ind w:right="377"/>
              <w:jc w:val="right"/>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6" w:right="83"/>
              <w:jc w:val="center"/>
              <w:rPr>
                <w:sz w:val="20"/>
              </w:rPr>
            </w:pPr>
            <w:r>
              <w:rPr>
                <w:sz w:val="20"/>
              </w:rPr>
              <w:t>9-4-13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9"/>
              <w:rPr>
                <w:sz w:val="20"/>
              </w:rPr>
            </w:pPr>
            <w:r>
              <w:rPr>
                <w:spacing w:val="-2"/>
                <w:w w:val="95"/>
                <w:sz w:val="20"/>
              </w:rPr>
              <w:t>一下肢髖、膝及足踝關節均永久遺存運動障害者。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351"/>
              <w:jc w:val="right"/>
              <w:rPr>
                <w:sz w:val="20"/>
              </w:rPr>
            </w:pPr>
            <w:r>
              <w:rPr>
                <w:w w:val="99"/>
                <w:sz w:val="20"/>
              </w:rPr>
              <w:t>9</w:t>
            </w:r>
          </w:p>
        </w:tc>
        <w:tc>
          <w:tcPr>
            <w:tcW w:w="1132" w:type="dxa"/>
            <w:tcBorders>
              <w:top w:val="single" w:sz="4" w:space="0" w:color="000000"/>
              <w:left w:val="single" w:sz="4" w:space="0" w:color="000000"/>
              <w:bottom w:val="single" w:sz="4" w:space="0" w:color="000000"/>
            </w:tcBorders>
          </w:tcPr>
          <w:p>
            <w:pPr>
              <w:pStyle w:val="TableParagraph"/>
              <w:spacing w:line="221" w:lineRule="exact"/>
              <w:ind w:right="377"/>
              <w:jc w:val="right"/>
              <w:rPr>
                <w:sz w:val="20"/>
              </w:rPr>
            </w:pPr>
            <w:r>
              <w:rPr>
                <w:sz w:val="20"/>
              </w:rPr>
              <w:t>20%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exact"/>
              <w:ind w:left="32"/>
              <w:jc w:val="center"/>
              <w:rPr>
                <w:sz w:val="20"/>
              </w:rPr>
            </w:pPr>
            <w:r>
              <w:rPr>
                <w:sz w:val="20"/>
              </w:rPr>
              <w:t>足趾機能障害</w:t>
            </w:r>
          </w:p>
          <w:p>
            <w:pPr>
              <w:pStyle w:val="TableParagraph"/>
              <w:spacing w:line="254" w:lineRule="exact" w:before="3"/>
              <w:ind w:left="44" w:right="14"/>
              <w:jc w:val="center"/>
              <w:rPr>
                <w:sz w:val="20"/>
              </w:rPr>
            </w:pPr>
            <w:r>
              <w:rPr>
                <w:sz w:val="20"/>
              </w:rPr>
              <w:t>（註14）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jc w:val="center"/>
              <w:rPr>
                <w:sz w:val="20"/>
              </w:rPr>
            </w:pPr>
            <w:r>
              <w:rPr>
                <w:sz w:val="20"/>
              </w:rPr>
              <w:t>9-5-1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9"/>
              <w:rPr>
                <w:sz w:val="20"/>
              </w:rPr>
            </w:pPr>
            <w:r>
              <w:rPr>
                <w:spacing w:val="-2"/>
                <w:w w:val="95"/>
                <w:sz w:val="20"/>
              </w:rPr>
              <w:t>雙足十趾均永久喪失機能者。</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51"/>
              <w:jc w:val="right"/>
              <w:rPr>
                <w:sz w:val="20"/>
              </w:rPr>
            </w:pPr>
            <w:r>
              <w:rPr>
                <w:w w:val="99"/>
                <w:sz w:val="20"/>
              </w:rPr>
              <w:t>7</w:t>
            </w:r>
          </w:p>
        </w:tc>
        <w:tc>
          <w:tcPr>
            <w:tcW w:w="1132" w:type="dxa"/>
            <w:tcBorders>
              <w:top w:val="single" w:sz="4" w:space="0" w:color="000000"/>
              <w:left w:val="single" w:sz="4" w:space="0" w:color="000000"/>
              <w:bottom w:val="single" w:sz="4" w:space="0" w:color="000000"/>
            </w:tcBorders>
          </w:tcPr>
          <w:p>
            <w:pPr>
              <w:pStyle w:val="TableParagraph"/>
              <w:spacing w:line="219" w:lineRule="exact"/>
              <w:ind w:right="377"/>
              <w:jc w:val="right"/>
              <w:rPr>
                <w:sz w:val="20"/>
              </w:rPr>
            </w:pPr>
            <w:r>
              <w:rPr>
                <w:sz w:val="20"/>
              </w:rPr>
              <w:t>40%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jc w:val="center"/>
              <w:rPr>
                <w:sz w:val="20"/>
              </w:rPr>
            </w:pPr>
            <w:r>
              <w:rPr>
                <w:sz w:val="20"/>
              </w:rPr>
              <w:t>9-5-2</w:t>
            </w:r>
          </w:p>
        </w:tc>
        <w:tc>
          <w:tcPr>
            <w:tcW w:w="5105" w:type="dxa"/>
            <w:tcBorders>
              <w:top w:val="single" w:sz="4" w:space="0" w:color="000000"/>
              <w:left w:val="single" w:sz="4" w:space="0" w:color="000000"/>
              <w:right w:val="single" w:sz="4" w:space="0" w:color="000000"/>
            </w:tcBorders>
          </w:tcPr>
          <w:p>
            <w:pPr>
              <w:pStyle w:val="TableParagraph"/>
              <w:spacing w:line="228" w:lineRule="exact"/>
              <w:ind w:left="39"/>
              <w:rPr>
                <w:sz w:val="20"/>
              </w:rPr>
            </w:pPr>
            <w:r>
              <w:rPr>
                <w:spacing w:val="-2"/>
                <w:w w:val="95"/>
                <w:sz w:val="20"/>
              </w:rPr>
              <w:t>一足五趾均永久喪失機能者。</w:t>
            </w:r>
          </w:p>
        </w:tc>
        <w:tc>
          <w:tcPr>
            <w:tcW w:w="849" w:type="dxa"/>
            <w:tcBorders>
              <w:top w:val="single" w:sz="4" w:space="0" w:color="000000"/>
              <w:left w:val="single" w:sz="4" w:space="0" w:color="000000"/>
              <w:right w:val="single" w:sz="4" w:space="0" w:color="000000"/>
            </w:tcBorders>
          </w:tcPr>
          <w:p>
            <w:pPr>
              <w:pStyle w:val="TableParagraph"/>
              <w:spacing w:line="228" w:lineRule="exact"/>
              <w:ind w:right="351"/>
              <w:jc w:val="right"/>
              <w:rPr>
                <w:sz w:val="20"/>
              </w:rPr>
            </w:pPr>
            <w:r>
              <w:rPr>
                <w:w w:val="99"/>
                <w:sz w:val="20"/>
              </w:rPr>
              <w:t>9</w:t>
            </w:r>
          </w:p>
        </w:tc>
        <w:tc>
          <w:tcPr>
            <w:tcW w:w="1132" w:type="dxa"/>
            <w:tcBorders>
              <w:top w:val="single" w:sz="4" w:space="0" w:color="000000"/>
              <w:left w:val="single" w:sz="4" w:space="0" w:color="000000"/>
            </w:tcBorders>
          </w:tcPr>
          <w:p>
            <w:pPr>
              <w:pStyle w:val="TableParagraph"/>
              <w:spacing w:line="228" w:lineRule="exact"/>
              <w:ind w:right="377"/>
              <w:jc w:val="right"/>
              <w:rPr>
                <w:sz w:val="20"/>
              </w:rPr>
            </w:pPr>
            <w:r>
              <w:rPr>
                <w:sz w:val="20"/>
              </w:rPr>
              <w:t>20%</w:t>
            </w:r>
          </w:p>
        </w:tc>
      </w:tr>
    </w:tbl>
    <w:p>
      <w:pPr>
        <w:rPr>
          <w:sz w:val="2"/>
          <w:szCs w:val="2"/>
        </w:rPr>
      </w:pPr>
      <w:r>
        <w:rPr/>
        <w:drawing>
          <wp:anchor distT="0" distB="0" distL="0" distR="0" allowOverlap="1" layoutInCell="1" locked="0" behindDoc="1" simplePos="0" relativeHeight="486262784">
            <wp:simplePos x="0" y="0"/>
            <wp:positionH relativeFrom="page">
              <wp:posOffset>2873375</wp:posOffset>
            </wp:positionH>
            <wp:positionV relativeFrom="page">
              <wp:posOffset>3141934</wp:posOffset>
            </wp:positionV>
            <wp:extent cx="1836419" cy="4423487"/>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836419" cy="4423487"/>
                    </a:xfrm>
                    <a:prstGeom prst="rect">
                      <a:avLst/>
                    </a:prstGeom>
                  </pic:spPr>
                </pic:pic>
              </a:graphicData>
            </a:graphic>
          </wp:anchor>
        </w:drawing>
      </w:r>
    </w:p>
    <w:p>
      <w:pPr>
        <w:spacing w:after="0"/>
        <w:rPr>
          <w:sz w:val="2"/>
          <w:szCs w:val="2"/>
        </w:rPr>
        <w:sectPr>
          <w:pgSz w:w="11910" w:h="16840"/>
          <w:pgMar w:header="0" w:footer="775" w:top="1400" w:bottom="960" w:left="980" w:right="920"/>
        </w:sectPr>
      </w:pPr>
    </w:p>
    <w:p>
      <w:pPr>
        <w:spacing w:line="310" w:lineRule="exact" w:before="0"/>
        <w:ind w:left="152" w:right="0" w:firstLine="0"/>
        <w:jc w:val="left"/>
        <w:rPr>
          <w:rFonts w:ascii="Microsoft JhengHei" w:eastAsia="Microsoft JhengHei" w:hint="eastAsia"/>
          <w:b/>
          <w:sz w:val="20"/>
        </w:rPr>
      </w:pPr>
      <w:r>
        <w:rPr>
          <w:rFonts w:ascii="Microsoft JhengHei" w:eastAsia="Microsoft JhengHei" w:hint="eastAsia"/>
          <w:b/>
          <w:sz w:val="20"/>
        </w:rPr>
        <w:t>註1：</w:t>
      </w:r>
    </w:p>
    <w:p>
      <w:pPr>
        <w:pStyle w:val="BodyText"/>
        <w:spacing w:line="235" w:lineRule="exact"/>
      </w:pPr>
      <w:r>
        <w:rPr/>
        <w:t>1-1.於審定「神經障害等級」時，須有精神科、神經科、神經外科或復健科專科醫師診斷證明及相關檢驗報告</w:t>
      </w:r>
    </w:p>
    <w:p>
      <w:pPr>
        <w:pStyle w:val="BodyText"/>
        <w:spacing w:line="242" w:lineRule="auto" w:before="5"/>
        <w:ind w:left="436" w:right="211"/>
        <w:jc w:val="both"/>
      </w:pPr>
      <w:r>
        <w:rPr/>
        <w:t>（如簡式智能評估表(MMSE)、失能評估表(modified</w:t>
      </w:r>
      <w:r>
        <w:rPr>
          <w:spacing w:val="10"/>
        </w:rPr>
        <w:t> </w:t>
      </w:r>
      <w:r>
        <w:rPr/>
        <w:t>Rankin</w:t>
      </w:r>
      <w:r>
        <w:rPr>
          <w:spacing w:val="10"/>
        </w:rPr>
        <w:t> </w:t>
      </w:r>
      <w:r>
        <w:rPr/>
        <w:t>Scale</w:t>
      </w:r>
      <w:r>
        <w:rPr>
          <w:spacing w:val="5"/>
        </w:rPr>
        <w:t>, </w:t>
      </w:r>
      <w:r>
        <w:rPr/>
        <w:t>mRS)、臨床失智評估量表(CDR)、神經</w:t>
      </w:r>
      <w:r>
        <w:rPr>
          <w:w w:val="95"/>
        </w:rPr>
        <w:t>電生理檢查報告、神經系統影像檢查報告及相符之診斷檢查報告等）資料為依據，必要時保險人得另行指定</w:t>
      </w:r>
      <w:r>
        <w:rPr>
          <w:spacing w:val="134"/>
        </w:rPr>
        <w:t> </w:t>
      </w:r>
      <w:r>
        <w:rPr/>
        <w:t>專科醫師會同認定。</w:t>
      </w:r>
    </w:p>
    <w:p>
      <w:pPr>
        <w:pStyle w:val="ListParagraph"/>
        <w:numPr>
          <w:ilvl w:val="0"/>
          <w:numId w:val="1"/>
        </w:numPr>
        <w:tabs>
          <w:tab w:pos="655" w:val="left" w:leader="none"/>
        </w:tabs>
        <w:spacing w:line="240" w:lineRule="auto" w:before="4" w:after="0"/>
        <w:ind w:left="654" w:right="0" w:hanging="503"/>
        <w:jc w:val="left"/>
        <w:rPr>
          <w:sz w:val="20"/>
        </w:rPr>
      </w:pPr>
      <w:r>
        <w:rPr>
          <w:w w:val="95"/>
          <w:sz w:val="20"/>
        </w:rPr>
        <w:t>「為維持生命必要之日常生活活動」係指食物攝取、大小便始末、穿脫衣服、起居、步行、入浴等。</w:t>
      </w:r>
    </w:p>
    <w:p>
      <w:pPr>
        <w:pStyle w:val="ListParagraph"/>
        <w:numPr>
          <w:ilvl w:val="0"/>
          <w:numId w:val="1"/>
        </w:numPr>
        <w:tabs>
          <w:tab w:pos="654" w:val="left" w:leader="none"/>
        </w:tabs>
        <w:spacing w:line="244" w:lineRule="auto" w:before="3" w:after="0"/>
        <w:ind w:left="652" w:right="216" w:hanging="500"/>
        <w:jc w:val="both"/>
        <w:rPr>
          <w:sz w:val="20"/>
        </w:rPr>
      </w:pPr>
      <w:r>
        <w:rPr>
          <w:w w:val="95"/>
          <w:sz w:val="20"/>
        </w:rPr>
        <w:t>有失語、失認、失行等之病灶症狀、四肢麻痺、錐體外路症狀、記憶力障害、知覺障害、感情障害、意欲</w:t>
      </w:r>
      <w:r>
        <w:rPr>
          <w:spacing w:val="112"/>
          <w:sz w:val="20"/>
        </w:rPr>
        <w:t> </w:t>
      </w:r>
      <w:r>
        <w:rPr>
          <w:w w:val="95"/>
          <w:sz w:val="20"/>
        </w:rPr>
        <w:t>減退、人格變化等顯著障害；或者麻痺等症狀，雖為輕度，身體能力仍存，但非他人在身邊指示，無法遂</w:t>
      </w:r>
      <w:r>
        <w:rPr>
          <w:spacing w:val="103"/>
          <w:sz w:val="20"/>
        </w:rPr>
        <w:t> </w:t>
      </w:r>
      <w:r>
        <w:rPr>
          <w:sz w:val="20"/>
        </w:rPr>
        <w:t>行其工作者：適用第3級。</w:t>
      </w:r>
    </w:p>
    <w:p>
      <w:pPr>
        <w:pStyle w:val="ListParagraph"/>
        <w:numPr>
          <w:ilvl w:val="0"/>
          <w:numId w:val="1"/>
        </w:numPr>
        <w:tabs>
          <w:tab w:pos="656" w:val="left" w:leader="none"/>
        </w:tabs>
        <w:spacing w:line="244" w:lineRule="auto" w:before="0" w:after="0"/>
        <w:ind w:left="652" w:right="217" w:hanging="500"/>
        <w:jc w:val="left"/>
        <w:rPr>
          <w:sz w:val="20"/>
        </w:rPr>
      </w:pPr>
      <w:r>
        <w:rPr>
          <w:sz w:val="20"/>
        </w:rPr>
        <w:t>中樞神經系統障害，例如無知覺障害之錐體路及錐體外路症狀之輕度麻痺，依影像檢查始可證明之輕度腦萎縮、腦波異常等屬之，此等症狀須據專科醫師檢查、診斷之結果審定之。</w:t>
      </w:r>
    </w:p>
    <w:p>
      <w:pPr>
        <w:pStyle w:val="ListParagraph"/>
        <w:numPr>
          <w:ilvl w:val="0"/>
          <w:numId w:val="1"/>
        </w:numPr>
        <w:tabs>
          <w:tab w:pos="656" w:val="left" w:leader="none"/>
        </w:tabs>
        <w:spacing w:line="244" w:lineRule="auto" w:before="0" w:after="0"/>
        <w:ind w:left="652" w:right="217" w:hanging="500"/>
        <w:jc w:val="left"/>
        <w:rPr>
          <w:sz w:val="20"/>
        </w:rPr>
      </w:pPr>
      <w:r>
        <w:rPr>
          <w:sz w:val="20"/>
        </w:rPr>
        <w:t>中樞神經系統之頹廢症狀如發生於中樞神經系統以外之機能障害，應按其發現部位所定等級定之，如障害同時併存時，應綜合其全部症狀擇一等級定之，等級不同者，應按其中較重者定其等級。</w:t>
      </w:r>
    </w:p>
    <w:p>
      <w:pPr>
        <w:pStyle w:val="BodyText"/>
        <w:spacing w:line="242" w:lineRule="auto"/>
        <w:ind w:left="554" w:right="218" w:hanging="402"/>
      </w:pPr>
      <w:r>
        <w:rPr/>
        <w:drawing>
          <wp:anchor distT="0" distB="0" distL="0" distR="0" allowOverlap="1" layoutInCell="1" locked="0" behindDoc="1" simplePos="0" relativeHeight="486263296">
            <wp:simplePos x="0" y="0"/>
            <wp:positionH relativeFrom="page">
              <wp:posOffset>2873375</wp:posOffset>
            </wp:positionH>
            <wp:positionV relativeFrom="paragraph">
              <wp:posOffset>100284</wp:posOffset>
            </wp:positionV>
            <wp:extent cx="1836419" cy="4423487"/>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836419" cy="4423487"/>
                    </a:xfrm>
                    <a:prstGeom prst="rect">
                      <a:avLst/>
                    </a:prstGeom>
                  </pic:spPr>
                </pic:pic>
              </a:graphicData>
            </a:graphic>
          </wp:anchor>
        </w:drawing>
      </w:r>
      <w:r>
        <w:rPr>
          <w:w w:val="95"/>
        </w:rPr>
        <w:t>1-2.「平衡機能障害與聽力障害」等級之審定：因頭部損傷引起聽力障害與平衡機能障害同時併存時，須綜合</w:t>
      </w:r>
      <w:r>
        <w:rPr>
          <w:spacing w:val="221"/>
        </w:rPr>
        <w:t> </w:t>
      </w:r>
      <w:r>
        <w:rPr/>
        <w:t>其障害狀況定其等級。</w:t>
      </w:r>
    </w:p>
    <w:p>
      <w:pPr>
        <w:pStyle w:val="BodyText"/>
        <w:spacing w:line="244" w:lineRule="auto"/>
        <w:ind w:left="554" w:right="211" w:hanging="402"/>
        <w:jc w:val="both"/>
      </w:pPr>
      <w:r>
        <w:rPr>
          <w:w w:val="95"/>
        </w:rPr>
        <w:t>1-3.「外傷性癲癇」障害等級之審定：癲癇發作，同時應重視因反復發作致性格變化而終至失智、人格崩壞，</w:t>
      </w:r>
      <w:r>
        <w:rPr>
          <w:spacing w:val="238"/>
        </w:rPr>
        <w:t> </w:t>
      </w:r>
      <w:r>
        <w:rPr>
          <w:w w:val="95"/>
        </w:rPr>
        <w:t>即成癲癇性精神病狀態者，依附註1-1原則審定之。癲癇症狀之固定時期，應以經專科醫師之治療，認為不</w:t>
      </w:r>
      <w:r>
        <w:rPr>
          <w:spacing w:val="111"/>
        </w:rPr>
        <w:t> </w:t>
      </w:r>
      <w:r>
        <w:rPr/>
        <w:t>能期待醫療效果時，及因治療致症狀安定者為準，不論其發作型態，依下列標準審定之：</w:t>
      </w:r>
    </w:p>
    <w:p>
      <w:pPr>
        <w:pStyle w:val="ListParagraph"/>
        <w:numPr>
          <w:ilvl w:val="0"/>
          <w:numId w:val="2"/>
        </w:numPr>
        <w:tabs>
          <w:tab w:pos="655" w:val="left" w:leader="none"/>
        </w:tabs>
        <w:spacing w:line="253" w:lineRule="exact" w:before="0" w:after="0"/>
        <w:ind w:left="654" w:right="0" w:hanging="503"/>
        <w:jc w:val="left"/>
        <w:rPr>
          <w:sz w:val="20"/>
        </w:rPr>
      </w:pPr>
      <w:r>
        <w:rPr>
          <w:w w:val="95"/>
          <w:sz w:val="20"/>
        </w:rPr>
        <w:t>雖經充分治療，每週仍有一次以上發作者：適用第3級。</w:t>
      </w:r>
    </w:p>
    <w:p>
      <w:pPr>
        <w:pStyle w:val="ListParagraph"/>
        <w:numPr>
          <w:ilvl w:val="0"/>
          <w:numId w:val="2"/>
        </w:numPr>
        <w:tabs>
          <w:tab w:pos="655" w:val="left" w:leader="none"/>
        </w:tabs>
        <w:spacing w:line="240" w:lineRule="auto" w:before="0" w:after="0"/>
        <w:ind w:left="654" w:right="0" w:hanging="503"/>
        <w:jc w:val="left"/>
        <w:rPr>
          <w:sz w:val="20"/>
        </w:rPr>
      </w:pPr>
      <w:r>
        <w:rPr>
          <w:w w:val="95"/>
          <w:sz w:val="20"/>
        </w:rPr>
        <w:t>雖經充分治療，每月仍有一次以上發作者：適用第7級。</w:t>
      </w:r>
    </w:p>
    <w:p>
      <w:pPr>
        <w:pStyle w:val="BodyText"/>
        <w:spacing w:line="242" w:lineRule="auto" w:before="3"/>
        <w:ind w:left="453" w:right="218" w:hanging="301"/>
      </w:pPr>
      <w:r>
        <w:rPr>
          <w:w w:val="95"/>
        </w:rPr>
        <w:t>1-4.「眩暈及平衡機能障害」等級之審定：頭部外傷後或因中樞神經系統受損引起之眩暈及平衡機能障害，不</w:t>
      </w:r>
      <w:r>
        <w:rPr>
          <w:spacing w:val="221"/>
        </w:rPr>
        <w:t> </w:t>
      </w:r>
      <w:r>
        <w:rPr/>
        <w:t>單由於內耳障害引起，因小腦、腦幹部、額葉等中樞神經系之障害發現者亦不少，其審定標準如次：</w:t>
      </w:r>
    </w:p>
    <w:p>
      <w:pPr>
        <w:pStyle w:val="ListParagraph"/>
        <w:numPr>
          <w:ilvl w:val="0"/>
          <w:numId w:val="3"/>
        </w:numPr>
        <w:tabs>
          <w:tab w:pos="658" w:val="left" w:leader="none"/>
        </w:tabs>
        <w:spacing w:line="242" w:lineRule="auto" w:before="4" w:after="0"/>
        <w:ind w:left="652" w:right="212" w:hanging="500"/>
        <w:jc w:val="left"/>
        <w:rPr>
          <w:sz w:val="20"/>
        </w:rPr>
      </w:pPr>
      <w:r>
        <w:rPr>
          <w:w w:val="95"/>
          <w:sz w:val="20"/>
        </w:rPr>
        <w:t>為維持生命必要之日常生活活動仍有可能，但因高度平衡機能障害，終身不能從事任何工作者：適用第3</w:t>
      </w:r>
      <w:r>
        <w:rPr>
          <w:spacing w:val="197"/>
          <w:sz w:val="20"/>
        </w:rPr>
        <w:t> </w:t>
      </w:r>
      <w:r>
        <w:rPr>
          <w:sz w:val="20"/>
        </w:rPr>
        <w:t>級。</w:t>
      </w:r>
    </w:p>
    <w:p>
      <w:pPr>
        <w:pStyle w:val="ListParagraph"/>
        <w:numPr>
          <w:ilvl w:val="0"/>
          <w:numId w:val="3"/>
        </w:numPr>
        <w:tabs>
          <w:tab w:pos="655" w:val="left" w:leader="none"/>
        </w:tabs>
        <w:spacing w:line="240" w:lineRule="auto" w:before="0" w:after="0"/>
        <w:ind w:left="654" w:right="0" w:hanging="503"/>
        <w:jc w:val="left"/>
        <w:rPr>
          <w:sz w:val="20"/>
        </w:rPr>
      </w:pPr>
      <w:r>
        <w:rPr>
          <w:w w:val="95"/>
          <w:sz w:val="20"/>
        </w:rPr>
        <w:t>因中等度平衡機能障害、勞動能力較一般平常人顯明低下者：適用第7級。</w:t>
      </w:r>
    </w:p>
    <w:p>
      <w:pPr>
        <w:pStyle w:val="BodyText"/>
        <w:spacing w:line="242" w:lineRule="auto" w:before="6"/>
        <w:ind w:left="554" w:right="218" w:hanging="402"/>
      </w:pPr>
      <w:r>
        <w:rPr>
          <w:w w:val="95"/>
        </w:rPr>
        <w:t>1-5.「外傷性脊髓障害」等級之審定，依其損傷之程度發現四肢等之運動障害、知覺障害、腸管障害、尿路障</w:t>
      </w:r>
      <w:r>
        <w:rPr>
          <w:spacing w:val="221"/>
        </w:rPr>
        <w:t> </w:t>
      </w:r>
      <w:r>
        <w:rPr/>
        <w:t>害、生殖器障害等，依附註1-1之原則，綜合其症狀選用合適等級。</w:t>
      </w:r>
    </w:p>
    <w:p>
      <w:pPr>
        <w:pStyle w:val="BodyText"/>
        <w:spacing w:line="242" w:lineRule="auto" w:before="3"/>
        <w:ind w:left="554" w:right="218" w:hanging="402"/>
      </w:pPr>
      <w:r>
        <w:rPr>
          <w:w w:val="95"/>
        </w:rPr>
        <w:t>1-6.「一氧化碳中毒後遺症」障害等級之審定：一氧化碳中毒後遺症障害之審定，綜合其所遺諸症候，按照附</w:t>
      </w:r>
      <w:r>
        <w:rPr>
          <w:spacing w:val="221"/>
        </w:rPr>
        <w:t> </w:t>
      </w:r>
      <w:r>
        <w:rPr/>
        <w:t>註說明精神、神經障害等級之審定基本原則判斷，定其等級。</w:t>
      </w:r>
    </w:p>
    <w:p>
      <w:pPr>
        <w:pStyle w:val="BodyText"/>
        <w:spacing w:before="4"/>
        <w:ind w:left="0"/>
        <w:rPr>
          <w:sz w:val="15"/>
        </w:rPr>
      </w:pPr>
    </w:p>
    <w:p>
      <w:pPr>
        <w:pStyle w:val="Heading1"/>
        <w:spacing w:line="347" w:lineRule="exact"/>
      </w:pPr>
      <w:r>
        <w:rPr/>
        <w:t>註2：</w:t>
      </w:r>
    </w:p>
    <w:p>
      <w:pPr>
        <w:pStyle w:val="BodyText"/>
        <w:spacing w:line="235" w:lineRule="exact"/>
      </w:pPr>
      <w:r>
        <w:rPr/>
        <w:t>2-1.「視力」之測定：</w:t>
      </w:r>
    </w:p>
    <w:p>
      <w:pPr>
        <w:pStyle w:val="ListParagraph"/>
        <w:numPr>
          <w:ilvl w:val="1"/>
          <w:numId w:val="3"/>
        </w:numPr>
        <w:tabs>
          <w:tab w:pos="556" w:val="left" w:leader="none"/>
        </w:tabs>
        <w:spacing w:line="242" w:lineRule="auto" w:before="5" w:after="0"/>
        <w:ind w:left="253" w:right="2653" w:firstLine="0"/>
        <w:jc w:val="left"/>
        <w:rPr>
          <w:sz w:val="20"/>
        </w:rPr>
      </w:pPr>
      <w:r>
        <w:rPr>
          <w:w w:val="95"/>
          <w:sz w:val="20"/>
        </w:rPr>
        <w:t>應用萬國式視力表以矯正後視力為準，但矯正不能者，得以裸眼視力測定之。</w:t>
      </w:r>
      <w:r>
        <w:rPr>
          <w:spacing w:val="1"/>
          <w:w w:val="95"/>
          <w:sz w:val="20"/>
        </w:rPr>
        <w:t> </w:t>
      </w:r>
      <w:r>
        <w:rPr>
          <w:sz w:val="20"/>
        </w:rPr>
        <w:t>(2)視力障害之測定，必要時須通過「測盲(Malingering)」檢查。</w:t>
      </w:r>
    </w:p>
    <w:p>
      <w:pPr>
        <w:pStyle w:val="BodyText"/>
        <w:spacing w:line="244" w:lineRule="auto" w:before="1"/>
        <w:ind w:left="580" w:right="215" w:hanging="428"/>
      </w:pPr>
      <w:r>
        <w:rPr>
          <w:w w:val="95"/>
        </w:rPr>
        <w:t>2-2.「失明」係指視力永久在萬國式視力表0.02以下而言，並包括眼球喪失、摘出、僅能辨明暗或辨眼前一公</w:t>
      </w:r>
      <w:r>
        <w:rPr>
          <w:spacing w:val="224"/>
        </w:rPr>
        <w:t> </w:t>
      </w:r>
      <w:r>
        <w:rPr/>
        <w:t>尺以內手動或辨眼前五公分以內指數者。</w:t>
      </w:r>
    </w:p>
    <w:p>
      <w:pPr>
        <w:pStyle w:val="BodyText"/>
        <w:spacing w:line="254" w:lineRule="exact"/>
      </w:pPr>
      <w:r>
        <w:rPr/>
        <w:t>2-3.以自傷害之日起經過六個月的治療為判定原則，但眼球摘出等明顯無法復原之情況，不在此限。</w:t>
      </w:r>
    </w:p>
    <w:p>
      <w:pPr>
        <w:pStyle w:val="BodyText"/>
        <w:spacing w:before="6"/>
        <w:ind w:left="0"/>
        <w:rPr>
          <w:sz w:val="15"/>
        </w:rPr>
      </w:pPr>
    </w:p>
    <w:p>
      <w:pPr>
        <w:pStyle w:val="Heading1"/>
        <w:spacing w:before="1"/>
      </w:pPr>
      <w:r>
        <w:rPr/>
        <w:t>註3：</w:t>
      </w:r>
    </w:p>
    <w:p>
      <w:pPr>
        <w:pStyle w:val="BodyText"/>
        <w:spacing w:line="235" w:lineRule="exact"/>
      </w:pPr>
      <w:r>
        <w:rPr/>
        <w:t>3-1.兩耳聽覺障害程度不同時，應將優耳之聽覺障害審定之。</w:t>
      </w:r>
    </w:p>
    <w:p>
      <w:pPr>
        <w:pStyle w:val="BodyText"/>
        <w:spacing w:before="5"/>
      </w:pPr>
      <w:r>
        <w:rPr/>
        <w:t>3-2.聽覺障害之測定，需用精密聽力計(Audiometer)行之，其平均聽力喪失率以分貝表示之。</w:t>
      </w:r>
    </w:p>
    <w:p>
      <w:pPr>
        <w:pStyle w:val="BodyText"/>
        <w:spacing w:before="3"/>
      </w:pPr>
      <w:r>
        <w:rPr/>
        <w:t>3-3.內耳損傷引起平衡機能障害之審定，準用神經障害所定等級，按其障害之程度審定之。</w:t>
      </w:r>
    </w:p>
    <w:p>
      <w:pPr>
        <w:pStyle w:val="BodyText"/>
        <w:spacing w:before="6"/>
        <w:ind w:left="0"/>
        <w:rPr>
          <w:sz w:val="15"/>
        </w:rPr>
      </w:pPr>
    </w:p>
    <w:p>
      <w:pPr>
        <w:pStyle w:val="Heading1"/>
      </w:pPr>
      <w:r>
        <w:rPr/>
        <w:t>註4：</w:t>
      </w:r>
    </w:p>
    <w:p>
      <w:pPr>
        <w:pStyle w:val="BodyText"/>
        <w:spacing w:line="235" w:lineRule="exact"/>
      </w:pPr>
      <w:r>
        <w:rPr/>
        <w:t>4-1.「鼻部缺損」，係指鼻軟骨二分之一以上缺損之程度。</w:t>
      </w:r>
    </w:p>
    <w:p>
      <w:pPr>
        <w:pStyle w:val="BodyText"/>
        <w:spacing w:before="6"/>
      </w:pPr>
      <w:r>
        <w:rPr/>
        <w:t>4-2.「機能永久遺存顯著障害」，係指兩側鼻孔閉塞、鼻呼吸困難、不能矯治，或兩側嗅覺完全喪失者。</w:t>
      </w:r>
    </w:p>
    <w:p>
      <w:pPr>
        <w:pStyle w:val="BodyText"/>
        <w:spacing w:before="6"/>
        <w:ind w:left="0"/>
        <w:rPr>
          <w:sz w:val="15"/>
        </w:rPr>
      </w:pPr>
    </w:p>
    <w:p>
      <w:pPr>
        <w:pStyle w:val="Heading1"/>
      </w:pPr>
      <w:r>
        <w:rPr/>
        <w:t>註5：</w:t>
      </w:r>
    </w:p>
    <w:p>
      <w:pPr>
        <w:pStyle w:val="BodyText"/>
        <w:spacing w:line="235" w:lineRule="exact"/>
      </w:pPr>
      <w:r>
        <w:rPr/>
        <w:t>5-1.咀嚼機能發生障害，係專指由於牙齒以外之原因（如頰、舌、軟硬口蓋、顎骨、下顎關節等之障害），所</w:t>
      </w:r>
    </w:p>
    <w:p>
      <w:pPr>
        <w:pStyle w:val="BodyText"/>
        <w:spacing w:line="244" w:lineRule="auto" w:before="3"/>
        <w:ind w:left="554" w:right="215"/>
      </w:pPr>
      <w:r>
        <w:rPr>
          <w:w w:val="95"/>
        </w:rPr>
        <w:t>引起者。食道狹窄、舌異常、咽喉頭支配神經麻痺等引起之吞嚥障害，往往併發咀嚼機能障害，故兩項障</w:t>
      </w:r>
      <w:r>
        <w:rPr>
          <w:spacing w:val="202"/>
        </w:rPr>
        <w:t> </w:t>
      </w:r>
      <w:r>
        <w:rPr/>
        <w:t>害合併定為「咀嚼、吞嚥障害」：</w:t>
      </w:r>
    </w:p>
    <w:p>
      <w:pPr>
        <w:pStyle w:val="ListParagraph"/>
        <w:numPr>
          <w:ilvl w:val="0"/>
          <w:numId w:val="4"/>
        </w:numPr>
        <w:tabs>
          <w:tab w:pos="658" w:val="left" w:leader="none"/>
        </w:tabs>
        <w:spacing w:line="244" w:lineRule="auto" w:before="0" w:after="0"/>
        <w:ind w:left="554" w:right="218" w:hanging="402"/>
        <w:jc w:val="left"/>
        <w:rPr>
          <w:sz w:val="20"/>
        </w:rPr>
      </w:pPr>
      <w:r>
        <w:rPr>
          <w:w w:val="95"/>
          <w:sz w:val="20"/>
        </w:rPr>
        <w:t>「喪失咀嚼、吞嚥之機能」,係指因器質障害或機能障害，以致不能作咀嚼、吞嚥運動，除流質食物外，</w:t>
      </w:r>
      <w:r>
        <w:rPr>
          <w:spacing w:val="191"/>
          <w:sz w:val="20"/>
        </w:rPr>
        <w:t> </w:t>
      </w:r>
      <w:r>
        <w:rPr>
          <w:sz w:val="20"/>
        </w:rPr>
        <w:t>不能攝取或吞嚥者。</w:t>
      </w:r>
    </w:p>
    <w:p>
      <w:pPr>
        <w:spacing w:after="0" w:line="244" w:lineRule="auto"/>
        <w:jc w:val="left"/>
        <w:rPr>
          <w:sz w:val="20"/>
        </w:rPr>
        <w:sectPr>
          <w:pgSz w:w="11910" w:h="16840"/>
          <w:pgMar w:header="0" w:footer="775" w:top="1360" w:bottom="960" w:left="980" w:right="920"/>
        </w:sectPr>
      </w:pPr>
    </w:p>
    <w:p>
      <w:pPr>
        <w:pStyle w:val="ListParagraph"/>
        <w:numPr>
          <w:ilvl w:val="0"/>
          <w:numId w:val="4"/>
        </w:numPr>
        <w:tabs>
          <w:tab w:pos="658" w:val="left" w:leader="none"/>
        </w:tabs>
        <w:spacing w:line="242" w:lineRule="auto" w:before="29" w:after="0"/>
        <w:ind w:left="554" w:right="218" w:hanging="402"/>
        <w:jc w:val="left"/>
        <w:rPr>
          <w:sz w:val="20"/>
        </w:rPr>
      </w:pPr>
      <w:r>
        <w:rPr>
          <w:w w:val="95"/>
          <w:sz w:val="20"/>
        </w:rPr>
        <w:t>「咀嚼、吞嚥機能遺存顯著障害」,係指不能充分作咀嚼、吞嚥運動，致除粥、糊、或類似之食物以外，</w:t>
      </w:r>
      <w:r>
        <w:rPr>
          <w:spacing w:val="191"/>
          <w:sz w:val="20"/>
        </w:rPr>
        <w:t> </w:t>
      </w:r>
      <w:r>
        <w:rPr>
          <w:sz w:val="20"/>
        </w:rPr>
        <w:t>不能攝取或吞嚥者。</w:t>
      </w:r>
    </w:p>
    <w:p>
      <w:pPr>
        <w:pStyle w:val="BodyText"/>
        <w:spacing w:before="4"/>
      </w:pPr>
      <w:r>
        <w:rPr/>
        <w:t>5-2.言語機能障害，係指由於牙齒損傷以外之原因引起之構音機能障害、發聲機能障害及綴音機能障害等：</w:t>
      </w:r>
    </w:p>
    <w:p>
      <w:pPr>
        <w:pStyle w:val="ListParagraph"/>
        <w:numPr>
          <w:ilvl w:val="0"/>
          <w:numId w:val="5"/>
        </w:numPr>
        <w:tabs>
          <w:tab w:pos="654" w:val="left" w:leader="none"/>
        </w:tabs>
        <w:spacing w:line="242" w:lineRule="auto" w:before="3" w:after="0"/>
        <w:ind w:left="554" w:right="216" w:hanging="402"/>
        <w:jc w:val="left"/>
        <w:rPr>
          <w:sz w:val="20"/>
        </w:rPr>
      </w:pPr>
      <w:r>
        <w:rPr>
          <w:sz w:val="20"/>
        </w:rPr>
        <w:t>「喪失言語機能障害」，係指後列構成語言之口唇音、齒舌音、口蓋音、喉頭音等之四種語音機能中，</w:t>
      </w:r>
      <w:r>
        <w:rPr>
          <w:spacing w:val="1"/>
          <w:sz w:val="20"/>
        </w:rPr>
        <w:t> </w:t>
      </w:r>
      <w:r>
        <w:rPr>
          <w:sz w:val="20"/>
        </w:rPr>
        <w:t>有三種以上不能構音者。</w:t>
      </w:r>
    </w:p>
    <w:p>
      <w:pPr>
        <w:pStyle w:val="ListParagraph"/>
        <w:numPr>
          <w:ilvl w:val="0"/>
          <w:numId w:val="5"/>
        </w:numPr>
        <w:tabs>
          <w:tab w:pos="656" w:val="left" w:leader="none"/>
        </w:tabs>
        <w:spacing w:line="242" w:lineRule="auto" w:before="3" w:after="0"/>
        <w:ind w:left="554" w:right="170" w:hanging="402"/>
        <w:jc w:val="left"/>
        <w:rPr>
          <w:sz w:val="20"/>
        </w:rPr>
      </w:pPr>
      <w:r>
        <w:rPr>
          <w:spacing w:val="-2"/>
          <w:sz w:val="20"/>
        </w:rPr>
        <w:t>「言語機能遺存顯著障害」，係指後列構成語言之口唇音、齒舌音、口蓋音、喉頭音等之四種語言機能中</w:t>
      </w:r>
      <w:r>
        <w:rPr>
          <w:sz w:val="20"/>
        </w:rPr>
        <w:t>，有二種以上不能構音者。</w:t>
      </w:r>
    </w:p>
    <w:p>
      <w:pPr>
        <w:pStyle w:val="BodyText"/>
        <w:spacing w:line="242" w:lineRule="auto" w:before="3"/>
        <w:ind w:left="351" w:right="6439"/>
      </w:pPr>
      <w:r>
        <w:rPr/>
        <w:t>A.雙唇音：ㄅㄆㄇ(發音部位雙唇者)</w:t>
      </w:r>
      <w:r>
        <w:rPr>
          <w:spacing w:val="-97"/>
        </w:rPr>
        <w:t> </w:t>
      </w:r>
      <w:r>
        <w:rPr/>
        <w:t>B.唇齒音：ㄈ(發音部位唇齒)</w:t>
      </w:r>
    </w:p>
    <w:p>
      <w:pPr>
        <w:pStyle w:val="BodyText"/>
        <w:spacing w:line="244" w:lineRule="auto" w:before="1"/>
        <w:ind w:left="351" w:right="5851"/>
      </w:pPr>
      <w:r>
        <w:rPr/>
        <w:t>C.舌尖音：ㄉㄊㄋㄌ(發音部位舌尖與牙齦)</w:t>
      </w:r>
      <w:r>
        <w:rPr>
          <w:spacing w:val="-97"/>
        </w:rPr>
        <w:t> </w:t>
      </w:r>
      <w:r>
        <w:rPr/>
        <w:t>D.舌根音：ㄍㄎㄏ(發音部位舌根與軟顎)</w:t>
      </w:r>
      <w:r>
        <w:rPr>
          <w:spacing w:val="1"/>
        </w:rPr>
        <w:t> </w:t>
      </w:r>
      <w:r>
        <w:rPr/>
        <w:t>E.舌面音：ㄐㄑㄒ(發音部位舌面與硬顎)</w:t>
      </w:r>
    </w:p>
    <w:p>
      <w:pPr>
        <w:pStyle w:val="BodyText"/>
        <w:spacing w:line="242" w:lineRule="auto"/>
        <w:ind w:left="351" w:right="5639"/>
      </w:pPr>
      <w:r>
        <w:rPr/>
        <w:drawing>
          <wp:anchor distT="0" distB="0" distL="0" distR="0" allowOverlap="1" layoutInCell="1" locked="0" behindDoc="1" simplePos="0" relativeHeight="486263808">
            <wp:simplePos x="0" y="0"/>
            <wp:positionH relativeFrom="page">
              <wp:posOffset>2873375</wp:posOffset>
            </wp:positionH>
            <wp:positionV relativeFrom="paragraph">
              <wp:posOffset>264877</wp:posOffset>
            </wp:positionV>
            <wp:extent cx="1836419" cy="4423487"/>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836419" cy="4423487"/>
                    </a:xfrm>
                    <a:prstGeom prst="rect">
                      <a:avLst/>
                    </a:prstGeom>
                  </pic:spPr>
                </pic:pic>
              </a:graphicData>
            </a:graphic>
          </wp:anchor>
        </w:drawing>
      </w:r>
      <w:r>
        <w:rPr/>
        <w:t>F.舌尖後音：ㄓㄔㄕㄖ(發音部位舌尖與硬顎)</w:t>
      </w:r>
      <w:r>
        <w:rPr>
          <w:spacing w:val="-97"/>
        </w:rPr>
        <w:t> </w:t>
      </w:r>
      <w:r>
        <w:rPr/>
        <w:t>G.舌尖前音：ㄗㄘㄙ(發音部位舌尖與上牙齦)</w:t>
      </w:r>
    </w:p>
    <w:p>
      <w:pPr>
        <w:pStyle w:val="BodyText"/>
        <w:spacing w:line="244" w:lineRule="auto"/>
        <w:ind w:left="554" w:right="213" w:hanging="402"/>
      </w:pPr>
      <w:r>
        <w:rPr>
          <w:w w:val="95"/>
        </w:rPr>
        <w:t>5-3.因綴音機能遺存顯著障害，祇以言語表示對方不能通曉其意思者，準用「言語機能遺存顯著障害」所定等</w:t>
      </w:r>
      <w:r>
        <w:rPr>
          <w:spacing w:val="226"/>
        </w:rPr>
        <w:t> </w:t>
      </w:r>
      <w:r>
        <w:rPr/>
        <w:t>級。</w:t>
      </w:r>
    </w:p>
    <w:p>
      <w:pPr>
        <w:pStyle w:val="BodyText"/>
        <w:spacing w:before="1"/>
        <w:ind w:left="0"/>
        <w:rPr>
          <w:sz w:val="15"/>
        </w:rPr>
      </w:pPr>
    </w:p>
    <w:p>
      <w:pPr>
        <w:pStyle w:val="Heading1"/>
      </w:pPr>
      <w:r>
        <w:rPr/>
        <w:t>註6：</w:t>
      </w:r>
    </w:p>
    <w:p>
      <w:pPr>
        <w:pStyle w:val="BodyText"/>
        <w:spacing w:line="235" w:lineRule="exact"/>
      </w:pPr>
      <w:r>
        <w:rPr/>
        <w:t>6-1.胸腹部臟器：</w:t>
      </w:r>
    </w:p>
    <w:p>
      <w:pPr>
        <w:pStyle w:val="ListParagraph"/>
        <w:numPr>
          <w:ilvl w:val="0"/>
          <w:numId w:val="6"/>
        </w:numPr>
        <w:tabs>
          <w:tab w:pos="655" w:val="left" w:leader="none"/>
        </w:tabs>
        <w:spacing w:line="240" w:lineRule="auto" w:before="3" w:after="0"/>
        <w:ind w:left="654" w:right="0" w:hanging="503"/>
        <w:jc w:val="left"/>
        <w:rPr>
          <w:sz w:val="20"/>
        </w:rPr>
      </w:pPr>
      <w:r>
        <w:rPr>
          <w:w w:val="95"/>
          <w:sz w:val="20"/>
        </w:rPr>
        <w:t>胸部臟器，係指心臟、心囊、主動脈、氣管、支氣管、肺臟、胸膜及食道。</w:t>
      </w:r>
    </w:p>
    <w:p>
      <w:pPr>
        <w:pStyle w:val="ListParagraph"/>
        <w:numPr>
          <w:ilvl w:val="0"/>
          <w:numId w:val="6"/>
        </w:numPr>
        <w:tabs>
          <w:tab w:pos="655" w:val="left" w:leader="none"/>
        </w:tabs>
        <w:spacing w:line="269" w:lineRule="exact" w:before="5" w:after="0"/>
        <w:ind w:left="654" w:right="0" w:hanging="503"/>
        <w:jc w:val="left"/>
        <w:rPr>
          <w:sz w:val="20"/>
        </w:rPr>
      </w:pPr>
      <w:r>
        <w:rPr>
          <w:w w:val="95"/>
          <w:sz w:val="20"/>
        </w:rPr>
        <w:t>腹部臟器，係指胃、肝臟、膽囊、胰臟、小腸、大腸、腸間膜</w:t>
      </w:r>
      <w:r>
        <w:rPr>
          <w:rFonts w:ascii="MingLiU-ExtB" w:eastAsia="MingLiU-ExtB"/>
          <w:w w:val="95"/>
          <w:sz w:val="20"/>
        </w:rPr>
        <w:t>、</w:t>
      </w:r>
      <w:r>
        <w:rPr>
          <w:w w:val="95"/>
          <w:sz w:val="20"/>
        </w:rPr>
        <w:t>脾臟及腎上腺。</w:t>
      </w:r>
    </w:p>
    <w:p>
      <w:pPr>
        <w:pStyle w:val="ListParagraph"/>
        <w:numPr>
          <w:ilvl w:val="0"/>
          <w:numId w:val="6"/>
        </w:numPr>
        <w:tabs>
          <w:tab w:pos="655" w:val="left" w:leader="none"/>
        </w:tabs>
        <w:spacing w:line="246" w:lineRule="exact" w:before="0" w:after="0"/>
        <w:ind w:left="654" w:right="0" w:hanging="503"/>
        <w:jc w:val="left"/>
        <w:rPr>
          <w:sz w:val="20"/>
        </w:rPr>
      </w:pPr>
      <w:r>
        <w:rPr>
          <w:w w:val="95"/>
          <w:sz w:val="20"/>
        </w:rPr>
        <w:t>泌尿器官，係指腎臟、輸尿管、膀胱及尿道。</w:t>
      </w:r>
    </w:p>
    <w:p>
      <w:pPr>
        <w:pStyle w:val="ListParagraph"/>
        <w:numPr>
          <w:ilvl w:val="0"/>
          <w:numId w:val="6"/>
        </w:numPr>
        <w:tabs>
          <w:tab w:pos="655" w:val="left" w:leader="none"/>
        </w:tabs>
        <w:spacing w:line="240" w:lineRule="auto" w:before="6" w:after="0"/>
        <w:ind w:left="654" w:right="0" w:hanging="503"/>
        <w:jc w:val="left"/>
        <w:rPr>
          <w:sz w:val="20"/>
        </w:rPr>
      </w:pPr>
      <w:r>
        <w:rPr>
          <w:w w:val="95"/>
          <w:sz w:val="20"/>
        </w:rPr>
        <w:t>生殖器官，係指內生殖器及外生殖器。</w:t>
      </w:r>
    </w:p>
    <w:p>
      <w:pPr>
        <w:pStyle w:val="BodyText"/>
        <w:spacing w:line="242" w:lineRule="auto" w:before="3"/>
        <w:ind w:left="753" w:right="218" w:hanging="601"/>
      </w:pPr>
      <w:r>
        <w:rPr>
          <w:w w:val="95"/>
        </w:rPr>
        <w:t>6-2.1.任一主要臟器切除二分之一以上者之主要臟器係指心臟、肺臟、食道、胃、肝臟、胰臟、小腸、大腸、</w:t>
      </w:r>
      <w:r>
        <w:rPr>
          <w:spacing w:val="221"/>
        </w:rPr>
        <w:t> </w:t>
      </w:r>
      <w:r>
        <w:rPr/>
        <w:t>腎臟、腎上腺、輸尿管、膀胱及尿道。</w:t>
      </w:r>
    </w:p>
    <w:p>
      <w:pPr>
        <w:pStyle w:val="BodyText"/>
        <w:spacing w:before="3"/>
        <w:ind w:left="554"/>
      </w:pPr>
      <w:r>
        <w:rPr/>
        <w:t>2.前述「二分之一以上」之認定標準於對稱器官以切除一側，肺臟以切除二葉為準。</w:t>
      </w:r>
    </w:p>
    <w:p>
      <w:pPr>
        <w:pStyle w:val="BodyText"/>
        <w:spacing w:line="244" w:lineRule="auto" w:before="3"/>
        <w:ind w:left="554" w:right="218" w:hanging="402"/>
      </w:pPr>
      <w:r>
        <w:rPr>
          <w:w w:val="95"/>
        </w:rPr>
        <w:t>6-3.胸腹部臟器障害等級之審定：胸腹部臟器機能遺存障害，須將症狀綜合衡量，永久影響其日常生活活動之</w:t>
      </w:r>
      <w:r>
        <w:rPr>
          <w:spacing w:val="221"/>
        </w:rPr>
        <w:t> </w:t>
      </w:r>
      <w:r>
        <w:rPr/>
        <w:t>狀況及需他人扶助之情形，比照神經障害等級審定基本原則、綜合審定其等級。</w:t>
      </w:r>
    </w:p>
    <w:p>
      <w:pPr>
        <w:pStyle w:val="BodyText"/>
        <w:spacing w:line="242" w:lineRule="auto"/>
        <w:ind w:left="554" w:right="214" w:hanging="402"/>
      </w:pPr>
      <w:r>
        <w:rPr>
          <w:w w:val="95"/>
        </w:rPr>
        <w:t>6-4.膀胱機能完全喪失，係指必須永久性自腹表排尿或長期導尿者(包括永久性迴腸導管、寇克氏囊與輸尿管造</w:t>
      </w:r>
      <w:r>
        <w:rPr>
          <w:spacing w:val="130"/>
        </w:rPr>
        <w:t> </w:t>
      </w:r>
      <w:r>
        <w:rPr/>
        <w:t>口術)。</w:t>
      </w:r>
    </w:p>
    <w:p>
      <w:pPr>
        <w:pStyle w:val="BodyText"/>
        <w:spacing w:before="2"/>
        <w:ind w:left="0"/>
        <w:rPr>
          <w:sz w:val="15"/>
        </w:rPr>
      </w:pPr>
    </w:p>
    <w:p>
      <w:pPr>
        <w:pStyle w:val="Heading1"/>
        <w:spacing w:line="348" w:lineRule="exact"/>
      </w:pPr>
      <w:r>
        <w:rPr/>
        <w:t>註7：</w:t>
      </w:r>
    </w:p>
    <w:p>
      <w:pPr>
        <w:pStyle w:val="BodyText"/>
        <w:spacing w:line="236" w:lineRule="exact"/>
      </w:pPr>
      <w:r>
        <w:rPr/>
        <w:t>7-1.脊柱遺存障害者，若併存神經障害時，應綜合其全部症狀擇一等級定之，等級不同者，應按其中較重者定</w:t>
      </w:r>
    </w:p>
    <w:p>
      <w:pPr>
        <w:pStyle w:val="BodyText"/>
        <w:spacing w:before="3"/>
        <w:ind w:left="554"/>
      </w:pPr>
      <w:r>
        <w:rPr/>
        <w:t>其等級。</w:t>
      </w:r>
    </w:p>
    <w:p>
      <w:pPr>
        <w:pStyle w:val="BodyText"/>
        <w:spacing w:line="271" w:lineRule="exact" w:before="3"/>
      </w:pPr>
      <w:r>
        <w:rPr/>
        <w:t>7-2.脊柱運動障害須經</w:t>
      </w:r>
      <w:r>
        <w:rPr>
          <w:rFonts w:ascii="MingLiU-ExtB" w:eastAsia="MingLiU-ExtB"/>
        </w:rPr>
        <w:t>X</w:t>
      </w:r>
      <w:r>
        <w:rPr/>
        <w:t>光照片檢查始可診斷，如經診斷有明顯骨折、脫位或變形者，應依下列規定審定：</w:t>
      </w:r>
    </w:p>
    <w:p>
      <w:pPr>
        <w:pStyle w:val="ListParagraph"/>
        <w:numPr>
          <w:ilvl w:val="0"/>
          <w:numId w:val="7"/>
        </w:numPr>
        <w:tabs>
          <w:tab w:pos="656" w:val="left" w:leader="none"/>
        </w:tabs>
        <w:spacing w:line="242" w:lineRule="auto" w:before="0" w:after="0"/>
        <w:ind w:left="652" w:right="215" w:hanging="500"/>
        <w:jc w:val="left"/>
        <w:rPr>
          <w:sz w:val="20"/>
        </w:rPr>
      </w:pPr>
      <w:r>
        <w:rPr>
          <w:sz w:val="20"/>
        </w:rPr>
        <w:t>「遺存顯著運動障害」，係指脊柱連續固定四個椎體及三個椎間盤（含）以上，且喪失生理運動範圍二分之一以上者。</w:t>
      </w:r>
    </w:p>
    <w:p>
      <w:pPr>
        <w:pStyle w:val="ListParagraph"/>
        <w:numPr>
          <w:ilvl w:val="0"/>
          <w:numId w:val="7"/>
        </w:numPr>
        <w:tabs>
          <w:tab w:pos="656" w:val="left" w:leader="none"/>
        </w:tabs>
        <w:spacing w:line="242" w:lineRule="auto" w:before="0" w:after="0"/>
        <w:ind w:left="652" w:right="215" w:hanging="500"/>
        <w:jc w:val="left"/>
        <w:rPr>
          <w:sz w:val="20"/>
        </w:rPr>
      </w:pPr>
      <w:r>
        <w:rPr>
          <w:sz w:val="20"/>
        </w:rPr>
        <w:t>「遺存運動障害」，係指脊柱連續固定四個椎體及三個椎間盤（含）以上，且喪失生理運動範圍三分之一以上者。</w:t>
      </w:r>
    </w:p>
    <w:p>
      <w:pPr>
        <w:pStyle w:val="ListParagraph"/>
        <w:numPr>
          <w:ilvl w:val="0"/>
          <w:numId w:val="7"/>
        </w:numPr>
        <w:tabs>
          <w:tab w:pos="655" w:val="left" w:leader="none"/>
        </w:tabs>
        <w:spacing w:line="240" w:lineRule="auto" w:before="0" w:after="0"/>
        <w:ind w:left="654" w:right="0" w:hanging="503"/>
        <w:jc w:val="left"/>
        <w:rPr>
          <w:sz w:val="20"/>
        </w:rPr>
      </w:pPr>
      <w:r>
        <w:rPr>
          <w:w w:val="95"/>
          <w:sz w:val="20"/>
        </w:rPr>
        <w:t>脊柱運動限制不明顯或脊柱固定三個椎體及二個椎間盤（含）以下者，不在給付範圍。</w:t>
      </w:r>
    </w:p>
    <w:p>
      <w:pPr>
        <w:pStyle w:val="BodyText"/>
        <w:spacing w:before="1"/>
        <w:ind w:left="0"/>
        <w:rPr>
          <w:sz w:val="15"/>
        </w:rPr>
      </w:pPr>
    </w:p>
    <w:p>
      <w:pPr>
        <w:pStyle w:val="Heading1"/>
        <w:spacing w:line="348" w:lineRule="exact" w:before="1"/>
      </w:pPr>
      <w:r>
        <w:rPr/>
        <w:t>註8：</w:t>
      </w:r>
    </w:p>
    <w:p>
      <w:pPr>
        <w:pStyle w:val="BodyText"/>
        <w:spacing w:line="236" w:lineRule="exact"/>
      </w:pPr>
      <w:r>
        <w:rPr/>
        <w:t>8-1.「手指缺失」係指：</w:t>
      </w:r>
    </w:p>
    <w:p>
      <w:pPr>
        <w:pStyle w:val="ListParagraph"/>
        <w:numPr>
          <w:ilvl w:val="0"/>
          <w:numId w:val="8"/>
        </w:numPr>
        <w:tabs>
          <w:tab w:pos="655" w:val="left" w:leader="none"/>
        </w:tabs>
        <w:spacing w:line="240" w:lineRule="auto" w:before="2" w:after="0"/>
        <w:ind w:left="654" w:right="0" w:hanging="503"/>
        <w:jc w:val="left"/>
        <w:rPr>
          <w:sz w:val="20"/>
        </w:rPr>
      </w:pPr>
      <w:r>
        <w:rPr>
          <w:w w:val="95"/>
          <w:sz w:val="20"/>
        </w:rPr>
        <w:t>在拇指者，係由指節間關節切斷者。</w:t>
      </w:r>
    </w:p>
    <w:p>
      <w:pPr>
        <w:pStyle w:val="ListParagraph"/>
        <w:numPr>
          <w:ilvl w:val="0"/>
          <w:numId w:val="8"/>
        </w:numPr>
        <w:tabs>
          <w:tab w:pos="655" w:val="left" w:leader="none"/>
        </w:tabs>
        <w:spacing w:line="240" w:lineRule="auto" w:before="3" w:after="0"/>
        <w:ind w:left="654" w:right="0" w:hanging="503"/>
        <w:jc w:val="left"/>
        <w:rPr>
          <w:sz w:val="20"/>
        </w:rPr>
      </w:pPr>
      <w:r>
        <w:rPr>
          <w:w w:val="95"/>
          <w:sz w:val="20"/>
        </w:rPr>
        <w:t>其他各指，係指由近位指節間關節切斷者。</w:t>
      </w:r>
    </w:p>
    <w:p>
      <w:pPr>
        <w:pStyle w:val="BodyText"/>
        <w:spacing w:before="6"/>
      </w:pPr>
      <w:r>
        <w:rPr/>
        <w:t>8-2.若經接指手術後機能仍永久完全喪失者，視為缺失。足趾亦同。</w:t>
      </w:r>
    </w:p>
    <w:p>
      <w:pPr>
        <w:pStyle w:val="BodyText"/>
        <w:spacing w:line="244" w:lineRule="auto" w:before="3"/>
        <w:ind w:left="554" w:right="215" w:hanging="402"/>
      </w:pPr>
      <w:r>
        <w:rPr>
          <w:w w:val="95"/>
        </w:rPr>
        <w:t>8-3.截取拇趾接合於拇指時，若拇指原本之缺失已符合失能標準，接合後機能雖完全正常，拇指之部份仍視為</w:t>
      </w:r>
      <w:r>
        <w:rPr>
          <w:spacing w:val="224"/>
        </w:rPr>
        <w:t> </w:t>
      </w:r>
      <w:r>
        <w:rPr/>
        <w:t>缺失，而拇趾之自截部份不予計入。</w:t>
      </w:r>
    </w:p>
    <w:p>
      <w:pPr>
        <w:pStyle w:val="BodyText"/>
        <w:spacing w:before="12"/>
        <w:ind w:left="0"/>
        <w:rPr>
          <w:sz w:val="14"/>
        </w:rPr>
      </w:pPr>
    </w:p>
    <w:p>
      <w:pPr>
        <w:pStyle w:val="Heading1"/>
        <w:spacing w:line="348" w:lineRule="exact"/>
      </w:pPr>
      <w:r>
        <w:rPr/>
        <w:t>註9：</w:t>
      </w:r>
    </w:p>
    <w:p>
      <w:pPr>
        <w:pStyle w:val="BodyText"/>
        <w:spacing w:line="236" w:lineRule="exact"/>
      </w:pPr>
      <w:r>
        <w:rPr/>
        <w:t>9-1.「一上肢肩、肘及腕關節永久喪失機能」，係指一上肢完全廢用，如下列情況者：</w:t>
      </w:r>
    </w:p>
    <w:p>
      <w:pPr>
        <w:pStyle w:val="ListParagraph"/>
        <w:numPr>
          <w:ilvl w:val="0"/>
          <w:numId w:val="9"/>
        </w:numPr>
        <w:tabs>
          <w:tab w:pos="655" w:val="left" w:leader="none"/>
        </w:tabs>
        <w:spacing w:line="240" w:lineRule="auto" w:before="3" w:after="0"/>
        <w:ind w:left="654" w:right="0" w:hanging="503"/>
        <w:jc w:val="left"/>
        <w:rPr>
          <w:sz w:val="20"/>
        </w:rPr>
      </w:pPr>
      <w:r>
        <w:rPr>
          <w:w w:val="95"/>
          <w:sz w:val="20"/>
        </w:rPr>
        <w:t>一上肢肩、肘及腕關節完全強直或完全麻痺，及該手五指均永久喪失機能者。</w:t>
      </w:r>
    </w:p>
    <w:p>
      <w:pPr>
        <w:pStyle w:val="ListParagraph"/>
        <w:numPr>
          <w:ilvl w:val="0"/>
          <w:numId w:val="9"/>
        </w:numPr>
        <w:tabs>
          <w:tab w:pos="655" w:val="left" w:leader="none"/>
        </w:tabs>
        <w:spacing w:line="240" w:lineRule="auto" w:before="5" w:after="0"/>
        <w:ind w:left="654" w:right="0" w:hanging="503"/>
        <w:jc w:val="left"/>
        <w:rPr>
          <w:sz w:val="20"/>
        </w:rPr>
      </w:pPr>
      <w:r>
        <w:rPr>
          <w:w w:val="95"/>
          <w:sz w:val="20"/>
        </w:rPr>
        <w:t>一上肢肩、肘及腕關節完全強直或完全麻痺者。</w:t>
      </w:r>
    </w:p>
    <w:p>
      <w:pPr>
        <w:spacing w:after="0" w:line="240" w:lineRule="auto"/>
        <w:jc w:val="left"/>
        <w:rPr>
          <w:sz w:val="20"/>
        </w:rPr>
        <w:sectPr>
          <w:pgSz w:w="11910" w:h="16840"/>
          <w:pgMar w:header="0" w:footer="775" w:top="1360" w:bottom="1040" w:left="980" w:right="920"/>
        </w:sectPr>
      </w:pPr>
    </w:p>
    <w:p>
      <w:pPr>
        <w:pStyle w:val="BodyText"/>
        <w:spacing w:before="29"/>
      </w:pPr>
      <w:r>
        <w:rPr>
          <w:spacing w:val="-2"/>
        </w:rPr>
        <w:t>9-2.「一上肢肩、肘及腕關節永久遺存顯著運動障害」，係指一上肢各關節遺存顯著運動障害，如下列情況者：</w:t>
      </w:r>
    </w:p>
    <w:p>
      <w:pPr>
        <w:pStyle w:val="ListParagraph"/>
        <w:numPr>
          <w:ilvl w:val="0"/>
          <w:numId w:val="10"/>
        </w:numPr>
        <w:tabs>
          <w:tab w:pos="655" w:val="left" w:leader="none"/>
        </w:tabs>
        <w:spacing w:line="240" w:lineRule="auto" w:before="3" w:after="0"/>
        <w:ind w:left="654" w:right="0" w:hanging="503"/>
        <w:jc w:val="left"/>
        <w:rPr>
          <w:sz w:val="20"/>
        </w:rPr>
      </w:pPr>
      <w:r>
        <w:rPr>
          <w:w w:val="95"/>
          <w:sz w:val="20"/>
        </w:rPr>
        <w:t>一上肢肩、肘及腕關節均永久遺存顯著運動障害，及該手五指均永久喪失機能者。</w:t>
      </w:r>
    </w:p>
    <w:p>
      <w:pPr>
        <w:pStyle w:val="ListParagraph"/>
        <w:numPr>
          <w:ilvl w:val="0"/>
          <w:numId w:val="10"/>
        </w:numPr>
        <w:tabs>
          <w:tab w:pos="655" w:val="left" w:leader="none"/>
        </w:tabs>
        <w:spacing w:line="240" w:lineRule="auto" w:before="6" w:after="0"/>
        <w:ind w:left="654" w:right="0" w:hanging="503"/>
        <w:jc w:val="left"/>
        <w:rPr>
          <w:sz w:val="20"/>
        </w:rPr>
      </w:pPr>
      <w:r>
        <w:rPr>
          <w:w w:val="95"/>
          <w:sz w:val="20"/>
        </w:rPr>
        <w:t>一上肢肩、肘及腕關節均永久遺存顯著運動障害者。</w:t>
      </w:r>
    </w:p>
    <w:p>
      <w:pPr>
        <w:pStyle w:val="BodyText"/>
        <w:spacing w:before="3"/>
      </w:pPr>
      <w:r>
        <w:rPr/>
        <w:t>9-3.以生理運動範圍，作審定關節機能障害之標準，規定如下：</w:t>
      </w:r>
    </w:p>
    <w:p>
      <w:pPr>
        <w:pStyle w:val="ListParagraph"/>
        <w:numPr>
          <w:ilvl w:val="0"/>
          <w:numId w:val="11"/>
        </w:numPr>
        <w:tabs>
          <w:tab w:pos="655" w:val="left" w:leader="none"/>
        </w:tabs>
        <w:spacing w:line="240" w:lineRule="auto" w:before="3" w:after="0"/>
        <w:ind w:left="654" w:right="0" w:hanging="503"/>
        <w:jc w:val="left"/>
        <w:rPr>
          <w:sz w:val="20"/>
        </w:rPr>
      </w:pPr>
      <w:r>
        <w:rPr>
          <w:w w:val="95"/>
          <w:sz w:val="20"/>
        </w:rPr>
        <w:t>「喪失機能」，係指關節完全強直或完全麻痺狀態者。</w:t>
      </w:r>
    </w:p>
    <w:p>
      <w:pPr>
        <w:pStyle w:val="ListParagraph"/>
        <w:numPr>
          <w:ilvl w:val="0"/>
          <w:numId w:val="11"/>
        </w:numPr>
        <w:tabs>
          <w:tab w:pos="655" w:val="left" w:leader="none"/>
        </w:tabs>
        <w:spacing w:line="240" w:lineRule="auto" w:before="5" w:after="0"/>
        <w:ind w:left="654" w:right="0" w:hanging="503"/>
        <w:jc w:val="left"/>
        <w:rPr>
          <w:sz w:val="20"/>
        </w:rPr>
      </w:pPr>
      <w:r>
        <w:rPr>
          <w:w w:val="95"/>
          <w:sz w:val="20"/>
        </w:rPr>
        <w:t>「顯著運動障害」，係指喪失生理運動範圍二分之一以上者。</w:t>
      </w:r>
    </w:p>
    <w:p>
      <w:pPr>
        <w:pStyle w:val="ListParagraph"/>
        <w:numPr>
          <w:ilvl w:val="0"/>
          <w:numId w:val="11"/>
        </w:numPr>
        <w:tabs>
          <w:tab w:pos="655" w:val="left" w:leader="none"/>
        </w:tabs>
        <w:spacing w:line="244" w:lineRule="auto" w:before="3" w:after="0"/>
        <w:ind w:left="152" w:right="4354" w:firstLine="0"/>
        <w:jc w:val="left"/>
        <w:rPr>
          <w:sz w:val="20"/>
        </w:rPr>
      </w:pPr>
      <w:r>
        <w:rPr>
          <w:w w:val="95"/>
          <w:sz w:val="20"/>
        </w:rPr>
        <w:t>「運動障害」，係指喪失生理運動範圍三分之一以上者。</w:t>
      </w:r>
      <w:r>
        <w:rPr>
          <w:sz w:val="20"/>
        </w:rPr>
        <w:t>9-4.運動限制之測定：</w:t>
      </w:r>
    </w:p>
    <w:p>
      <w:pPr>
        <w:pStyle w:val="ListParagraph"/>
        <w:numPr>
          <w:ilvl w:val="0"/>
          <w:numId w:val="12"/>
        </w:numPr>
        <w:tabs>
          <w:tab w:pos="654" w:val="left" w:leader="none"/>
        </w:tabs>
        <w:spacing w:line="242" w:lineRule="auto" w:before="0" w:after="0"/>
        <w:ind w:left="652" w:right="211" w:hanging="500"/>
        <w:jc w:val="left"/>
        <w:rPr>
          <w:sz w:val="20"/>
        </w:rPr>
      </w:pPr>
      <w:r>
        <w:rPr>
          <w:w w:val="95"/>
          <w:sz w:val="20"/>
        </w:rPr>
        <w:t>以各關節之生理運動範圍為基準。機能(運動)障害原因及程度明顯時，採用主動運動之運動範圍，如障害</w:t>
      </w:r>
      <w:r>
        <w:rPr>
          <w:spacing w:val="107"/>
          <w:sz w:val="20"/>
        </w:rPr>
        <w:t> </w:t>
      </w:r>
      <w:r>
        <w:rPr>
          <w:sz w:val="20"/>
        </w:rPr>
        <w:t>程度不明確時，則須由被動運動之可能運動範圍參考決定之。</w:t>
      </w:r>
    </w:p>
    <w:p>
      <w:pPr>
        <w:pStyle w:val="ListParagraph"/>
        <w:numPr>
          <w:ilvl w:val="0"/>
          <w:numId w:val="12"/>
        </w:numPr>
        <w:tabs>
          <w:tab w:pos="655" w:val="left" w:leader="none"/>
        </w:tabs>
        <w:spacing w:line="242" w:lineRule="auto" w:before="1" w:after="0"/>
        <w:ind w:left="152" w:right="3754" w:firstLine="0"/>
        <w:jc w:val="left"/>
        <w:rPr>
          <w:sz w:val="20"/>
        </w:rPr>
      </w:pPr>
      <w:r>
        <w:rPr>
          <w:w w:val="95"/>
          <w:sz w:val="20"/>
        </w:rPr>
        <w:t>經石膏固定患部者，應考慮其癒後恢復之程度，作適宜之決定。</w:t>
      </w:r>
      <w:r>
        <w:rPr>
          <w:sz w:val="20"/>
        </w:rPr>
        <w:t>9-5.上下肢關節名稱及生理運動範圍如說明圖表。</w:t>
      </w:r>
    </w:p>
    <w:p>
      <w:pPr>
        <w:pStyle w:val="BodyText"/>
        <w:spacing w:before="4"/>
        <w:ind w:left="0"/>
        <w:rPr>
          <w:sz w:val="15"/>
        </w:rPr>
      </w:pPr>
    </w:p>
    <w:p>
      <w:pPr>
        <w:pStyle w:val="Heading1"/>
        <w:spacing w:before="1"/>
      </w:pPr>
      <w:r>
        <w:rPr/>
        <w:drawing>
          <wp:anchor distT="0" distB="0" distL="0" distR="0" allowOverlap="1" layoutInCell="1" locked="0" behindDoc="1" simplePos="0" relativeHeight="486264320">
            <wp:simplePos x="0" y="0"/>
            <wp:positionH relativeFrom="page">
              <wp:posOffset>2873375</wp:posOffset>
            </wp:positionH>
            <wp:positionV relativeFrom="paragraph">
              <wp:posOffset>142839</wp:posOffset>
            </wp:positionV>
            <wp:extent cx="1836419" cy="4423487"/>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836419" cy="4423487"/>
                    </a:xfrm>
                    <a:prstGeom prst="rect">
                      <a:avLst/>
                    </a:prstGeom>
                  </pic:spPr>
                </pic:pic>
              </a:graphicData>
            </a:graphic>
          </wp:anchor>
        </w:drawing>
      </w:r>
      <w:r>
        <w:rPr/>
        <w:t>註10：</w:t>
      </w:r>
    </w:p>
    <w:p>
      <w:pPr>
        <w:pStyle w:val="BodyText"/>
        <w:spacing w:line="235" w:lineRule="exact"/>
      </w:pPr>
      <w:r>
        <w:rPr/>
        <w:t>10-1.「手指永久喪失機能」係指：</w:t>
      </w:r>
    </w:p>
    <w:p>
      <w:pPr>
        <w:pStyle w:val="ListParagraph"/>
        <w:numPr>
          <w:ilvl w:val="0"/>
          <w:numId w:val="13"/>
        </w:numPr>
        <w:tabs>
          <w:tab w:pos="655" w:val="left" w:leader="none"/>
        </w:tabs>
        <w:spacing w:line="240" w:lineRule="auto" w:before="5" w:after="0"/>
        <w:ind w:left="654" w:right="0" w:hanging="503"/>
        <w:jc w:val="left"/>
        <w:rPr>
          <w:sz w:val="20"/>
        </w:rPr>
      </w:pPr>
      <w:r>
        <w:rPr>
          <w:w w:val="95"/>
          <w:sz w:val="20"/>
        </w:rPr>
        <w:t>在拇指，中手指節關節或指節間關節，喪失生理運動範圍二分之一以上者。</w:t>
      </w:r>
    </w:p>
    <w:p>
      <w:pPr>
        <w:pStyle w:val="ListParagraph"/>
        <w:numPr>
          <w:ilvl w:val="0"/>
          <w:numId w:val="13"/>
        </w:numPr>
        <w:tabs>
          <w:tab w:pos="655" w:val="left" w:leader="none"/>
        </w:tabs>
        <w:spacing w:line="240" w:lineRule="auto" w:before="3" w:after="0"/>
        <w:ind w:left="654" w:right="0" w:hanging="503"/>
        <w:jc w:val="left"/>
        <w:rPr>
          <w:sz w:val="20"/>
        </w:rPr>
      </w:pPr>
      <w:r>
        <w:rPr>
          <w:w w:val="95"/>
          <w:sz w:val="20"/>
        </w:rPr>
        <w:t>在其他各指，中手指節關節，或近位指節間關節，喪失生理運動範圍二分之一以上者。</w:t>
      </w:r>
    </w:p>
    <w:p>
      <w:pPr>
        <w:pStyle w:val="ListParagraph"/>
        <w:numPr>
          <w:ilvl w:val="0"/>
          <w:numId w:val="13"/>
        </w:numPr>
        <w:tabs>
          <w:tab w:pos="655" w:val="left" w:leader="none"/>
        </w:tabs>
        <w:spacing w:line="240" w:lineRule="auto" w:before="6" w:after="0"/>
        <w:ind w:left="654" w:right="0" w:hanging="503"/>
        <w:jc w:val="left"/>
        <w:rPr>
          <w:sz w:val="20"/>
        </w:rPr>
      </w:pPr>
      <w:r>
        <w:rPr>
          <w:w w:val="95"/>
          <w:sz w:val="20"/>
        </w:rPr>
        <w:t>拇指或其他各指之末節切斷達二分之一以上者。</w:t>
      </w:r>
    </w:p>
    <w:p>
      <w:pPr>
        <w:pStyle w:val="BodyText"/>
        <w:spacing w:before="4"/>
        <w:ind w:left="0"/>
        <w:rPr>
          <w:sz w:val="15"/>
        </w:rPr>
      </w:pPr>
    </w:p>
    <w:p>
      <w:pPr>
        <w:pStyle w:val="Heading1"/>
        <w:spacing w:line="348" w:lineRule="exact"/>
      </w:pPr>
      <w:r>
        <w:rPr/>
        <w:t>註11：</w:t>
      </w:r>
    </w:p>
    <w:p>
      <w:pPr>
        <w:pStyle w:val="BodyText"/>
        <w:spacing w:line="236" w:lineRule="exact"/>
      </w:pPr>
      <w:r>
        <w:rPr/>
        <w:t>11-1.下肢縮短之測定，自患側之腸骨前上棘與內踝下端之長度，與健側下肢比較測定其短縮程度。</w:t>
      </w:r>
    </w:p>
    <w:p>
      <w:pPr>
        <w:pStyle w:val="BodyText"/>
        <w:spacing w:before="6"/>
        <w:ind w:left="0"/>
        <w:rPr>
          <w:sz w:val="15"/>
        </w:rPr>
      </w:pPr>
    </w:p>
    <w:p>
      <w:pPr>
        <w:pStyle w:val="Heading1"/>
      </w:pPr>
      <w:r>
        <w:rPr/>
        <w:t>註12：</w:t>
      </w:r>
    </w:p>
    <w:p>
      <w:pPr>
        <w:pStyle w:val="BodyText"/>
        <w:spacing w:line="235" w:lineRule="exact"/>
      </w:pPr>
      <w:r>
        <w:rPr/>
        <w:t>12-1.「足趾缺失」係指：自中足趾關節切斷而足趾全部缺損者。</w:t>
      </w:r>
    </w:p>
    <w:p>
      <w:pPr>
        <w:pStyle w:val="BodyText"/>
        <w:spacing w:before="6"/>
        <w:ind w:left="0"/>
        <w:rPr>
          <w:sz w:val="15"/>
        </w:rPr>
      </w:pPr>
    </w:p>
    <w:p>
      <w:pPr>
        <w:pStyle w:val="Heading1"/>
      </w:pPr>
      <w:r>
        <w:rPr/>
        <w:t>註13：</w:t>
      </w:r>
    </w:p>
    <w:p>
      <w:pPr>
        <w:pStyle w:val="BodyText"/>
        <w:spacing w:line="235" w:lineRule="exact"/>
      </w:pPr>
      <w:r>
        <w:rPr/>
        <w:t>13-1.「一下肢髖、膝及足踝關節永久喪失機能」，係指一下肢完全廢用，如下列情況者：</w:t>
      </w:r>
    </w:p>
    <w:p>
      <w:pPr>
        <w:pStyle w:val="ListParagraph"/>
        <w:numPr>
          <w:ilvl w:val="0"/>
          <w:numId w:val="14"/>
        </w:numPr>
        <w:tabs>
          <w:tab w:pos="655" w:val="left" w:leader="none"/>
        </w:tabs>
        <w:spacing w:line="240" w:lineRule="auto" w:before="6" w:after="0"/>
        <w:ind w:left="654" w:right="0" w:hanging="503"/>
        <w:jc w:val="left"/>
        <w:rPr>
          <w:sz w:val="20"/>
        </w:rPr>
      </w:pPr>
      <w:r>
        <w:rPr>
          <w:w w:val="95"/>
          <w:sz w:val="20"/>
        </w:rPr>
        <w:t>一下肢三大關節均完全強直或完全麻痺，以及一足五趾均喪失機能者。</w:t>
      </w:r>
    </w:p>
    <w:p>
      <w:pPr>
        <w:pStyle w:val="ListParagraph"/>
        <w:numPr>
          <w:ilvl w:val="0"/>
          <w:numId w:val="14"/>
        </w:numPr>
        <w:tabs>
          <w:tab w:pos="655" w:val="left" w:leader="none"/>
        </w:tabs>
        <w:spacing w:line="240" w:lineRule="auto" w:before="3" w:after="0"/>
        <w:ind w:left="654" w:right="0" w:hanging="503"/>
        <w:jc w:val="left"/>
        <w:rPr>
          <w:sz w:val="20"/>
        </w:rPr>
      </w:pPr>
      <w:r>
        <w:rPr>
          <w:w w:val="95"/>
          <w:sz w:val="20"/>
        </w:rPr>
        <w:t>一下肢三大關節均完全強直或完全麻痺者。</w:t>
      </w:r>
    </w:p>
    <w:p>
      <w:pPr>
        <w:pStyle w:val="BodyText"/>
        <w:spacing w:before="3"/>
      </w:pPr>
      <w:r>
        <w:rPr/>
        <w:t>13-2.下肢之機能障害「喪失機能」、「顯著運動障害」或「運動障害」之審定，參照上肢之各該項規定。</w:t>
      </w:r>
    </w:p>
    <w:p>
      <w:pPr>
        <w:pStyle w:val="BodyText"/>
        <w:spacing w:before="6"/>
        <w:ind w:left="0"/>
        <w:rPr>
          <w:sz w:val="15"/>
        </w:rPr>
      </w:pPr>
    </w:p>
    <w:p>
      <w:pPr>
        <w:pStyle w:val="Heading1"/>
        <w:spacing w:line="348" w:lineRule="exact"/>
      </w:pPr>
      <w:r>
        <w:rPr/>
        <w:t>註14：</w:t>
      </w:r>
    </w:p>
    <w:p>
      <w:pPr>
        <w:pStyle w:val="BodyText"/>
        <w:spacing w:line="236" w:lineRule="exact"/>
      </w:pPr>
      <w:r>
        <w:rPr/>
        <w:t>14-1.「足趾永久喪失機能者」係指符合下列情況者：</w:t>
      </w:r>
    </w:p>
    <w:p>
      <w:pPr>
        <w:pStyle w:val="ListParagraph"/>
        <w:numPr>
          <w:ilvl w:val="0"/>
          <w:numId w:val="15"/>
        </w:numPr>
        <w:tabs>
          <w:tab w:pos="654" w:val="left" w:leader="none"/>
        </w:tabs>
        <w:spacing w:line="242" w:lineRule="auto" w:before="3" w:after="0"/>
        <w:ind w:left="652" w:right="215" w:hanging="500"/>
        <w:jc w:val="left"/>
        <w:rPr>
          <w:sz w:val="20"/>
        </w:rPr>
      </w:pPr>
      <w:r>
        <w:rPr>
          <w:sz w:val="20"/>
        </w:rPr>
        <w:t>第一趾末切斷二分之一以上者，或中足趾關節，或趾關節之運動可能範圍，喪失生理運動範圍二分之一以上者。</w:t>
      </w:r>
    </w:p>
    <w:p>
      <w:pPr>
        <w:pStyle w:val="ListParagraph"/>
        <w:numPr>
          <w:ilvl w:val="0"/>
          <w:numId w:val="15"/>
        </w:numPr>
        <w:tabs>
          <w:tab w:pos="655" w:val="left" w:leader="none"/>
        </w:tabs>
        <w:spacing w:line="240" w:lineRule="auto" w:before="4" w:after="0"/>
        <w:ind w:left="654" w:right="0" w:hanging="503"/>
        <w:jc w:val="left"/>
        <w:rPr>
          <w:sz w:val="20"/>
        </w:rPr>
      </w:pPr>
      <w:r>
        <w:rPr>
          <w:w w:val="95"/>
          <w:sz w:val="20"/>
        </w:rPr>
        <w:t>在第二趾，自末關節以上切斷者，或中足趾關節或第一趾關節喪失生理運動範圍二分之一上者。</w:t>
      </w:r>
    </w:p>
    <w:p>
      <w:pPr>
        <w:pStyle w:val="ListParagraph"/>
        <w:numPr>
          <w:ilvl w:val="0"/>
          <w:numId w:val="15"/>
        </w:numPr>
        <w:tabs>
          <w:tab w:pos="655" w:val="left" w:leader="none"/>
        </w:tabs>
        <w:spacing w:line="240" w:lineRule="auto" w:before="3" w:after="0"/>
        <w:ind w:left="654" w:right="0" w:hanging="503"/>
        <w:jc w:val="left"/>
        <w:rPr>
          <w:sz w:val="20"/>
        </w:rPr>
      </w:pPr>
      <w:r>
        <w:rPr>
          <w:w w:val="95"/>
          <w:sz w:val="20"/>
        </w:rPr>
        <w:t>在第三、四、五各趾，係指末關節以上切斷或中足趾關節及第一趾關節均完全強直者。</w:t>
      </w:r>
    </w:p>
    <w:p>
      <w:pPr>
        <w:pStyle w:val="BodyText"/>
        <w:spacing w:before="6"/>
        <w:ind w:left="0"/>
        <w:rPr>
          <w:sz w:val="15"/>
        </w:rPr>
      </w:pPr>
    </w:p>
    <w:p>
      <w:pPr>
        <w:pStyle w:val="Heading1"/>
      </w:pPr>
      <w:r>
        <w:rPr/>
        <w:t>註15：</w:t>
      </w:r>
    </w:p>
    <w:p>
      <w:pPr>
        <w:pStyle w:val="BodyText"/>
        <w:spacing w:line="235" w:lineRule="exact"/>
      </w:pPr>
      <w:r>
        <w:rPr>
          <w:spacing w:val="-1"/>
        </w:rPr>
        <w:t>15-1.機能永久喪失及遺存各級障害之判定，以被保險人於意外傷害事故發生之日起，並經六個月治療後症狀固</w:t>
      </w:r>
    </w:p>
    <w:p>
      <w:pPr>
        <w:pStyle w:val="BodyText"/>
        <w:spacing w:before="5"/>
        <w:ind w:left="652"/>
      </w:pPr>
      <w:r>
        <w:rPr/>
        <w:t>定，再行治療仍不能期待治療效果的結果為基準判定。但立即可判定者不在此限。</w:t>
      </w:r>
    </w:p>
    <w:p>
      <w:pPr>
        <w:spacing w:after="0"/>
        <w:sectPr>
          <w:pgSz w:w="11910" w:h="16840"/>
          <w:pgMar w:header="0" w:footer="775" w:top="1360" w:bottom="1040" w:left="980" w:right="920"/>
        </w:sectPr>
      </w:pPr>
    </w:p>
    <w:p>
      <w:pPr>
        <w:pStyle w:val="BodyText"/>
        <w:ind w:left="349"/>
      </w:pPr>
      <w:r>
        <w:rPr/>
        <w:drawing>
          <wp:inline distT="0" distB="0" distL="0" distR="0">
            <wp:extent cx="5672113" cy="2080259"/>
            <wp:effectExtent l="0" t="0" r="0" b="0"/>
            <wp:docPr id="19" name="image2.png" descr="C:\Users\i9f00213\Documents\Working Templates\20150526傷害險上下肢關節圖更新\new說明圖.jpg"/>
            <wp:cNvGraphicFramePr>
              <a:graphicFrameLocks noChangeAspect="1"/>
            </wp:cNvGraphicFramePr>
            <a:graphic>
              <a:graphicData uri="http://schemas.openxmlformats.org/drawingml/2006/picture">
                <pic:pic>
                  <pic:nvPicPr>
                    <pic:cNvPr id="20" name="image2.png"/>
                    <pic:cNvPicPr/>
                  </pic:nvPicPr>
                  <pic:blipFill>
                    <a:blip r:embed="rId8" cstate="print"/>
                    <a:stretch>
                      <a:fillRect/>
                    </a:stretch>
                  </pic:blipFill>
                  <pic:spPr>
                    <a:xfrm>
                      <a:off x="0" y="0"/>
                      <a:ext cx="5672113" cy="2080259"/>
                    </a:xfrm>
                    <a:prstGeom prst="rect">
                      <a:avLst/>
                    </a:prstGeom>
                  </pic:spPr>
                </pic:pic>
              </a:graphicData>
            </a:graphic>
          </wp:inline>
        </w:drawing>
      </w:r>
      <w:r>
        <w:rPr/>
      </w:r>
    </w:p>
    <w:p>
      <w:pPr>
        <w:pStyle w:val="BodyText"/>
        <w:ind w:left="0"/>
      </w:pPr>
    </w:p>
    <w:p>
      <w:pPr>
        <w:pStyle w:val="BodyText"/>
        <w:spacing w:before="10"/>
        <w:ind w:left="0"/>
        <w:rPr>
          <w:sz w:val="17"/>
        </w:rPr>
      </w:pPr>
    </w:p>
    <w:p>
      <w:pPr>
        <w:pStyle w:val="BodyText"/>
        <w:spacing w:line="290" w:lineRule="auto" w:before="60"/>
        <w:ind w:right="6852"/>
      </w:pPr>
      <w:r>
        <w:rPr/>
        <w:drawing>
          <wp:anchor distT="0" distB="0" distL="0" distR="0" allowOverlap="1" layoutInCell="1" locked="0" behindDoc="1" simplePos="0" relativeHeight="486264832">
            <wp:simplePos x="0" y="0"/>
            <wp:positionH relativeFrom="page">
              <wp:posOffset>2873375</wp:posOffset>
            </wp:positionH>
            <wp:positionV relativeFrom="paragraph">
              <wp:posOffset>-260903</wp:posOffset>
            </wp:positionV>
            <wp:extent cx="1836419" cy="4423487"/>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836419" cy="4423487"/>
                    </a:xfrm>
                    <a:prstGeom prst="rect">
                      <a:avLst/>
                    </a:prstGeom>
                  </pic:spPr>
                </pic:pic>
              </a:graphicData>
            </a:graphic>
          </wp:anchor>
        </w:drawing>
      </w:r>
      <w:r>
        <w:rPr>
          <w:spacing w:val="-1"/>
        </w:rPr>
        <w:t>上、下肢關節生理運動範圍一覽表</w:t>
      </w:r>
      <w:r>
        <w:rPr/>
        <w:t>上肢：</w:t>
      </w:r>
    </w:p>
    <w:p>
      <w:pPr>
        <w:pStyle w:val="BodyText"/>
        <w:spacing w:before="5"/>
        <w:ind w:left="0"/>
        <w:rPr>
          <w:sz w:val="6"/>
        </w:rPr>
      </w:pPr>
    </w:p>
    <w:tbl>
      <w:tblPr>
        <w:tblW w:w="0" w:type="auto"/>
        <w:jc w:val="left"/>
        <w:tblInd w:w="8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4"/>
        <w:gridCol w:w="2362"/>
        <w:gridCol w:w="2362"/>
        <w:gridCol w:w="2365"/>
      </w:tblGrid>
      <w:tr>
        <w:trPr>
          <w:trHeight w:val="651" w:hRule="atLeast"/>
        </w:trPr>
        <w:tc>
          <w:tcPr>
            <w:tcW w:w="1334" w:type="dxa"/>
            <w:tcBorders>
              <w:bottom w:val="single" w:sz="6" w:space="0" w:color="000000"/>
              <w:right w:val="single" w:sz="6" w:space="0" w:color="000000"/>
            </w:tcBorders>
          </w:tcPr>
          <w:p>
            <w:pPr>
              <w:pStyle w:val="TableParagraph"/>
              <w:spacing w:before="6"/>
              <w:rPr>
                <w:sz w:val="17"/>
              </w:rPr>
            </w:pPr>
          </w:p>
          <w:p>
            <w:pPr>
              <w:pStyle w:val="TableParagraph"/>
              <w:ind w:left="265"/>
              <w:rPr>
                <w:sz w:val="20"/>
              </w:rPr>
            </w:pPr>
            <w:r>
              <w:rPr>
                <w:sz w:val="20"/>
              </w:rPr>
              <w:t>左肩關節</w:t>
            </w:r>
          </w:p>
        </w:tc>
        <w:tc>
          <w:tcPr>
            <w:tcW w:w="2362" w:type="dxa"/>
            <w:tcBorders>
              <w:left w:val="single" w:sz="6" w:space="0" w:color="000000"/>
              <w:bottom w:val="single" w:sz="6" w:space="0" w:color="000000"/>
              <w:right w:val="single" w:sz="6" w:space="0" w:color="000000"/>
            </w:tcBorders>
          </w:tcPr>
          <w:p>
            <w:pPr>
              <w:pStyle w:val="TableParagraph"/>
              <w:spacing w:before="94"/>
              <w:ind w:left="616" w:right="586"/>
              <w:jc w:val="center"/>
              <w:rPr>
                <w:sz w:val="20"/>
              </w:rPr>
            </w:pPr>
            <w:r>
              <w:rPr>
                <w:w w:val="95"/>
                <w:sz w:val="20"/>
              </w:rPr>
              <w:t>前舉</w:t>
            </w:r>
          </w:p>
          <w:p>
            <w:pPr>
              <w:pStyle w:val="TableParagraph"/>
              <w:spacing w:before="3"/>
              <w:ind w:left="615" w:right="589"/>
              <w:jc w:val="center"/>
              <w:rPr>
                <w:sz w:val="20"/>
              </w:rPr>
            </w:pPr>
            <w:r>
              <w:rPr>
                <w:sz w:val="20"/>
              </w:rPr>
              <w:t>(正常180度)</w:t>
            </w:r>
          </w:p>
        </w:tc>
        <w:tc>
          <w:tcPr>
            <w:tcW w:w="2362" w:type="dxa"/>
            <w:tcBorders>
              <w:left w:val="single" w:sz="6" w:space="0" w:color="000000"/>
              <w:bottom w:val="single" w:sz="6" w:space="0" w:color="000000"/>
              <w:right w:val="single" w:sz="6" w:space="0" w:color="000000"/>
            </w:tcBorders>
          </w:tcPr>
          <w:p>
            <w:pPr>
              <w:pStyle w:val="TableParagraph"/>
              <w:spacing w:before="94"/>
              <w:ind w:left="616" w:right="587"/>
              <w:jc w:val="center"/>
              <w:rPr>
                <w:sz w:val="20"/>
              </w:rPr>
            </w:pPr>
            <w:r>
              <w:rPr>
                <w:w w:val="95"/>
                <w:sz w:val="20"/>
              </w:rPr>
              <w:t>後舉</w:t>
            </w:r>
          </w:p>
          <w:p>
            <w:pPr>
              <w:pStyle w:val="TableParagraph"/>
              <w:spacing w:before="3"/>
              <w:ind w:left="616" w:right="588"/>
              <w:jc w:val="center"/>
              <w:rPr>
                <w:sz w:val="20"/>
              </w:rPr>
            </w:pPr>
            <w:r>
              <w:rPr>
                <w:sz w:val="20"/>
              </w:rPr>
              <w:t>(正常60度)</w:t>
            </w:r>
          </w:p>
        </w:tc>
        <w:tc>
          <w:tcPr>
            <w:tcW w:w="2365" w:type="dxa"/>
            <w:tcBorders>
              <w:left w:val="single" w:sz="6" w:space="0" w:color="000000"/>
              <w:bottom w:val="single" w:sz="6" w:space="0" w:color="000000"/>
            </w:tcBorders>
          </w:tcPr>
          <w:p>
            <w:pPr>
              <w:pStyle w:val="TableParagraph"/>
              <w:spacing w:before="94"/>
              <w:ind w:left="516" w:right="481"/>
              <w:jc w:val="center"/>
              <w:rPr>
                <w:sz w:val="20"/>
              </w:rPr>
            </w:pPr>
            <w:r>
              <w:rPr>
                <w:sz w:val="20"/>
              </w:rPr>
              <w:t>關節活動度</w:t>
            </w:r>
          </w:p>
          <w:p>
            <w:pPr>
              <w:pStyle w:val="TableParagraph"/>
              <w:spacing w:before="3"/>
              <w:ind w:left="517" w:right="481"/>
              <w:jc w:val="center"/>
              <w:rPr>
                <w:sz w:val="20"/>
              </w:rPr>
            </w:pPr>
            <w:r>
              <w:rPr>
                <w:sz w:val="20"/>
              </w:rPr>
              <w:t>（正常240度）</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1"/>
              <w:rPr>
                <w:sz w:val="17"/>
              </w:rPr>
            </w:pPr>
          </w:p>
          <w:p>
            <w:pPr>
              <w:pStyle w:val="TableParagraph"/>
              <w:ind w:left="265"/>
              <w:rPr>
                <w:sz w:val="20"/>
              </w:rPr>
            </w:pPr>
            <w:r>
              <w:rPr>
                <w:sz w:val="20"/>
              </w:rPr>
              <w:t>右肩關節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99"/>
              <w:ind w:left="616" w:right="586"/>
              <w:jc w:val="center"/>
              <w:rPr>
                <w:sz w:val="20"/>
              </w:rPr>
            </w:pPr>
            <w:r>
              <w:rPr>
                <w:w w:val="95"/>
                <w:sz w:val="20"/>
              </w:rPr>
              <w:t>前舉</w:t>
            </w:r>
          </w:p>
          <w:p>
            <w:pPr>
              <w:pStyle w:val="TableParagraph"/>
              <w:spacing w:before="3"/>
              <w:ind w:left="615" w:right="589"/>
              <w:jc w:val="center"/>
              <w:rPr>
                <w:sz w:val="20"/>
              </w:rPr>
            </w:pPr>
            <w:r>
              <w:rPr>
                <w:sz w:val="20"/>
              </w:rPr>
              <w:t>(正常180度)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99"/>
              <w:ind w:left="616" w:right="587"/>
              <w:jc w:val="center"/>
              <w:rPr>
                <w:sz w:val="20"/>
              </w:rPr>
            </w:pPr>
            <w:r>
              <w:rPr>
                <w:w w:val="95"/>
                <w:sz w:val="20"/>
              </w:rPr>
              <w:t>後舉</w:t>
            </w:r>
          </w:p>
          <w:p>
            <w:pPr>
              <w:pStyle w:val="TableParagraph"/>
              <w:spacing w:before="3"/>
              <w:ind w:left="616" w:right="588"/>
              <w:jc w:val="center"/>
              <w:rPr>
                <w:sz w:val="20"/>
              </w:rPr>
            </w:pPr>
            <w:r>
              <w:rPr>
                <w:sz w:val="20"/>
              </w:rPr>
              <w:t>(正常60度)</w:t>
            </w:r>
          </w:p>
        </w:tc>
        <w:tc>
          <w:tcPr>
            <w:tcW w:w="2365" w:type="dxa"/>
            <w:tcBorders>
              <w:top w:val="single" w:sz="6" w:space="0" w:color="000000"/>
              <w:left w:val="single" w:sz="6" w:space="0" w:color="000000"/>
              <w:bottom w:val="single" w:sz="6" w:space="0" w:color="000000"/>
            </w:tcBorders>
          </w:tcPr>
          <w:p>
            <w:pPr>
              <w:pStyle w:val="TableParagraph"/>
              <w:spacing w:before="99"/>
              <w:ind w:left="516" w:right="481"/>
              <w:jc w:val="center"/>
              <w:rPr>
                <w:sz w:val="20"/>
              </w:rPr>
            </w:pPr>
            <w:r>
              <w:rPr>
                <w:sz w:val="20"/>
              </w:rPr>
              <w:t>關節活動度</w:t>
            </w:r>
          </w:p>
          <w:p>
            <w:pPr>
              <w:pStyle w:val="TableParagraph"/>
              <w:spacing w:before="3"/>
              <w:ind w:left="517" w:right="481"/>
              <w:jc w:val="center"/>
              <w:rPr>
                <w:sz w:val="20"/>
              </w:rPr>
            </w:pPr>
            <w:r>
              <w:rPr>
                <w:sz w:val="20"/>
              </w:rPr>
              <w:t>（正常240度）</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
              <w:rPr>
                <w:sz w:val="18"/>
              </w:rPr>
            </w:pPr>
          </w:p>
          <w:p>
            <w:pPr>
              <w:pStyle w:val="TableParagraph"/>
              <w:ind w:left="265"/>
              <w:rPr>
                <w:sz w:val="20"/>
              </w:rPr>
            </w:pPr>
            <w:r>
              <w:rPr>
                <w:sz w:val="20"/>
              </w:rPr>
              <w:t>左肘關節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99"/>
              <w:ind w:left="616" w:right="586"/>
              <w:jc w:val="center"/>
              <w:rPr>
                <w:sz w:val="20"/>
              </w:rPr>
            </w:pPr>
            <w:r>
              <w:rPr>
                <w:w w:val="95"/>
                <w:sz w:val="20"/>
              </w:rPr>
              <w:t>屈曲</w:t>
            </w:r>
          </w:p>
          <w:p>
            <w:pPr>
              <w:pStyle w:val="TableParagraph"/>
              <w:spacing w:before="6"/>
              <w:ind w:left="615" w:right="589"/>
              <w:jc w:val="center"/>
              <w:rPr>
                <w:sz w:val="20"/>
              </w:rPr>
            </w:pPr>
            <w:r>
              <w:rPr>
                <w:sz w:val="20"/>
              </w:rPr>
              <w:t>(正常145度)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99"/>
              <w:ind w:left="616" w:right="587"/>
              <w:jc w:val="center"/>
              <w:rPr>
                <w:sz w:val="20"/>
              </w:rPr>
            </w:pPr>
            <w:r>
              <w:rPr>
                <w:w w:val="95"/>
                <w:sz w:val="20"/>
              </w:rPr>
              <w:t>伸展</w:t>
            </w:r>
          </w:p>
          <w:p>
            <w:pPr>
              <w:pStyle w:val="TableParagraph"/>
              <w:spacing w:before="6"/>
              <w:ind w:left="616" w:right="588"/>
              <w:jc w:val="center"/>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99"/>
              <w:ind w:left="516" w:right="481"/>
              <w:jc w:val="center"/>
              <w:rPr>
                <w:sz w:val="20"/>
              </w:rPr>
            </w:pPr>
            <w:r>
              <w:rPr>
                <w:sz w:val="20"/>
              </w:rPr>
              <w:t>關節活動度</w:t>
            </w:r>
          </w:p>
          <w:p>
            <w:pPr>
              <w:pStyle w:val="TableParagraph"/>
              <w:spacing w:before="6"/>
              <w:ind w:left="517" w:right="481"/>
              <w:jc w:val="center"/>
              <w:rPr>
                <w:sz w:val="20"/>
              </w:rPr>
            </w:pPr>
            <w:r>
              <w:rPr>
                <w:sz w:val="20"/>
              </w:rPr>
              <w:t>（正常145度）</w:t>
            </w:r>
          </w:p>
        </w:tc>
      </w:tr>
      <w:tr>
        <w:trPr>
          <w:trHeight w:val="666" w:hRule="atLeast"/>
        </w:trPr>
        <w:tc>
          <w:tcPr>
            <w:tcW w:w="1334" w:type="dxa"/>
            <w:tcBorders>
              <w:top w:val="single" w:sz="6" w:space="0" w:color="000000"/>
              <w:bottom w:val="single" w:sz="6" w:space="0" w:color="000000"/>
              <w:right w:val="single" w:sz="6" w:space="0" w:color="000000"/>
            </w:tcBorders>
          </w:tcPr>
          <w:p>
            <w:pPr>
              <w:pStyle w:val="TableParagraph"/>
              <w:spacing w:before="1"/>
              <w:rPr>
                <w:sz w:val="18"/>
              </w:rPr>
            </w:pPr>
          </w:p>
          <w:p>
            <w:pPr>
              <w:pStyle w:val="TableParagraph"/>
              <w:ind w:left="265"/>
              <w:rPr>
                <w:sz w:val="20"/>
              </w:rPr>
            </w:pPr>
            <w:r>
              <w:rPr>
                <w:sz w:val="20"/>
              </w:rPr>
              <w:t>右肘關節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2"/>
              <w:ind w:left="616" w:right="586"/>
              <w:jc w:val="center"/>
              <w:rPr>
                <w:sz w:val="20"/>
              </w:rPr>
            </w:pPr>
            <w:r>
              <w:rPr>
                <w:w w:val="95"/>
                <w:sz w:val="20"/>
              </w:rPr>
              <w:t>屈曲</w:t>
            </w:r>
          </w:p>
          <w:p>
            <w:pPr>
              <w:pStyle w:val="TableParagraph"/>
              <w:spacing w:before="3"/>
              <w:ind w:left="615" w:right="589"/>
              <w:jc w:val="center"/>
              <w:rPr>
                <w:sz w:val="20"/>
              </w:rPr>
            </w:pPr>
            <w:r>
              <w:rPr>
                <w:sz w:val="20"/>
              </w:rPr>
              <w:t>(正常145度)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2"/>
              <w:ind w:left="616" w:right="587"/>
              <w:jc w:val="center"/>
              <w:rPr>
                <w:sz w:val="20"/>
              </w:rPr>
            </w:pPr>
            <w:r>
              <w:rPr>
                <w:w w:val="95"/>
                <w:sz w:val="20"/>
              </w:rPr>
              <w:t>伸展</w:t>
            </w:r>
          </w:p>
          <w:p>
            <w:pPr>
              <w:pStyle w:val="TableParagraph"/>
              <w:spacing w:before="3"/>
              <w:ind w:left="616" w:right="588"/>
              <w:jc w:val="center"/>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102"/>
              <w:ind w:left="516" w:right="481"/>
              <w:jc w:val="center"/>
              <w:rPr>
                <w:sz w:val="20"/>
              </w:rPr>
            </w:pPr>
            <w:r>
              <w:rPr>
                <w:sz w:val="20"/>
              </w:rPr>
              <w:t>關節活動度</w:t>
            </w:r>
          </w:p>
          <w:p>
            <w:pPr>
              <w:pStyle w:val="TableParagraph"/>
              <w:spacing w:before="3"/>
              <w:ind w:left="517" w:right="481"/>
              <w:jc w:val="center"/>
              <w:rPr>
                <w:sz w:val="20"/>
              </w:rPr>
            </w:pPr>
            <w:r>
              <w:rPr>
                <w:sz w:val="20"/>
              </w:rPr>
              <w:t>（正常145度）</w:t>
            </w:r>
          </w:p>
        </w:tc>
      </w:tr>
      <w:tr>
        <w:trPr>
          <w:trHeight w:val="664" w:hRule="atLeast"/>
        </w:trPr>
        <w:tc>
          <w:tcPr>
            <w:tcW w:w="1334" w:type="dxa"/>
            <w:tcBorders>
              <w:top w:val="single" w:sz="6" w:space="0" w:color="000000"/>
              <w:bottom w:val="single" w:sz="6" w:space="0" w:color="000000"/>
              <w:right w:val="single" w:sz="6" w:space="0" w:color="000000"/>
            </w:tcBorders>
          </w:tcPr>
          <w:p>
            <w:pPr>
              <w:pStyle w:val="TableParagraph"/>
              <w:spacing w:before="11"/>
              <w:rPr>
                <w:sz w:val="17"/>
              </w:rPr>
            </w:pPr>
          </w:p>
          <w:p>
            <w:pPr>
              <w:pStyle w:val="TableParagraph"/>
              <w:ind w:left="265"/>
              <w:rPr>
                <w:sz w:val="20"/>
              </w:rPr>
            </w:pPr>
            <w:r>
              <w:rPr>
                <w:sz w:val="20"/>
              </w:rPr>
              <w:t>左腕關節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99"/>
              <w:ind w:left="616" w:right="586"/>
              <w:jc w:val="center"/>
              <w:rPr>
                <w:sz w:val="20"/>
              </w:rPr>
            </w:pPr>
            <w:r>
              <w:rPr>
                <w:w w:val="95"/>
                <w:sz w:val="20"/>
              </w:rPr>
              <w:t>掌屈</w:t>
            </w:r>
          </w:p>
          <w:p>
            <w:pPr>
              <w:pStyle w:val="TableParagraph"/>
              <w:spacing w:before="3"/>
              <w:ind w:left="616" w:right="588"/>
              <w:jc w:val="center"/>
              <w:rPr>
                <w:sz w:val="20"/>
              </w:rPr>
            </w:pPr>
            <w:r>
              <w:rPr>
                <w:sz w:val="20"/>
              </w:rPr>
              <w:t>(正常80度)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99"/>
              <w:ind w:left="616" w:right="587"/>
              <w:jc w:val="center"/>
              <w:rPr>
                <w:sz w:val="20"/>
              </w:rPr>
            </w:pPr>
            <w:r>
              <w:rPr>
                <w:w w:val="95"/>
                <w:sz w:val="20"/>
              </w:rPr>
              <w:t>背屈</w:t>
            </w:r>
          </w:p>
          <w:p>
            <w:pPr>
              <w:pStyle w:val="TableParagraph"/>
              <w:spacing w:before="3"/>
              <w:ind w:left="616" w:right="588"/>
              <w:jc w:val="center"/>
              <w:rPr>
                <w:sz w:val="20"/>
              </w:rPr>
            </w:pPr>
            <w:r>
              <w:rPr>
                <w:sz w:val="20"/>
              </w:rPr>
              <w:t>(正常70度)</w:t>
            </w:r>
          </w:p>
        </w:tc>
        <w:tc>
          <w:tcPr>
            <w:tcW w:w="2365" w:type="dxa"/>
            <w:tcBorders>
              <w:top w:val="single" w:sz="6" w:space="0" w:color="000000"/>
              <w:left w:val="single" w:sz="6" w:space="0" w:color="000000"/>
              <w:bottom w:val="single" w:sz="6" w:space="0" w:color="000000"/>
            </w:tcBorders>
          </w:tcPr>
          <w:p>
            <w:pPr>
              <w:pStyle w:val="TableParagraph"/>
              <w:spacing w:before="99"/>
              <w:ind w:left="516" w:right="481"/>
              <w:jc w:val="center"/>
              <w:rPr>
                <w:sz w:val="20"/>
              </w:rPr>
            </w:pPr>
            <w:r>
              <w:rPr>
                <w:sz w:val="20"/>
              </w:rPr>
              <w:t>關節活動度</w:t>
            </w:r>
          </w:p>
          <w:p>
            <w:pPr>
              <w:pStyle w:val="TableParagraph"/>
              <w:spacing w:before="3"/>
              <w:ind w:left="517" w:right="481"/>
              <w:jc w:val="center"/>
              <w:rPr>
                <w:sz w:val="20"/>
              </w:rPr>
            </w:pPr>
            <w:r>
              <w:rPr>
                <w:sz w:val="20"/>
              </w:rPr>
              <w:t>（正常150度）</w:t>
            </w:r>
          </w:p>
        </w:tc>
      </w:tr>
      <w:tr>
        <w:trPr>
          <w:trHeight w:val="663" w:hRule="atLeast"/>
        </w:trPr>
        <w:tc>
          <w:tcPr>
            <w:tcW w:w="1334" w:type="dxa"/>
            <w:tcBorders>
              <w:top w:val="single" w:sz="6" w:space="0" w:color="000000"/>
              <w:right w:val="single" w:sz="6" w:space="0" w:color="000000"/>
            </w:tcBorders>
          </w:tcPr>
          <w:p>
            <w:pPr>
              <w:pStyle w:val="TableParagraph"/>
              <w:spacing w:before="1"/>
              <w:rPr>
                <w:sz w:val="18"/>
              </w:rPr>
            </w:pPr>
          </w:p>
          <w:p>
            <w:pPr>
              <w:pStyle w:val="TableParagraph"/>
              <w:ind w:left="265"/>
              <w:rPr>
                <w:sz w:val="20"/>
              </w:rPr>
            </w:pPr>
            <w:r>
              <w:rPr>
                <w:sz w:val="20"/>
              </w:rPr>
              <w:t>右腕關節</w:t>
            </w:r>
          </w:p>
        </w:tc>
        <w:tc>
          <w:tcPr>
            <w:tcW w:w="2362" w:type="dxa"/>
            <w:tcBorders>
              <w:top w:val="single" w:sz="6" w:space="0" w:color="000000"/>
              <w:left w:val="single" w:sz="6" w:space="0" w:color="000000"/>
              <w:right w:val="single" w:sz="6" w:space="0" w:color="000000"/>
            </w:tcBorders>
          </w:tcPr>
          <w:p>
            <w:pPr>
              <w:pStyle w:val="TableParagraph"/>
              <w:spacing w:before="99"/>
              <w:ind w:left="616" w:right="586"/>
              <w:jc w:val="center"/>
              <w:rPr>
                <w:sz w:val="20"/>
              </w:rPr>
            </w:pPr>
            <w:r>
              <w:rPr>
                <w:w w:val="95"/>
                <w:sz w:val="20"/>
              </w:rPr>
              <w:t>掌屈</w:t>
            </w:r>
          </w:p>
          <w:p>
            <w:pPr>
              <w:pStyle w:val="TableParagraph"/>
              <w:spacing w:before="6"/>
              <w:ind w:left="616" w:right="588"/>
              <w:jc w:val="center"/>
              <w:rPr>
                <w:sz w:val="20"/>
              </w:rPr>
            </w:pPr>
            <w:r>
              <w:rPr>
                <w:sz w:val="20"/>
              </w:rPr>
              <w:t>(正常80度)</w:t>
            </w:r>
          </w:p>
        </w:tc>
        <w:tc>
          <w:tcPr>
            <w:tcW w:w="2362" w:type="dxa"/>
            <w:tcBorders>
              <w:top w:val="single" w:sz="6" w:space="0" w:color="000000"/>
              <w:left w:val="single" w:sz="6" w:space="0" w:color="000000"/>
              <w:right w:val="single" w:sz="6" w:space="0" w:color="000000"/>
            </w:tcBorders>
          </w:tcPr>
          <w:p>
            <w:pPr>
              <w:pStyle w:val="TableParagraph"/>
              <w:spacing w:before="99"/>
              <w:ind w:left="616" w:right="587"/>
              <w:jc w:val="center"/>
              <w:rPr>
                <w:sz w:val="20"/>
              </w:rPr>
            </w:pPr>
            <w:r>
              <w:rPr>
                <w:w w:val="95"/>
                <w:sz w:val="20"/>
              </w:rPr>
              <w:t>背屈</w:t>
            </w:r>
          </w:p>
          <w:p>
            <w:pPr>
              <w:pStyle w:val="TableParagraph"/>
              <w:spacing w:before="6"/>
              <w:ind w:left="616" w:right="588"/>
              <w:jc w:val="center"/>
              <w:rPr>
                <w:sz w:val="20"/>
              </w:rPr>
            </w:pPr>
            <w:r>
              <w:rPr>
                <w:sz w:val="20"/>
              </w:rPr>
              <w:t>(正常70度)</w:t>
            </w:r>
          </w:p>
        </w:tc>
        <w:tc>
          <w:tcPr>
            <w:tcW w:w="2365" w:type="dxa"/>
            <w:tcBorders>
              <w:top w:val="single" w:sz="6" w:space="0" w:color="000000"/>
              <w:left w:val="single" w:sz="6" w:space="0" w:color="000000"/>
            </w:tcBorders>
          </w:tcPr>
          <w:p>
            <w:pPr>
              <w:pStyle w:val="TableParagraph"/>
              <w:spacing w:before="99"/>
              <w:ind w:left="516" w:right="481"/>
              <w:jc w:val="center"/>
              <w:rPr>
                <w:sz w:val="20"/>
              </w:rPr>
            </w:pPr>
            <w:r>
              <w:rPr>
                <w:sz w:val="20"/>
              </w:rPr>
              <w:t>關節活動度</w:t>
            </w:r>
          </w:p>
          <w:p>
            <w:pPr>
              <w:pStyle w:val="TableParagraph"/>
              <w:spacing w:before="6"/>
              <w:ind w:left="517" w:right="481"/>
              <w:jc w:val="center"/>
              <w:rPr>
                <w:sz w:val="20"/>
              </w:rPr>
            </w:pPr>
            <w:r>
              <w:rPr>
                <w:sz w:val="20"/>
              </w:rPr>
              <w:t>（正常150度）</w:t>
            </w:r>
          </w:p>
        </w:tc>
      </w:tr>
    </w:tbl>
    <w:p>
      <w:pPr>
        <w:pStyle w:val="BodyText"/>
      </w:pPr>
      <w:r>
        <w:rPr/>
        <w:t>下肢：</w:t>
      </w:r>
    </w:p>
    <w:tbl>
      <w:tblPr>
        <w:tblW w:w="0" w:type="auto"/>
        <w:jc w:val="left"/>
        <w:tblInd w:w="8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2362"/>
        <w:gridCol w:w="2362"/>
        <w:gridCol w:w="2365"/>
      </w:tblGrid>
      <w:tr>
        <w:trPr>
          <w:trHeight w:val="649" w:hRule="atLeast"/>
        </w:trPr>
        <w:tc>
          <w:tcPr>
            <w:tcW w:w="1277" w:type="dxa"/>
            <w:tcBorders>
              <w:bottom w:val="single" w:sz="6" w:space="0" w:color="000000"/>
              <w:right w:val="single" w:sz="6" w:space="0" w:color="000000"/>
            </w:tcBorders>
          </w:tcPr>
          <w:p>
            <w:pPr>
              <w:pStyle w:val="TableParagraph"/>
              <w:spacing w:before="179"/>
              <w:ind w:left="218" w:right="195"/>
              <w:jc w:val="center"/>
              <w:rPr>
                <w:sz w:val="20"/>
              </w:rPr>
            </w:pPr>
            <w:r>
              <w:rPr>
                <w:sz w:val="20"/>
              </w:rPr>
              <w:t>左髖關節</w:t>
            </w:r>
          </w:p>
        </w:tc>
        <w:tc>
          <w:tcPr>
            <w:tcW w:w="2362" w:type="dxa"/>
            <w:tcBorders>
              <w:left w:val="single" w:sz="6" w:space="0" w:color="000000"/>
              <w:bottom w:val="single" w:sz="6" w:space="0" w:color="000000"/>
              <w:right w:val="single" w:sz="6" w:space="0" w:color="000000"/>
            </w:tcBorders>
          </w:tcPr>
          <w:p>
            <w:pPr>
              <w:pStyle w:val="TableParagraph"/>
              <w:spacing w:before="50"/>
              <w:ind w:left="616" w:right="583"/>
              <w:jc w:val="center"/>
              <w:rPr>
                <w:sz w:val="20"/>
              </w:rPr>
            </w:pPr>
            <w:r>
              <w:rPr>
                <w:w w:val="95"/>
                <w:sz w:val="20"/>
              </w:rPr>
              <w:t>屈曲</w:t>
            </w:r>
          </w:p>
          <w:p>
            <w:pPr>
              <w:pStyle w:val="TableParagraph"/>
              <w:spacing w:before="3"/>
              <w:ind w:left="616" w:right="587"/>
              <w:jc w:val="center"/>
              <w:rPr>
                <w:sz w:val="20"/>
              </w:rPr>
            </w:pPr>
            <w:r>
              <w:rPr>
                <w:sz w:val="20"/>
              </w:rPr>
              <w:t>(正常125度)</w:t>
            </w:r>
          </w:p>
        </w:tc>
        <w:tc>
          <w:tcPr>
            <w:tcW w:w="2362" w:type="dxa"/>
            <w:tcBorders>
              <w:left w:val="single" w:sz="6" w:space="0" w:color="000000"/>
              <w:bottom w:val="single" w:sz="6" w:space="0" w:color="000000"/>
              <w:right w:val="single" w:sz="6" w:space="0" w:color="000000"/>
            </w:tcBorders>
          </w:tcPr>
          <w:p>
            <w:pPr>
              <w:pStyle w:val="TableParagraph"/>
              <w:spacing w:before="50"/>
              <w:ind w:left="616" w:right="579"/>
              <w:jc w:val="center"/>
              <w:rPr>
                <w:sz w:val="20"/>
              </w:rPr>
            </w:pPr>
            <w:r>
              <w:rPr>
                <w:w w:val="95"/>
                <w:sz w:val="20"/>
              </w:rPr>
              <w:t>伸展</w:t>
            </w:r>
          </w:p>
          <w:p>
            <w:pPr>
              <w:pStyle w:val="TableParagraph"/>
              <w:spacing w:before="3"/>
              <w:ind w:left="616" w:right="579"/>
              <w:jc w:val="center"/>
              <w:rPr>
                <w:sz w:val="20"/>
              </w:rPr>
            </w:pPr>
            <w:r>
              <w:rPr>
                <w:sz w:val="20"/>
              </w:rPr>
              <w:t>(正常10度)</w:t>
            </w:r>
          </w:p>
        </w:tc>
        <w:tc>
          <w:tcPr>
            <w:tcW w:w="2365" w:type="dxa"/>
            <w:tcBorders>
              <w:left w:val="single" w:sz="6" w:space="0" w:color="000000"/>
              <w:bottom w:val="single" w:sz="6" w:space="0" w:color="000000"/>
            </w:tcBorders>
          </w:tcPr>
          <w:p>
            <w:pPr>
              <w:pStyle w:val="TableParagraph"/>
              <w:spacing w:before="50"/>
              <w:ind w:left="519" w:right="480"/>
              <w:jc w:val="center"/>
              <w:rPr>
                <w:sz w:val="20"/>
              </w:rPr>
            </w:pPr>
            <w:r>
              <w:rPr>
                <w:sz w:val="20"/>
              </w:rPr>
              <w:t>關節活動度</w:t>
            </w:r>
          </w:p>
          <w:p>
            <w:pPr>
              <w:pStyle w:val="TableParagraph"/>
              <w:spacing w:before="3"/>
              <w:ind w:left="519" w:right="480"/>
              <w:jc w:val="center"/>
              <w:rPr>
                <w:sz w:val="20"/>
              </w:rPr>
            </w:pPr>
            <w:r>
              <w:rPr>
                <w:sz w:val="20"/>
              </w:rPr>
              <w:t>（正常135度）</w:t>
            </w:r>
          </w:p>
        </w:tc>
      </w:tr>
      <w:tr>
        <w:trPr>
          <w:trHeight w:val="666" w:hRule="atLeast"/>
        </w:trPr>
        <w:tc>
          <w:tcPr>
            <w:tcW w:w="1277" w:type="dxa"/>
            <w:tcBorders>
              <w:top w:val="single" w:sz="6" w:space="0" w:color="000000"/>
              <w:bottom w:val="single" w:sz="6" w:space="0" w:color="000000"/>
              <w:right w:val="single" w:sz="6" w:space="0" w:color="000000"/>
            </w:tcBorders>
          </w:tcPr>
          <w:p>
            <w:pPr>
              <w:pStyle w:val="TableParagraph"/>
              <w:spacing w:before="7"/>
              <w:rPr>
                <w:sz w:val="14"/>
              </w:rPr>
            </w:pPr>
          </w:p>
          <w:p>
            <w:pPr>
              <w:pStyle w:val="TableParagraph"/>
              <w:spacing w:before="1"/>
              <w:ind w:left="218" w:right="195"/>
              <w:jc w:val="center"/>
              <w:rPr>
                <w:sz w:val="20"/>
              </w:rPr>
            </w:pPr>
            <w:r>
              <w:rPr>
                <w:sz w:val="20"/>
              </w:rPr>
              <w:t>右髖關節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57"/>
              <w:ind w:left="616" w:right="583"/>
              <w:jc w:val="center"/>
              <w:rPr>
                <w:sz w:val="20"/>
              </w:rPr>
            </w:pPr>
            <w:r>
              <w:rPr>
                <w:w w:val="95"/>
                <w:sz w:val="20"/>
              </w:rPr>
              <w:t>屈曲</w:t>
            </w:r>
          </w:p>
          <w:p>
            <w:pPr>
              <w:pStyle w:val="TableParagraph"/>
              <w:spacing w:before="3"/>
              <w:ind w:left="616" w:right="587"/>
              <w:jc w:val="center"/>
              <w:rPr>
                <w:sz w:val="20"/>
              </w:rPr>
            </w:pPr>
            <w:r>
              <w:rPr>
                <w:sz w:val="20"/>
              </w:rPr>
              <w:t>(正常125度)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57"/>
              <w:ind w:left="616" w:right="579"/>
              <w:jc w:val="center"/>
              <w:rPr>
                <w:sz w:val="20"/>
              </w:rPr>
            </w:pPr>
            <w:r>
              <w:rPr>
                <w:w w:val="95"/>
                <w:sz w:val="20"/>
              </w:rPr>
              <w:t>伸展</w:t>
            </w:r>
          </w:p>
          <w:p>
            <w:pPr>
              <w:pStyle w:val="TableParagraph"/>
              <w:spacing w:before="3"/>
              <w:ind w:left="616" w:right="579"/>
              <w:jc w:val="center"/>
              <w:rPr>
                <w:sz w:val="20"/>
              </w:rPr>
            </w:pPr>
            <w:r>
              <w:rPr>
                <w:sz w:val="20"/>
              </w:rPr>
              <w:t>(正常10度)</w:t>
            </w:r>
          </w:p>
        </w:tc>
        <w:tc>
          <w:tcPr>
            <w:tcW w:w="2365" w:type="dxa"/>
            <w:tcBorders>
              <w:top w:val="single" w:sz="6" w:space="0" w:color="000000"/>
              <w:left w:val="single" w:sz="6" w:space="0" w:color="000000"/>
              <w:bottom w:val="single" w:sz="6" w:space="0" w:color="000000"/>
            </w:tcBorders>
          </w:tcPr>
          <w:p>
            <w:pPr>
              <w:pStyle w:val="TableParagraph"/>
              <w:spacing w:before="57"/>
              <w:ind w:left="519" w:right="480"/>
              <w:jc w:val="center"/>
              <w:rPr>
                <w:sz w:val="20"/>
              </w:rPr>
            </w:pPr>
            <w:r>
              <w:rPr>
                <w:sz w:val="20"/>
              </w:rPr>
              <w:t>關節活動度</w:t>
            </w:r>
          </w:p>
          <w:p>
            <w:pPr>
              <w:pStyle w:val="TableParagraph"/>
              <w:spacing w:before="3"/>
              <w:ind w:left="519" w:right="480"/>
              <w:jc w:val="center"/>
              <w:rPr>
                <w:sz w:val="20"/>
              </w:rPr>
            </w:pPr>
            <w:r>
              <w:rPr>
                <w:sz w:val="20"/>
              </w:rPr>
              <w:t>（正常135度）</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5"/>
              <w:rPr>
                <w:sz w:val="14"/>
              </w:rPr>
            </w:pPr>
          </w:p>
          <w:p>
            <w:pPr>
              <w:pStyle w:val="TableParagraph"/>
              <w:ind w:left="218" w:right="195"/>
              <w:jc w:val="center"/>
              <w:rPr>
                <w:sz w:val="20"/>
              </w:rPr>
            </w:pPr>
            <w:r>
              <w:rPr>
                <w:sz w:val="20"/>
              </w:rPr>
              <w:t>左膝關節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55"/>
              <w:ind w:left="616" w:right="583"/>
              <w:jc w:val="center"/>
              <w:rPr>
                <w:sz w:val="20"/>
              </w:rPr>
            </w:pPr>
            <w:r>
              <w:rPr>
                <w:w w:val="95"/>
                <w:sz w:val="20"/>
              </w:rPr>
              <w:t>屈曲</w:t>
            </w:r>
          </w:p>
          <w:p>
            <w:pPr>
              <w:pStyle w:val="TableParagraph"/>
              <w:spacing w:before="3"/>
              <w:ind w:left="616" w:right="587"/>
              <w:jc w:val="center"/>
              <w:rPr>
                <w:sz w:val="20"/>
              </w:rPr>
            </w:pPr>
            <w:r>
              <w:rPr>
                <w:sz w:val="20"/>
              </w:rPr>
              <w:t>(正常140度)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55"/>
              <w:ind w:left="616" w:right="579"/>
              <w:jc w:val="center"/>
              <w:rPr>
                <w:sz w:val="20"/>
              </w:rPr>
            </w:pPr>
            <w:r>
              <w:rPr>
                <w:w w:val="95"/>
                <w:sz w:val="20"/>
              </w:rPr>
              <w:t>伸展</w:t>
            </w:r>
          </w:p>
          <w:p>
            <w:pPr>
              <w:pStyle w:val="TableParagraph"/>
              <w:spacing w:before="3"/>
              <w:ind w:left="616" w:right="579"/>
              <w:jc w:val="center"/>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55"/>
              <w:ind w:left="519" w:right="480"/>
              <w:jc w:val="center"/>
              <w:rPr>
                <w:sz w:val="20"/>
              </w:rPr>
            </w:pPr>
            <w:r>
              <w:rPr>
                <w:sz w:val="20"/>
              </w:rPr>
              <w:t>關節活動度</w:t>
            </w:r>
          </w:p>
          <w:p>
            <w:pPr>
              <w:pStyle w:val="TableParagraph"/>
              <w:spacing w:before="3"/>
              <w:ind w:left="519" w:right="480"/>
              <w:jc w:val="center"/>
              <w:rPr>
                <w:sz w:val="20"/>
              </w:rPr>
            </w:pPr>
            <w:r>
              <w:rPr>
                <w:sz w:val="20"/>
              </w:rPr>
              <w:t>（正常140度）</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7"/>
              <w:rPr>
                <w:sz w:val="14"/>
              </w:rPr>
            </w:pPr>
          </w:p>
          <w:p>
            <w:pPr>
              <w:pStyle w:val="TableParagraph"/>
              <w:spacing w:before="1"/>
              <w:ind w:left="218" w:right="195"/>
              <w:jc w:val="center"/>
              <w:rPr>
                <w:sz w:val="20"/>
              </w:rPr>
            </w:pPr>
            <w:r>
              <w:rPr>
                <w:sz w:val="20"/>
              </w:rPr>
              <w:t>右膝關節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55"/>
              <w:ind w:left="616" w:right="583"/>
              <w:jc w:val="center"/>
              <w:rPr>
                <w:sz w:val="20"/>
              </w:rPr>
            </w:pPr>
            <w:r>
              <w:rPr>
                <w:w w:val="95"/>
                <w:sz w:val="20"/>
              </w:rPr>
              <w:t>屈曲</w:t>
            </w:r>
          </w:p>
          <w:p>
            <w:pPr>
              <w:pStyle w:val="TableParagraph"/>
              <w:spacing w:before="5"/>
              <w:ind w:left="616" w:right="587"/>
              <w:jc w:val="center"/>
              <w:rPr>
                <w:sz w:val="20"/>
              </w:rPr>
            </w:pPr>
            <w:r>
              <w:rPr>
                <w:sz w:val="20"/>
              </w:rPr>
              <w:t>(正常140度)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55"/>
              <w:ind w:left="616" w:right="579"/>
              <w:jc w:val="center"/>
              <w:rPr>
                <w:sz w:val="20"/>
              </w:rPr>
            </w:pPr>
            <w:r>
              <w:rPr>
                <w:w w:val="95"/>
                <w:sz w:val="20"/>
              </w:rPr>
              <w:t>伸展</w:t>
            </w:r>
          </w:p>
          <w:p>
            <w:pPr>
              <w:pStyle w:val="TableParagraph"/>
              <w:spacing w:before="5"/>
              <w:ind w:left="616" w:right="579"/>
              <w:jc w:val="center"/>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55"/>
              <w:ind w:left="519" w:right="480"/>
              <w:jc w:val="center"/>
              <w:rPr>
                <w:sz w:val="20"/>
              </w:rPr>
            </w:pPr>
            <w:r>
              <w:rPr>
                <w:sz w:val="20"/>
              </w:rPr>
              <w:t>關節活動度</w:t>
            </w:r>
          </w:p>
          <w:p>
            <w:pPr>
              <w:pStyle w:val="TableParagraph"/>
              <w:spacing w:before="5"/>
              <w:ind w:left="519" w:right="480"/>
              <w:jc w:val="center"/>
              <w:rPr>
                <w:sz w:val="20"/>
              </w:rPr>
            </w:pPr>
            <w:r>
              <w:rPr>
                <w:sz w:val="20"/>
              </w:rPr>
              <w:t>（正常140度）</w:t>
            </w:r>
          </w:p>
        </w:tc>
      </w:tr>
      <w:tr>
        <w:trPr>
          <w:trHeight w:val="666" w:hRule="atLeast"/>
        </w:trPr>
        <w:tc>
          <w:tcPr>
            <w:tcW w:w="1277" w:type="dxa"/>
            <w:tcBorders>
              <w:top w:val="single" w:sz="6" w:space="0" w:color="000000"/>
              <w:bottom w:val="single" w:sz="6" w:space="0" w:color="000000"/>
              <w:right w:val="single" w:sz="6" w:space="0" w:color="000000"/>
            </w:tcBorders>
          </w:tcPr>
          <w:p>
            <w:pPr>
              <w:pStyle w:val="TableParagraph"/>
              <w:spacing w:before="8"/>
              <w:rPr>
                <w:sz w:val="14"/>
              </w:rPr>
            </w:pPr>
          </w:p>
          <w:p>
            <w:pPr>
              <w:pStyle w:val="TableParagraph"/>
              <w:ind w:left="218" w:right="195"/>
              <w:jc w:val="center"/>
              <w:rPr>
                <w:sz w:val="20"/>
              </w:rPr>
            </w:pPr>
            <w:r>
              <w:rPr>
                <w:sz w:val="20"/>
              </w:rPr>
              <w:t>左踝關節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58"/>
              <w:ind w:left="616" w:right="583"/>
              <w:jc w:val="center"/>
              <w:rPr>
                <w:sz w:val="20"/>
              </w:rPr>
            </w:pPr>
            <w:r>
              <w:rPr>
                <w:w w:val="95"/>
                <w:sz w:val="20"/>
              </w:rPr>
              <w:t>蹠曲</w:t>
            </w:r>
          </w:p>
          <w:p>
            <w:pPr>
              <w:pStyle w:val="TableParagraph"/>
              <w:spacing w:before="2"/>
              <w:ind w:left="616" w:right="584"/>
              <w:jc w:val="center"/>
              <w:rPr>
                <w:sz w:val="20"/>
              </w:rPr>
            </w:pPr>
            <w:r>
              <w:rPr>
                <w:sz w:val="20"/>
              </w:rPr>
              <w:t>(正常45度)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58"/>
              <w:ind w:left="616" w:right="579"/>
              <w:jc w:val="center"/>
              <w:rPr>
                <w:sz w:val="20"/>
              </w:rPr>
            </w:pPr>
            <w:r>
              <w:rPr>
                <w:w w:val="95"/>
                <w:sz w:val="20"/>
              </w:rPr>
              <w:t>背屈</w:t>
            </w:r>
          </w:p>
          <w:p>
            <w:pPr>
              <w:pStyle w:val="TableParagraph"/>
              <w:spacing w:before="2"/>
              <w:ind w:left="616" w:right="579"/>
              <w:jc w:val="center"/>
              <w:rPr>
                <w:sz w:val="20"/>
              </w:rPr>
            </w:pPr>
            <w:r>
              <w:rPr>
                <w:sz w:val="20"/>
              </w:rPr>
              <w:t>(正常20度)</w:t>
            </w:r>
          </w:p>
        </w:tc>
        <w:tc>
          <w:tcPr>
            <w:tcW w:w="2365" w:type="dxa"/>
            <w:tcBorders>
              <w:top w:val="single" w:sz="6" w:space="0" w:color="000000"/>
              <w:left w:val="single" w:sz="6" w:space="0" w:color="000000"/>
              <w:bottom w:val="single" w:sz="6" w:space="0" w:color="000000"/>
            </w:tcBorders>
          </w:tcPr>
          <w:p>
            <w:pPr>
              <w:pStyle w:val="TableParagraph"/>
              <w:spacing w:before="58"/>
              <w:ind w:right="649"/>
              <w:jc w:val="right"/>
              <w:rPr>
                <w:sz w:val="20"/>
              </w:rPr>
            </w:pPr>
            <w:r>
              <w:rPr>
                <w:sz w:val="20"/>
              </w:rPr>
              <w:t>關節活動度</w:t>
            </w:r>
          </w:p>
          <w:p>
            <w:pPr>
              <w:pStyle w:val="TableParagraph"/>
              <w:spacing w:before="2"/>
              <w:ind w:right="550"/>
              <w:jc w:val="right"/>
              <w:rPr>
                <w:sz w:val="20"/>
              </w:rPr>
            </w:pPr>
            <w:r>
              <w:rPr>
                <w:sz w:val="20"/>
              </w:rPr>
              <w:t>（正常65度）</w:t>
            </w:r>
          </w:p>
        </w:tc>
      </w:tr>
      <w:tr>
        <w:trPr>
          <w:trHeight w:val="663" w:hRule="atLeast"/>
        </w:trPr>
        <w:tc>
          <w:tcPr>
            <w:tcW w:w="1277" w:type="dxa"/>
            <w:tcBorders>
              <w:top w:val="single" w:sz="6" w:space="0" w:color="000000"/>
              <w:right w:val="single" w:sz="6" w:space="0" w:color="000000"/>
            </w:tcBorders>
          </w:tcPr>
          <w:p>
            <w:pPr>
              <w:pStyle w:val="TableParagraph"/>
              <w:spacing w:before="5"/>
              <w:rPr>
                <w:sz w:val="14"/>
              </w:rPr>
            </w:pPr>
          </w:p>
          <w:p>
            <w:pPr>
              <w:pStyle w:val="TableParagraph"/>
              <w:ind w:left="218" w:right="195"/>
              <w:jc w:val="center"/>
              <w:rPr>
                <w:sz w:val="20"/>
              </w:rPr>
            </w:pPr>
            <w:r>
              <w:rPr>
                <w:sz w:val="20"/>
              </w:rPr>
              <w:t>右踝關節</w:t>
            </w:r>
          </w:p>
        </w:tc>
        <w:tc>
          <w:tcPr>
            <w:tcW w:w="2362" w:type="dxa"/>
            <w:tcBorders>
              <w:top w:val="single" w:sz="6" w:space="0" w:color="000000"/>
              <w:left w:val="single" w:sz="6" w:space="0" w:color="000000"/>
              <w:right w:val="single" w:sz="6" w:space="0" w:color="000000"/>
            </w:tcBorders>
          </w:tcPr>
          <w:p>
            <w:pPr>
              <w:pStyle w:val="TableParagraph"/>
              <w:spacing w:before="55"/>
              <w:ind w:left="616" w:right="583"/>
              <w:jc w:val="center"/>
              <w:rPr>
                <w:sz w:val="20"/>
              </w:rPr>
            </w:pPr>
            <w:r>
              <w:rPr>
                <w:w w:val="95"/>
                <w:sz w:val="20"/>
              </w:rPr>
              <w:t>蹠曲</w:t>
            </w:r>
          </w:p>
          <w:p>
            <w:pPr>
              <w:pStyle w:val="TableParagraph"/>
              <w:spacing w:before="3"/>
              <w:ind w:left="616" w:right="584"/>
              <w:jc w:val="center"/>
              <w:rPr>
                <w:sz w:val="20"/>
              </w:rPr>
            </w:pPr>
            <w:r>
              <w:rPr>
                <w:sz w:val="20"/>
              </w:rPr>
              <w:t>(正常45度)</w:t>
            </w:r>
          </w:p>
        </w:tc>
        <w:tc>
          <w:tcPr>
            <w:tcW w:w="2362" w:type="dxa"/>
            <w:tcBorders>
              <w:top w:val="single" w:sz="6" w:space="0" w:color="000000"/>
              <w:left w:val="single" w:sz="6" w:space="0" w:color="000000"/>
              <w:right w:val="single" w:sz="6" w:space="0" w:color="000000"/>
            </w:tcBorders>
          </w:tcPr>
          <w:p>
            <w:pPr>
              <w:pStyle w:val="TableParagraph"/>
              <w:spacing w:before="55"/>
              <w:ind w:left="616" w:right="579"/>
              <w:jc w:val="center"/>
              <w:rPr>
                <w:sz w:val="20"/>
              </w:rPr>
            </w:pPr>
            <w:r>
              <w:rPr>
                <w:w w:val="95"/>
                <w:sz w:val="20"/>
              </w:rPr>
              <w:t>背屈</w:t>
            </w:r>
          </w:p>
          <w:p>
            <w:pPr>
              <w:pStyle w:val="TableParagraph"/>
              <w:spacing w:before="3"/>
              <w:ind w:left="616" w:right="579"/>
              <w:jc w:val="center"/>
              <w:rPr>
                <w:sz w:val="20"/>
              </w:rPr>
            </w:pPr>
            <w:r>
              <w:rPr>
                <w:sz w:val="20"/>
              </w:rPr>
              <w:t>(正常20度)</w:t>
            </w:r>
          </w:p>
        </w:tc>
        <w:tc>
          <w:tcPr>
            <w:tcW w:w="2365" w:type="dxa"/>
            <w:tcBorders>
              <w:top w:val="single" w:sz="6" w:space="0" w:color="000000"/>
              <w:left w:val="single" w:sz="6" w:space="0" w:color="000000"/>
            </w:tcBorders>
          </w:tcPr>
          <w:p>
            <w:pPr>
              <w:pStyle w:val="TableParagraph"/>
              <w:spacing w:before="55"/>
              <w:ind w:right="649"/>
              <w:jc w:val="right"/>
              <w:rPr>
                <w:sz w:val="20"/>
              </w:rPr>
            </w:pPr>
            <w:r>
              <w:rPr>
                <w:sz w:val="20"/>
              </w:rPr>
              <w:t>關節活動度</w:t>
            </w:r>
          </w:p>
          <w:p>
            <w:pPr>
              <w:pStyle w:val="TableParagraph"/>
              <w:spacing w:before="3"/>
              <w:ind w:right="550"/>
              <w:jc w:val="right"/>
              <w:rPr>
                <w:sz w:val="20"/>
              </w:rPr>
            </w:pPr>
            <w:r>
              <w:rPr>
                <w:sz w:val="20"/>
              </w:rPr>
              <w:t>（正常65度）</w:t>
            </w:r>
          </w:p>
        </w:tc>
      </w:tr>
    </w:tbl>
    <w:p>
      <w:pPr>
        <w:pStyle w:val="BodyText"/>
        <w:spacing w:line="242" w:lineRule="exact"/>
      </w:pPr>
      <w:r>
        <w:rPr/>
        <w:t>若被保險人可證明其另一正常側之肢體關節活動度大於上述表定關節活動度時，則依其正常側之肢體關節活動</w:t>
      </w:r>
    </w:p>
    <w:p>
      <w:pPr>
        <w:pStyle w:val="BodyText"/>
        <w:spacing w:before="3"/>
      </w:pPr>
      <w:r>
        <w:rPr/>
        <w:t>度作為生理運動範圍之測定標準。</w:t>
      </w:r>
    </w:p>
    <w:p>
      <w:pPr>
        <w:spacing w:after="0"/>
        <w:sectPr>
          <w:pgSz w:w="11910" w:h="16840"/>
          <w:pgMar w:header="0" w:footer="775" w:top="1580" w:bottom="1040" w:left="980" w:right="920"/>
        </w:sectPr>
      </w:pPr>
    </w:p>
    <w:p>
      <w:pPr>
        <w:pStyle w:val="Heading1"/>
        <w:spacing w:line="310" w:lineRule="exact"/>
      </w:pPr>
      <w:r>
        <w:rPr/>
        <w:t>附件：短期費率表</w:t>
      </w:r>
    </w:p>
    <w:p>
      <w:pPr>
        <w:pStyle w:val="ListParagraph"/>
        <w:numPr>
          <w:ilvl w:val="0"/>
          <w:numId w:val="16"/>
        </w:numPr>
        <w:tabs>
          <w:tab w:pos="320" w:val="left" w:leader="none"/>
        </w:tabs>
        <w:spacing w:line="235" w:lineRule="exact" w:before="0" w:after="16"/>
        <w:ind w:left="319" w:right="0" w:hanging="168"/>
        <w:jc w:val="left"/>
        <w:rPr>
          <w:sz w:val="20"/>
        </w:rPr>
      </w:pPr>
      <w:r>
        <w:rPr>
          <w:w w:val="95"/>
          <w:sz w:val="20"/>
        </w:rPr>
        <w:t>一個月以上短期費率：</w:t>
      </w:r>
    </w:p>
    <w:tbl>
      <w:tblPr>
        <w:tblW w:w="0" w:type="auto"/>
        <w:jc w:val="left"/>
        <w:tblInd w:w="4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94"/>
        <w:gridCol w:w="648"/>
        <w:gridCol w:w="649"/>
        <w:gridCol w:w="648"/>
        <w:gridCol w:w="650"/>
        <w:gridCol w:w="648"/>
        <w:gridCol w:w="648"/>
        <w:gridCol w:w="648"/>
        <w:gridCol w:w="648"/>
        <w:gridCol w:w="650"/>
        <w:gridCol w:w="648"/>
        <w:gridCol w:w="647"/>
        <w:gridCol w:w="649"/>
      </w:tblGrid>
      <w:tr>
        <w:trPr>
          <w:trHeight w:val="260" w:hRule="atLeast"/>
        </w:trPr>
        <w:tc>
          <w:tcPr>
            <w:tcW w:w="1594" w:type="dxa"/>
            <w:tcBorders>
              <w:bottom w:val="single" w:sz="4" w:space="0" w:color="000000"/>
              <w:right w:val="single" w:sz="4" w:space="0" w:color="000000"/>
            </w:tcBorders>
            <w:shd w:val="clear" w:color="auto" w:fill="D9D9D9"/>
          </w:tcPr>
          <w:p>
            <w:pPr>
              <w:pStyle w:val="TableParagraph"/>
              <w:spacing w:line="241" w:lineRule="exact"/>
              <w:ind w:left="32" w:right="9"/>
              <w:jc w:val="center"/>
              <w:rPr>
                <w:sz w:val="20"/>
              </w:rPr>
            </w:pPr>
            <w:r>
              <w:rPr>
                <w:w w:val="95"/>
                <w:sz w:val="20"/>
              </w:rPr>
              <w:t>月數</w:t>
            </w:r>
          </w:p>
        </w:tc>
        <w:tc>
          <w:tcPr>
            <w:tcW w:w="648"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277"/>
              <w:rPr>
                <w:rFonts w:ascii="Arial MT"/>
                <w:sz w:val="20"/>
              </w:rPr>
            </w:pPr>
            <w:r>
              <w:rPr>
                <w:rFonts w:ascii="Arial MT"/>
                <w:w w:val="99"/>
                <w:sz w:val="20"/>
              </w:rPr>
              <w:t>1</w:t>
            </w:r>
          </w:p>
        </w:tc>
        <w:tc>
          <w:tcPr>
            <w:tcW w:w="649"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27"/>
              <w:jc w:val="center"/>
              <w:rPr>
                <w:rFonts w:ascii="Arial MT"/>
                <w:sz w:val="20"/>
              </w:rPr>
            </w:pPr>
            <w:r>
              <w:rPr>
                <w:rFonts w:ascii="Arial MT"/>
                <w:w w:val="99"/>
                <w:sz w:val="20"/>
              </w:rPr>
              <w:t>2</w:t>
            </w:r>
          </w:p>
        </w:tc>
        <w:tc>
          <w:tcPr>
            <w:tcW w:w="648"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right="245"/>
              <w:jc w:val="right"/>
              <w:rPr>
                <w:rFonts w:ascii="Arial MT"/>
                <w:sz w:val="20"/>
              </w:rPr>
            </w:pPr>
            <w:r>
              <w:rPr>
                <w:rFonts w:ascii="Arial MT"/>
                <w:w w:val="99"/>
                <w:sz w:val="20"/>
              </w:rPr>
              <w:t>3</w:t>
            </w:r>
          </w:p>
        </w:tc>
        <w:tc>
          <w:tcPr>
            <w:tcW w:w="650"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30"/>
              <w:jc w:val="center"/>
              <w:rPr>
                <w:rFonts w:ascii="Arial MT"/>
                <w:sz w:val="20"/>
              </w:rPr>
            </w:pPr>
            <w:r>
              <w:rPr>
                <w:rFonts w:ascii="Arial MT"/>
                <w:w w:val="99"/>
                <w:sz w:val="20"/>
              </w:rPr>
              <w:t>4</w:t>
            </w:r>
          </w:p>
        </w:tc>
        <w:tc>
          <w:tcPr>
            <w:tcW w:w="648"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28"/>
              <w:jc w:val="center"/>
              <w:rPr>
                <w:rFonts w:ascii="Arial MT"/>
                <w:sz w:val="20"/>
              </w:rPr>
            </w:pPr>
            <w:r>
              <w:rPr>
                <w:rFonts w:ascii="Arial MT"/>
                <w:w w:val="99"/>
                <w:sz w:val="20"/>
              </w:rPr>
              <w:t>5</w:t>
            </w:r>
          </w:p>
        </w:tc>
        <w:tc>
          <w:tcPr>
            <w:tcW w:w="648"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28"/>
              <w:jc w:val="center"/>
              <w:rPr>
                <w:rFonts w:ascii="Arial MT"/>
                <w:sz w:val="20"/>
              </w:rPr>
            </w:pPr>
            <w:r>
              <w:rPr>
                <w:rFonts w:ascii="Arial MT"/>
                <w:w w:val="99"/>
                <w:sz w:val="20"/>
              </w:rPr>
              <w:t>6</w:t>
            </w:r>
          </w:p>
        </w:tc>
        <w:tc>
          <w:tcPr>
            <w:tcW w:w="648"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28"/>
              <w:jc w:val="center"/>
              <w:rPr>
                <w:rFonts w:ascii="Arial MT"/>
                <w:sz w:val="20"/>
              </w:rPr>
            </w:pPr>
            <w:r>
              <w:rPr>
                <w:rFonts w:ascii="Arial MT"/>
                <w:w w:val="99"/>
                <w:sz w:val="20"/>
              </w:rPr>
              <w:t>7</w:t>
            </w:r>
          </w:p>
        </w:tc>
        <w:tc>
          <w:tcPr>
            <w:tcW w:w="648"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33"/>
              <w:jc w:val="center"/>
              <w:rPr>
                <w:rFonts w:ascii="Arial MT"/>
                <w:sz w:val="20"/>
              </w:rPr>
            </w:pPr>
            <w:r>
              <w:rPr>
                <w:rFonts w:ascii="Arial MT"/>
                <w:w w:val="99"/>
                <w:sz w:val="20"/>
              </w:rPr>
              <w:t>8</w:t>
            </w:r>
          </w:p>
        </w:tc>
        <w:tc>
          <w:tcPr>
            <w:tcW w:w="650"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280"/>
              <w:rPr>
                <w:rFonts w:ascii="Arial MT"/>
                <w:sz w:val="20"/>
              </w:rPr>
            </w:pPr>
            <w:r>
              <w:rPr>
                <w:rFonts w:ascii="Arial MT"/>
                <w:w w:val="99"/>
                <w:sz w:val="20"/>
              </w:rPr>
              <w:t>9</w:t>
            </w:r>
          </w:p>
        </w:tc>
        <w:tc>
          <w:tcPr>
            <w:tcW w:w="648"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220"/>
              <w:rPr>
                <w:rFonts w:ascii="Arial MT"/>
                <w:sz w:val="20"/>
              </w:rPr>
            </w:pPr>
            <w:r>
              <w:rPr>
                <w:rFonts w:ascii="Arial MT"/>
                <w:sz w:val="20"/>
              </w:rPr>
              <w:t>10</w:t>
            </w:r>
          </w:p>
        </w:tc>
        <w:tc>
          <w:tcPr>
            <w:tcW w:w="647" w:type="dxa"/>
            <w:tcBorders>
              <w:left w:val="single" w:sz="4" w:space="0" w:color="000000"/>
              <w:bottom w:val="single" w:sz="4" w:space="0" w:color="000000"/>
              <w:right w:val="single" w:sz="4" w:space="0" w:color="000000"/>
            </w:tcBorders>
            <w:shd w:val="clear" w:color="auto" w:fill="D9D9D9"/>
          </w:tcPr>
          <w:p>
            <w:pPr>
              <w:pStyle w:val="TableParagraph"/>
              <w:spacing w:line="223" w:lineRule="exact" w:before="18"/>
              <w:ind w:left="221"/>
              <w:rPr>
                <w:rFonts w:ascii="Arial MT"/>
                <w:sz w:val="20"/>
              </w:rPr>
            </w:pPr>
            <w:r>
              <w:rPr>
                <w:rFonts w:ascii="Arial MT"/>
                <w:sz w:val="20"/>
              </w:rPr>
              <w:t>11</w:t>
            </w:r>
          </w:p>
        </w:tc>
        <w:tc>
          <w:tcPr>
            <w:tcW w:w="649" w:type="dxa"/>
            <w:tcBorders>
              <w:left w:val="single" w:sz="4" w:space="0" w:color="000000"/>
              <w:bottom w:val="single" w:sz="4" w:space="0" w:color="000000"/>
            </w:tcBorders>
            <w:shd w:val="clear" w:color="auto" w:fill="D9D9D9"/>
          </w:tcPr>
          <w:p>
            <w:pPr>
              <w:pStyle w:val="TableParagraph"/>
              <w:spacing w:line="223" w:lineRule="exact" w:before="18"/>
              <w:ind w:left="224"/>
              <w:rPr>
                <w:rFonts w:ascii="Arial MT"/>
                <w:sz w:val="20"/>
              </w:rPr>
            </w:pPr>
            <w:r>
              <w:rPr>
                <w:rFonts w:ascii="Arial MT"/>
                <w:sz w:val="20"/>
              </w:rPr>
              <w:t>12</w:t>
            </w:r>
          </w:p>
        </w:tc>
      </w:tr>
      <w:tr>
        <w:trPr>
          <w:trHeight w:val="498" w:hRule="atLeast"/>
        </w:trPr>
        <w:tc>
          <w:tcPr>
            <w:tcW w:w="1594" w:type="dxa"/>
            <w:tcBorders>
              <w:top w:val="single" w:sz="4" w:space="0" w:color="000000"/>
              <w:bottom w:val="single" w:sz="4" w:space="0" w:color="000000"/>
              <w:right w:val="single" w:sz="4" w:space="0" w:color="000000"/>
            </w:tcBorders>
          </w:tcPr>
          <w:p>
            <w:pPr>
              <w:pStyle w:val="TableParagraph"/>
              <w:spacing w:line="246" w:lineRule="exact"/>
              <w:ind w:left="122" w:right="9"/>
              <w:jc w:val="center"/>
              <w:rPr>
                <w:sz w:val="20"/>
              </w:rPr>
            </w:pPr>
            <w:r>
              <w:rPr>
                <w:sz w:val="20"/>
              </w:rPr>
              <w:t>對年繳保費比</w:t>
            </w:r>
          </w:p>
          <w:p>
            <w:pPr>
              <w:pStyle w:val="TableParagraph"/>
              <w:spacing w:line="211" w:lineRule="exact" w:before="22"/>
              <w:ind w:left="121" w:right="9"/>
              <w:jc w:val="center"/>
              <w:rPr>
                <w:rFonts w:ascii="Arial MT"/>
                <w:sz w:val="20"/>
              </w:rPr>
            </w:pPr>
            <w:r>
              <w:rPr>
                <w:rFonts w:ascii="Arial MT"/>
                <w:sz w:val="20"/>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left="220"/>
              <w:rPr>
                <w:rFonts w:ascii="Arial MT"/>
                <w:sz w:val="20"/>
              </w:rPr>
            </w:pPr>
            <w:r>
              <w:rPr>
                <w:rFonts w:ascii="Arial MT"/>
                <w:sz w:val="20"/>
              </w:rPr>
              <w:t>15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138"/>
              <w:ind w:left="199" w:right="177"/>
              <w:jc w:val="center"/>
              <w:rPr>
                <w:rFonts w:ascii="Arial MT"/>
                <w:sz w:val="20"/>
              </w:rPr>
            </w:pPr>
            <w:r>
              <w:rPr>
                <w:rFonts w:ascii="Arial MT"/>
                <w:sz w:val="20"/>
              </w:rPr>
              <w:t>25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right="193"/>
              <w:jc w:val="right"/>
              <w:rPr>
                <w:rFonts w:ascii="Arial MT"/>
                <w:sz w:val="20"/>
              </w:rPr>
            </w:pPr>
            <w:r>
              <w:rPr>
                <w:rFonts w:ascii="Arial MT"/>
                <w:sz w:val="20"/>
              </w:rPr>
              <w:t>35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138"/>
              <w:ind w:left="201" w:right="176"/>
              <w:jc w:val="center"/>
              <w:rPr>
                <w:rFonts w:ascii="Arial MT"/>
                <w:sz w:val="20"/>
              </w:rPr>
            </w:pPr>
            <w:r>
              <w:rPr>
                <w:rFonts w:ascii="Arial MT"/>
                <w:sz w:val="20"/>
              </w:rPr>
              <w:t>45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left="143" w:right="120"/>
              <w:jc w:val="center"/>
              <w:rPr>
                <w:rFonts w:ascii="Arial MT"/>
                <w:sz w:val="20"/>
              </w:rPr>
            </w:pPr>
            <w:r>
              <w:rPr>
                <w:rFonts w:ascii="Arial MT"/>
                <w:sz w:val="20"/>
              </w:rPr>
              <w:t>55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left="143" w:right="120"/>
              <w:jc w:val="center"/>
              <w:rPr>
                <w:rFonts w:ascii="Arial MT"/>
                <w:sz w:val="20"/>
              </w:rPr>
            </w:pPr>
            <w:r>
              <w:rPr>
                <w:rFonts w:ascii="Arial MT"/>
                <w:sz w:val="20"/>
              </w:rPr>
              <w:t>65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left="143" w:right="120"/>
              <w:jc w:val="center"/>
              <w:rPr>
                <w:rFonts w:ascii="Arial MT"/>
                <w:sz w:val="20"/>
              </w:rPr>
            </w:pPr>
            <w:r>
              <w:rPr>
                <w:rFonts w:ascii="Arial MT"/>
                <w:sz w:val="20"/>
              </w:rPr>
              <w:t>75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left="143" w:right="115"/>
              <w:jc w:val="center"/>
              <w:rPr>
                <w:rFonts w:ascii="Arial MT"/>
                <w:sz w:val="20"/>
              </w:rPr>
            </w:pPr>
            <w:r>
              <w:rPr>
                <w:rFonts w:ascii="Arial MT"/>
                <w:sz w:val="20"/>
              </w:rPr>
              <w:t>80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138"/>
              <w:ind w:left="222"/>
              <w:rPr>
                <w:rFonts w:ascii="Arial MT"/>
                <w:sz w:val="20"/>
              </w:rPr>
            </w:pPr>
            <w:r>
              <w:rPr>
                <w:rFonts w:ascii="Arial MT"/>
                <w:sz w:val="20"/>
              </w:rPr>
              <w:t>85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left="220"/>
              <w:rPr>
                <w:rFonts w:ascii="Arial MT"/>
                <w:sz w:val="20"/>
              </w:rPr>
            </w:pPr>
            <w:r>
              <w:rPr>
                <w:rFonts w:ascii="Arial MT"/>
                <w:sz w:val="20"/>
              </w:rPr>
              <w:t>90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138"/>
              <w:ind w:left="221"/>
              <w:rPr>
                <w:rFonts w:ascii="Arial MT"/>
                <w:sz w:val="20"/>
              </w:rPr>
            </w:pPr>
            <w:r>
              <w:rPr>
                <w:rFonts w:ascii="Arial MT"/>
                <w:sz w:val="20"/>
              </w:rPr>
              <w:t>95</w:t>
            </w:r>
          </w:p>
        </w:tc>
        <w:tc>
          <w:tcPr>
            <w:tcW w:w="649" w:type="dxa"/>
            <w:tcBorders>
              <w:top w:val="single" w:sz="4" w:space="0" w:color="000000"/>
              <w:left w:val="single" w:sz="4" w:space="0" w:color="000000"/>
              <w:bottom w:val="single" w:sz="4" w:space="0" w:color="000000"/>
            </w:tcBorders>
          </w:tcPr>
          <w:p>
            <w:pPr>
              <w:pStyle w:val="TableParagraph"/>
              <w:spacing w:before="138"/>
              <w:ind w:left="169"/>
              <w:rPr>
                <w:rFonts w:ascii="Arial MT"/>
                <w:sz w:val="20"/>
              </w:rPr>
            </w:pPr>
            <w:r>
              <w:rPr>
                <w:rFonts w:ascii="Arial MT"/>
                <w:sz w:val="20"/>
              </w:rPr>
              <w:t>100</w:t>
            </w:r>
          </w:p>
        </w:tc>
      </w:tr>
      <w:tr>
        <w:trPr>
          <w:trHeight w:val="501" w:hRule="atLeast"/>
        </w:trPr>
        <w:tc>
          <w:tcPr>
            <w:tcW w:w="1594" w:type="dxa"/>
            <w:tcBorders>
              <w:top w:val="single" w:sz="4" w:space="0" w:color="000000"/>
              <w:bottom w:val="single" w:sz="4" w:space="0" w:color="000000"/>
              <w:right w:val="single" w:sz="4" w:space="0" w:color="000000"/>
            </w:tcBorders>
          </w:tcPr>
          <w:p>
            <w:pPr>
              <w:pStyle w:val="TableParagraph"/>
              <w:spacing w:line="246" w:lineRule="exact"/>
              <w:ind w:left="125" w:right="9"/>
              <w:jc w:val="center"/>
              <w:rPr>
                <w:sz w:val="20"/>
              </w:rPr>
            </w:pPr>
            <w:r>
              <w:rPr>
                <w:sz w:val="20"/>
              </w:rPr>
              <w:t>對半年繳保費比</w:t>
            </w:r>
          </w:p>
          <w:p>
            <w:pPr>
              <w:pStyle w:val="TableParagraph"/>
              <w:spacing w:line="211" w:lineRule="exact" w:before="25"/>
              <w:ind w:left="121" w:right="9"/>
              <w:jc w:val="center"/>
              <w:rPr>
                <w:rFonts w:ascii="Arial MT"/>
                <w:sz w:val="20"/>
              </w:rPr>
            </w:pPr>
            <w:r>
              <w:rPr>
                <w:rFonts w:ascii="Arial MT"/>
                <w:sz w:val="20"/>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left="220"/>
              <w:rPr>
                <w:rFonts w:ascii="Arial MT"/>
                <w:sz w:val="20"/>
              </w:rPr>
            </w:pPr>
            <w:r>
              <w:rPr>
                <w:rFonts w:ascii="Arial MT"/>
                <w:sz w:val="20"/>
              </w:rPr>
              <w:t>30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138"/>
              <w:ind w:left="199" w:right="177"/>
              <w:jc w:val="center"/>
              <w:rPr>
                <w:rFonts w:ascii="Arial MT"/>
                <w:sz w:val="20"/>
              </w:rPr>
            </w:pPr>
            <w:r>
              <w:rPr>
                <w:rFonts w:ascii="Arial MT"/>
                <w:sz w:val="20"/>
              </w:rPr>
              <w:t>50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right="193"/>
              <w:jc w:val="right"/>
              <w:rPr>
                <w:rFonts w:ascii="Arial MT"/>
                <w:sz w:val="20"/>
              </w:rPr>
            </w:pPr>
            <w:r>
              <w:rPr>
                <w:rFonts w:ascii="Arial MT"/>
                <w:sz w:val="20"/>
              </w:rPr>
              <w:t>65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138"/>
              <w:ind w:left="201" w:right="176"/>
              <w:jc w:val="center"/>
              <w:rPr>
                <w:rFonts w:ascii="Arial MT"/>
                <w:sz w:val="20"/>
              </w:rPr>
            </w:pPr>
            <w:r>
              <w:rPr>
                <w:rFonts w:ascii="Arial MT"/>
                <w:sz w:val="20"/>
              </w:rPr>
              <w:t>80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left="143" w:right="120"/>
              <w:jc w:val="center"/>
              <w:rPr>
                <w:rFonts w:ascii="Arial MT"/>
                <w:sz w:val="20"/>
              </w:rPr>
            </w:pPr>
            <w:r>
              <w:rPr>
                <w:rFonts w:ascii="Arial MT"/>
                <w:sz w:val="20"/>
              </w:rPr>
              <w:t>90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38"/>
              <w:ind w:left="143" w:right="120"/>
              <w:jc w:val="center"/>
              <w:rPr>
                <w:rFonts w:ascii="Arial MT"/>
                <w:sz w:val="20"/>
              </w:rPr>
            </w:pPr>
            <w:r>
              <w:rPr>
                <w:rFonts w:ascii="Arial MT"/>
                <w:sz w:val="20"/>
              </w:rPr>
              <w:t>100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649"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98" w:hRule="atLeast"/>
        </w:trPr>
        <w:tc>
          <w:tcPr>
            <w:tcW w:w="1594" w:type="dxa"/>
            <w:tcBorders>
              <w:top w:val="single" w:sz="4" w:space="0" w:color="000000"/>
              <w:right w:val="single" w:sz="4" w:space="0" w:color="000000"/>
            </w:tcBorders>
          </w:tcPr>
          <w:p>
            <w:pPr>
              <w:pStyle w:val="TableParagraph"/>
              <w:spacing w:line="246" w:lineRule="exact"/>
              <w:ind w:left="122" w:right="9"/>
              <w:jc w:val="center"/>
              <w:rPr>
                <w:sz w:val="20"/>
              </w:rPr>
            </w:pPr>
            <w:r>
              <w:rPr>
                <w:sz w:val="20"/>
              </w:rPr>
              <w:t>對季繳保費比</w:t>
            </w:r>
          </w:p>
          <w:p>
            <w:pPr>
              <w:pStyle w:val="TableParagraph"/>
              <w:spacing w:line="210" w:lineRule="exact" w:before="22"/>
              <w:ind w:left="121" w:right="9"/>
              <w:jc w:val="center"/>
              <w:rPr>
                <w:rFonts w:ascii="Arial MT"/>
                <w:sz w:val="20"/>
              </w:rPr>
            </w:pPr>
            <w:r>
              <w:rPr>
                <w:rFonts w:ascii="Arial MT"/>
                <w:sz w:val="20"/>
              </w:rPr>
              <w:t>(%)</w:t>
            </w:r>
          </w:p>
        </w:tc>
        <w:tc>
          <w:tcPr>
            <w:tcW w:w="648" w:type="dxa"/>
            <w:tcBorders>
              <w:top w:val="single" w:sz="4" w:space="0" w:color="000000"/>
              <w:left w:val="single" w:sz="4" w:space="0" w:color="000000"/>
              <w:right w:val="single" w:sz="4" w:space="0" w:color="000000"/>
            </w:tcBorders>
          </w:tcPr>
          <w:p>
            <w:pPr>
              <w:pStyle w:val="TableParagraph"/>
              <w:spacing w:before="138"/>
              <w:ind w:left="220"/>
              <w:rPr>
                <w:rFonts w:ascii="Arial MT"/>
                <w:sz w:val="20"/>
              </w:rPr>
            </w:pPr>
            <w:r>
              <w:rPr>
                <w:rFonts w:ascii="Arial MT"/>
                <w:sz w:val="20"/>
              </w:rPr>
              <w:t>55</w:t>
            </w:r>
          </w:p>
        </w:tc>
        <w:tc>
          <w:tcPr>
            <w:tcW w:w="649" w:type="dxa"/>
            <w:tcBorders>
              <w:top w:val="single" w:sz="4" w:space="0" w:color="000000"/>
              <w:left w:val="single" w:sz="4" w:space="0" w:color="000000"/>
              <w:right w:val="single" w:sz="4" w:space="0" w:color="000000"/>
            </w:tcBorders>
          </w:tcPr>
          <w:p>
            <w:pPr>
              <w:pStyle w:val="TableParagraph"/>
              <w:spacing w:before="138"/>
              <w:ind w:left="199" w:right="177"/>
              <w:jc w:val="center"/>
              <w:rPr>
                <w:rFonts w:ascii="Arial MT"/>
                <w:sz w:val="20"/>
              </w:rPr>
            </w:pPr>
            <w:r>
              <w:rPr>
                <w:rFonts w:ascii="Arial MT"/>
                <w:sz w:val="20"/>
              </w:rPr>
              <w:t>85</w:t>
            </w:r>
          </w:p>
        </w:tc>
        <w:tc>
          <w:tcPr>
            <w:tcW w:w="648" w:type="dxa"/>
            <w:tcBorders>
              <w:top w:val="single" w:sz="4" w:space="0" w:color="000000"/>
              <w:left w:val="single" w:sz="4" w:space="0" w:color="000000"/>
              <w:right w:val="single" w:sz="4" w:space="0" w:color="000000"/>
            </w:tcBorders>
          </w:tcPr>
          <w:p>
            <w:pPr>
              <w:pStyle w:val="TableParagraph"/>
              <w:spacing w:before="138"/>
              <w:ind w:right="137"/>
              <w:jc w:val="right"/>
              <w:rPr>
                <w:rFonts w:ascii="Arial MT"/>
                <w:sz w:val="20"/>
              </w:rPr>
            </w:pPr>
            <w:r>
              <w:rPr>
                <w:rFonts w:ascii="Arial MT"/>
                <w:sz w:val="20"/>
              </w:rPr>
              <w:t>100</w:t>
            </w:r>
          </w:p>
        </w:tc>
        <w:tc>
          <w:tcPr>
            <w:tcW w:w="65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648"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648"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648"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648"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65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648"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647"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649" w:type="dxa"/>
            <w:tcBorders>
              <w:top w:val="single" w:sz="4" w:space="0" w:color="000000"/>
              <w:left w:val="single" w:sz="4" w:space="0" w:color="000000"/>
            </w:tcBorders>
          </w:tcPr>
          <w:p>
            <w:pPr>
              <w:pStyle w:val="TableParagraph"/>
              <w:rPr>
                <w:rFonts w:ascii="Times New Roman"/>
                <w:sz w:val="18"/>
              </w:rPr>
            </w:pPr>
          </w:p>
        </w:tc>
      </w:tr>
    </w:tbl>
    <w:p>
      <w:pPr>
        <w:pStyle w:val="BodyText"/>
        <w:ind w:left="0"/>
        <w:rPr>
          <w:sz w:val="22"/>
        </w:rPr>
      </w:pPr>
    </w:p>
    <w:p>
      <w:pPr>
        <w:pStyle w:val="ListParagraph"/>
        <w:numPr>
          <w:ilvl w:val="0"/>
          <w:numId w:val="16"/>
        </w:numPr>
        <w:tabs>
          <w:tab w:pos="320" w:val="left" w:leader="none"/>
        </w:tabs>
        <w:spacing w:line="240" w:lineRule="auto" w:before="187" w:after="16"/>
        <w:ind w:left="319" w:right="0" w:hanging="168"/>
        <w:jc w:val="left"/>
        <w:rPr>
          <w:sz w:val="20"/>
        </w:rPr>
      </w:pPr>
      <w:r>
        <w:rPr/>
        <w:drawing>
          <wp:anchor distT="0" distB="0" distL="0" distR="0" allowOverlap="1" layoutInCell="1" locked="0" behindDoc="1" simplePos="0" relativeHeight="486265344">
            <wp:simplePos x="0" y="0"/>
            <wp:positionH relativeFrom="page">
              <wp:posOffset>2873375</wp:posOffset>
            </wp:positionH>
            <wp:positionV relativeFrom="paragraph">
              <wp:posOffset>557612</wp:posOffset>
            </wp:positionV>
            <wp:extent cx="1836419" cy="4423487"/>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836419" cy="4423487"/>
                    </a:xfrm>
                    <a:prstGeom prst="rect">
                      <a:avLst/>
                    </a:prstGeom>
                  </pic:spPr>
                </pic:pic>
              </a:graphicData>
            </a:graphic>
          </wp:anchor>
        </w:drawing>
      </w:r>
      <w:r>
        <w:rPr>
          <w:w w:val="95"/>
          <w:position w:val="1"/>
          <w:sz w:val="20"/>
        </w:rPr>
        <w:t>未滿一個月短期費率：</w:t>
      </w:r>
    </w:p>
    <w:tbl>
      <w:tblPr>
        <w:tblW w:w="0" w:type="auto"/>
        <w:jc w:val="left"/>
        <w:tblInd w:w="4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79"/>
        <w:gridCol w:w="518"/>
        <w:gridCol w:w="519"/>
        <w:gridCol w:w="518"/>
        <w:gridCol w:w="518"/>
        <w:gridCol w:w="520"/>
        <w:gridCol w:w="518"/>
        <w:gridCol w:w="518"/>
        <w:gridCol w:w="518"/>
        <w:gridCol w:w="518"/>
        <w:gridCol w:w="520"/>
        <w:gridCol w:w="515"/>
        <w:gridCol w:w="520"/>
        <w:gridCol w:w="518"/>
        <w:gridCol w:w="517"/>
        <w:gridCol w:w="517"/>
      </w:tblGrid>
      <w:tr>
        <w:trPr>
          <w:trHeight w:val="361" w:hRule="atLeast"/>
        </w:trPr>
        <w:tc>
          <w:tcPr>
            <w:tcW w:w="1579" w:type="dxa"/>
            <w:tcBorders>
              <w:bottom w:val="single" w:sz="4" w:space="0" w:color="000000"/>
              <w:right w:val="single" w:sz="4" w:space="0" w:color="000000"/>
            </w:tcBorders>
            <w:shd w:val="clear" w:color="auto" w:fill="D9D9D9"/>
          </w:tcPr>
          <w:p>
            <w:pPr>
              <w:pStyle w:val="TableParagraph"/>
              <w:spacing w:line="249" w:lineRule="exact" w:before="92"/>
              <w:ind w:left="24" w:right="1"/>
              <w:jc w:val="center"/>
              <w:rPr>
                <w:sz w:val="20"/>
              </w:rPr>
            </w:pPr>
            <w:r>
              <w:rPr>
                <w:w w:val="95"/>
                <w:sz w:val="20"/>
              </w:rPr>
              <w:t>日數</w:t>
            </w:r>
          </w:p>
        </w:tc>
        <w:tc>
          <w:tcPr>
            <w:tcW w:w="518"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29"/>
              <w:jc w:val="center"/>
              <w:rPr>
                <w:rFonts w:ascii="Arial MT"/>
                <w:sz w:val="20"/>
              </w:rPr>
            </w:pPr>
            <w:r>
              <w:rPr>
                <w:rFonts w:ascii="Arial MT"/>
                <w:w w:val="99"/>
                <w:sz w:val="20"/>
              </w:rPr>
              <w:t>1</w:t>
            </w:r>
          </w:p>
        </w:tc>
        <w:tc>
          <w:tcPr>
            <w:tcW w:w="519"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29"/>
              <w:jc w:val="center"/>
              <w:rPr>
                <w:rFonts w:ascii="Arial MT"/>
                <w:sz w:val="20"/>
              </w:rPr>
            </w:pPr>
            <w:r>
              <w:rPr>
                <w:rFonts w:ascii="Arial MT"/>
                <w:w w:val="99"/>
                <w:sz w:val="20"/>
              </w:rPr>
              <w:t>2</w:t>
            </w:r>
          </w:p>
        </w:tc>
        <w:tc>
          <w:tcPr>
            <w:tcW w:w="518"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30"/>
              <w:jc w:val="center"/>
              <w:rPr>
                <w:rFonts w:ascii="Arial MT"/>
                <w:sz w:val="20"/>
              </w:rPr>
            </w:pPr>
            <w:r>
              <w:rPr>
                <w:rFonts w:ascii="Arial MT"/>
                <w:w w:val="99"/>
                <w:sz w:val="20"/>
              </w:rPr>
              <w:t>3</w:t>
            </w:r>
          </w:p>
        </w:tc>
        <w:tc>
          <w:tcPr>
            <w:tcW w:w="518"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36"/>
              <w:jc w:val="center"/>
              <w:rPr>
                <w:rFonts w:ascii="Arial MT"/>
                <w:sz w:val="20"/>
              </w:rPr>
            </w:pPr>
            <w:r>
              <w:rPr>
                <w:rFonts w:ascii="Arial MT"/>
                <w:w w:val="99"/>
                <w:sz w:val="20"/>
              </w:rPr>
              <w:t>4</w:t>
            </w:r>
          </w:p>
        </w:tc>
        <w:tc>
          <w:tcPr>
            <w:tcW w:w="520"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34"/>
              <w:jc w:val="center"/>
              <w:rPr>
                <w:rFonts w:ascii="Arial MT"/>
                <w:sz w:val="20"/>
              </w:rPr>
            </w:pPr>
            <w:r>
              <w:rPr>
                <w:rFonts w:ascii="Arial MT"/>
                <w:w w:val="99"/>
                <w:sz w:val="20"/>
              </w:rPr>
              <w:t>5</w:t>
            </w:r>
          </w:p>
        </w:tc>
        <w:tc>
          <w:tcPr>
            <w:tcW w:w="518"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33"/>
              <w:jc w:val="center"/>
              <w:rPr>
                <w:rFonts w:ascii="Arial MT"/>
                <w:sz w:val="20"/>
              </w:rPr>
            </w:pPr>
            <w:r>
              <w:rPr>
                <w:rFonts w:ascii="Arial MT"/>
                <w:w w:val="99"/>
                <w:sz w:val="20"/>
              </w:rPr>
              <w:t>6</w:t>
            </w:r>
          </w:p>
        </w:tc>
        <w:tc>
          <w:tcPr>
            <w:tcW w:w="518"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34"/>
              <w:jc w:val="center"/>
              <w:rPr>
                <w:rFonts w:ascii="Arial MT"/>
                <w:sz w:val="20"/>
              </w:rPr>
            </w:pPr>
            <w:r>
              <w:rPr>
                <w:rFonts w:ascii="Arial MT"/>
                <w:w w:val="99"/>
                <w:sz w:val="20"/>
              </w:rPr>
              <w:t>7</w:t>
            </w:r>
          </w:p>
        </w:tc>
        <w:tc>
          <w:tcPr>
            <w:tcW w:w="518"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36"/>
              <w:jc w:val="center"/>
              <w:rPr>
                <w:rFonts w:ascii="Arial MT"/>
                <w:sz w:val="20"/>
              </w:rPr>
            </w:pPr>
            <w:r>
              <w:rPr>
                <w:rFonts w:ascii="Arial MT"/>
                <w:w w:val="99"/>
                <w:sz w:val="20"/>
              </w:rPr>
              <w:t>8</w:t>
            </w:r>
          </w:p>
        </w:tc>
        <w:tc>
          <w:tcPr>
            <w:tcW w:w="518"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36"/>
              <w:jc w:val="center"/>
              <w:rPr>
                <w:rFonts w:ascii="Arial MT"/>
                <w:sz w:val="20"/>
              </w:rPr>
            </w:pPr>
            <w:r>
              <w:rPr>
                <w:rFonts w:ascii="Arial MT"/>
                <w:w w:val="99"/>
                <w:sz w:val="20"/>
              </w:rPr>
              <w:t>9</w:t>
            </w:r>
          </w:p>
        </w:tc>
        <w:tc>
          <w:tcPr>
            <w:tcW w:w="520"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54" w:right="19"/>
              <w:jc w:val="center"/>
              <w:rPr>
                <w:rFonts w:ascii="Arial MT"/>
                <w:sz w:val="20"/>
              </w:rPr>
            </w:pPr>
            <w:r>
              <w:rPr>
                <w:rFonts w:ascii="Arial MT"/>
                <w:sz w:val="20"/>
              </w:rPr>
              <w:t>10</w:t>
            </w:r>
          </w:p>
        </w:tc>
        <w:tc>
          <w:tcPr>
            <w:tcW w:w="515"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right="121"/>
              <w:jc w:val="right"/>
              <w:rPr>
                <w:rFonts w:ascii="Arial MT"/>
                <w:sz w:val="20"/>
              </w:rPr>
            </w:pPr>
            <w:r>
              <w:rPr>
                <w:rFonts w:ascii="Arial MT"/>
                <w:sz w:val="20"/>
              </w:rPr>
              <w:t>11</w:t>
            </w:r>
          </w:p>
        </w:tc>
        <w:tc>
          <w:tcPr>
            <w:tcW w:w="520"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54" w:right="15"/>
              <w:jc w:val="center"/>
              <w:rPr>
                <w:rFonts w:ascii="Arial MT"/>
                <w:sz w:val="20"/>
              </w:rPr>
            </w:pPr>
            <w:r>
              <w:rPr>
                <w:rFonts w:ascii="Arial MT"/>
                <w:sz w:val="20"/>
              </w:rPr>
              <w:t>12</w:t>
            </w:r>
          </w:p>
        </w:tc>
        <w:tc>
          <w:tcPr>
            <w:tcW w:w="518"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right="122"/>
              <w:jc w:val="right"/>
              <w:rPr>
                <w:rFonts w:ascii="Arial MT"/>
                <w:sz w:val="20"/>
              </w:rPr>
            </w:pPr>
            <w:r>
              <w:rPr>
                <w:rFonts w:ascii="Arial MT"/>
                <w:sz w:val="20"/>
              </w:rPr>
              <w:t>13</w:t>
            </w:r>
          </w:p>
        </w:tc>
        <w:tc>
          <w:tcPr>
            <w:tcW w:w="517" w:type="dxa"/>
            <w:tcBorders>
              <w:left w:val="single" w:sz="4" w:space="0" w:color="000000"/>
              <w:bottom w:val="single" w:sz="4" w:space="0" w:color="000000"/>
              <w:right w:val="single" w:sz="4" w:space="0" w:color="000000"/>
            </w:tcBorders>
            <w:shd w:val="clear" w:color="auto" w:fill="D9D9D9"/>
          </w:tcPr>
          <w:p>
            <w:pPr>
              <w:pStyle w:val="TableParagraph"/>
              <w:spacing w:line="211" w:lineRule="exact" w:before="131"/>
              <w:ind w:left="55" w:right="15"/>
              <w:jc w:val="center"/>
              <w:rPr>
                <w:rFonts w:ascii="Arial MT"/>
                <w:sz w:val="20"/>
              </w:rPr>
            </w:pPr>
            <w:r>
              <w:rPr>
                <w:rFonts w:ascii="Arial MT"/>
                <w:sz w:val="20"/>
              </w:rPr>
              <w:t>14</w:t>
            </w:r>
          </w:p>
        </w:tc>
        <w:tc>
          <w:tcPr>
            <w:tcW w:w="517" w:type="dxa"/>
            <w:tcBorders>
              <w:left w:val="single" w:sz="4" w:space="0" w:color="000000"/>
              <w:bottom w:val="single" w:sz="4" w:space="0" w:color="000000"/>
            </w:tcBorders>
            <w:shd w:val="clear" w:color="auto" w:fill="D9D9D9"/>
          </w:tcPr>
          <w:p>
            <w:pPr>
              <w:pStyle w:val="TableParagraph"/>
              <w:spacing w:line="211" w:lineRule="exact" w:before="131"/>
              <w:ind w:right="106"/>
              <w:jc w:val="right"/>
              <w:rPr>
                <w:rFonts w:ascii="Arial MT"/>
                <w:sz w:val="20"/>
              </w:rPr>
            </w:pPr>
            <w:r>
              <w:rPr>
                <w:rFonts w:ascii="Arial MT"/>
                <w:sz w:val="20"/>
              </w:rPr>
              <w:t>15</w:t>
            </w:r>
          </w:p>
        </w:tc>
      </w:tr>
      <w:tr>
        <w:trPr>
          <w:trHeight w:val="498" w:hRule="atLeast"/>
        </w:trPr>
        <w:tc>
          <w:tcPr>
            <w:tcW w:w="1579" w:type="dxa"/>
            <w:tcBorders>
              <w:top w:val="single" w:sz="4" w:space="0" w:color="000000"/>
              <w:bottom w:val="single" w:sz="4" w:space="0" w:color="000000"/>
              <w:right w:val="single" w:sz="4" w:space="0" w:color="000000"/>
            </w:tcBorders>
          </w:tcPr>
          <w:p>
            <w:pPr>
              <w:pStyle w:val="TableParagraph"/>
              <w:spacing w:line="246" w:lineRule="exact"/>
              <w:ind w:left="115" w:right="1"/>
              <w:jc w:val="center"/>
              <w:rPr>
                <w:sz w:val="20"/>
              </w:rPr>
            </w:pPr>
            <w:r>
              <w:rPr>
                <w:sz w:val="20"/>
              </w:rPr>
              <w:t>對年繳保費比</w:t>
            </w:r>
          </w:p>
          <w:p>
            <w:pPr>
              <w:pStyle w:val="TableParagraph"/>
              <w:spacing w:line="211" w:lineRule="exact" w:before="22"/>
              <w:ind w:left="114" w:right="1"/>
              <w:jc w:val="center"/>
              <w:rPr>
                <w:rFonts w:ascii="Arial MT"/>
                <w:sz w:val="20"/>
              </w:rPr>
            </w:pPr>
            <w:r>
              <w:rPr>
                <w:rFonts w:ascii="Arial MT"/>
                <w:sz w:val="20"/>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47" w:right="21"/>
              <w:jc w:val="center"/>
              <w:rPr>
                <w:rFonts w:ascii="Arial MT"/>
                <w:sz w:val="20"/>
              </w:rPr>
            </w:pPr>
            <w:r>
              <w:rPr>
                <w:rFonts w:ascii="Arial MT"/>
                <w:sz w:val="20"/>
              </w:rPr>
              <w:t>5.0</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129"/>
              <w:rPr>
                <w:rFonts w:ascii="Arial MT"/>
                <w:sz w:val="20"/>
              </w:rPr>
            </w:pPr>
            <w:r>
              <w:rPr>
                <w:rFonts w:ascii="Arial MT"/>
                <w:sz w:val="20"/>
              </w:rPr>
              <w:t>5.3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100"/>
              <w:jc w:val="right"/>
              <w:rPr>
                <w:rFonts w:ascii="Arial MT"/>
                <w:sz w:val="20"/>
              </w:rPr>
            </w:pPr>
            <w:r>
              <w:rPr>
                <w:rFonts w:ascii="Arial MT"/>
                <w:sz w:val="20"/>
              </w:rPr>
              <w:t>5.7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132"/>
              <w:rPr>
                <w:rFonts w:ascii="Arial MT"/>
                <w:sz w:val="20"/>
              </w:rPr>
            </w:pPr>
            <w:r>
              <w:rPr>
                <w:rFonts w:ascii="Arial MT"/>
                <w:sz w:val="20"/>
              </w:rPr>
              <w:t>6.0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99"/>
              <w:jc w:val="right"/>
              <w:rPr>
                <w:rFonts w:ascii="Arial MT"/>
                <w:sz w:val="20"/>
              </w:rPr>
            </w:pPr>
            <w:r>
              <w:rPr>
                <w:rFonts w:ascii="Arial MT"/>
                <w:sz w:val="20"/>
              </w:rPr>
              <w:t>6.4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47" w:right="17"/>
              <w:jc w:val="center"/>
              <w:rPr>
                <w:rFonts w:ascii="Arial MT"/>
                <w:sz w:val="20"/>
              </w:rPr>
            </w:pPr>
            <w:r>
              <w:rPr>
                <w:rFonts w:ascii="Arial MT"/>
                <w:sz w:val="20"/>
              </w:rPr>
              <w:t>6.7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98"/>
              <w:jc w:val="right"/>
              <w:rPr>
                <w:rFonts w:ascii="Arial MT"/>
                <w:sz w:val="20"/>
              </w:rPr>
            </w:pPr>
            <w:r>
              <w:rPr>
                <w:rFonts w:ascii="Arial MT"/>
                <w:sz w:val="20"/>
              </w:rPr>
              <w:t>7.1</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47" w:right="14"/>
              <w:jc w:val="center"/>
              <w:rPr>
                <w:rFonts w:ascii="Arial MT"/>
                <w:sz w:val="20"/>
              </w:rPr>
            </w:pPr>
            <w:r>
              <w:rPr>
                <w:rFonts w:ascii="Arial MT"/>
                <w:sz w:val="20"/>
              </w:rPr>
              <w:t>7.4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97"/>
              <w:jc w:val="right"/>
              <w:rPr>
                <w:rFonts w:ascii="Arial MT"/>
                <w:sz w:val="20"/>
              </w:rPr>
            </w:pPr>
            <w:r>
              <w:rPr>
                <w:rFonts w:ascii="Arial MT"/>
                <w:sz w:val="20"/>
              </w:rPr>
              <w:t>7.8</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54" w:right="17"/>
              <w:jc w:val="center"/>
              <w:rPr>
                <w:rFonts w:ascii="Arial MT"/>
                <w:sz w:val="20"/>
              </w:rPr>
            </w:pPr>
            <w:r>
              <w:rPr>
                <w:rFonts w:ascii="Arial MT"/>
                <w:sz w:val="20"/>
              </w:rPr>
              <w:t>8.1</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92"/>
              <w:jc w:val="right"/>
              <w:rPr>
                <w:rFonts w:ascii="Arial MT"/>
                <w:sz w:val="20"/>
              </w:rPr>
            </w:pPr>
            <w:r>
              <w:rPr>
                <w:rFonts w:ascii="Arial MT"/>
                <w:sz w:val="20"/>
              </w:rPr>
              <w:t>8.4</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54" w:right="13"/>
              <w:jc w:val="center"/>
              <w:rPr>
                <w:rFonts w:ascii="Arial MT"/>
                <w:sz w:val="20"/>
              </w:rPr>
            </w:pPr>
            <w:r>
              <w:rPr>
                <w:rFonts w:ascii="Arial MT"/>
                <w:sz w:val="20"/>
              </w:rPr>
              <w:t>8.8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94"/>
              <w:jc w:val="right"/>
              <w:rPr>
                <w:rFonts w:ascii="Arial MT"/>
                <w:sz w:val="20"/>
              </w:rPr>
            </w:pPr>
            <w:r>
              <w:rPr>
                <w:rFonts w:ascii="Arial MT"/>
                <w:sz w:val="20"/>
              </w:rPr>
              <w:t>9.1</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55" w:right="12"/>
              <w:jc w:val="center"/>
              <w:rPr>
                <w:rFonts w:ascii="Arial MT"/>
                <w:sz w:val="20"/>
              </w:rPr>
            </w:pPr>
            <w:r>
              <w:rPr>
                <w:rFonts w:ascii="Arial MT"/>
                <w:sz w:val="20"/>
              </w:rPr>
              <w:t>9.5</w:t>
            </w:r>
          </w:p>
        </w:tc>
        <w:tc>
          <w:tcPr>
            <w:tcW w:w="517" w:type="dxa"/>
            <w:tcBorders>
              <w:top w:val="single" w:sz="4" w:space="0" w:color="000000"/>
              <w:left w:val="single" w:sz="4" w:space="0" w:color="000000"/>
              <w:bottom w:val="single" w:sz="4" w:space="0" w:color="000000"/>
            </w:tcBorders>
          </w:tcPr>
          <w:p>
            <w:pPr>
              <w:pStyle w:val="TableParagraph"/>
              <w:spacing w:before="6"/>
              <w:rPr>
                <w:sz w:val="15"/>
              </w:rPr>
            </w:pPr>
          </w:p>
          <w:p>
            <w:pPr>
              <w:pStyle w:val="TableParagraph"/>
              <w:ind w:right="78"/>
              <w:jc w:val="right"/>
              <w:rPr>
                <w:rFonts w:ascii="Arial MT"/>
                <w:sz w:val="20"/>
              </w:rPr>
            </w:pPr>
            <w:r>
              <w:rPr>
                <w:rFonts w:ascii="Arial MT"/>
                <w:sz w:val="20"/>
              </w:rPr>
              <w:t>9.8</w:t>
            </w:r>
          </w:p>
        </w:tc>
      </w:tr>
      <w:tr>
        <w:trPr>
          <w:trHeight w:val="501" w:hRule="atLeast"/>
        </w:trPr>
        <w:tc>
          <w:tcPr>
            <w:tcW w:w="1579" w:type="dxa"/>
            <w:tcBorders>
              <w:top w:val="single" w:sz="4" w:space="0" w:color="000000"/>
              <w:bottom w:val="single" w:sz="4" w:space="0" w:color="000000"/>
              <w:right w:val="single" w:sz="4" w:space="0" w:color="000000"/>
            </w:tcBorders>
          </w:tcPr>
          <w:p>
            <w:pPr>
              <w:pStyle w:val="TableParagraph"/>
              <w:spacing w:line="246" w:lineRule="exact"/>
              <w:ind w:left="117" w:right="1"/>
              <w:jc w:val="center"/>
              <w:rPr>
                <w:sz w:val="20"/>
              </w:rPr>
            </w:pPr>
            <w:r>
              <w:rPr>
                <w:sz w:val="20"/>
              </w:rPr>
              <w:t>對半年繳保費比</w:t>
            </w:r>
          </w:p>
          <w:p>
            <w:pPr>
              <w:pStyle w:val="TableParagraph"/>
              <w:spacing w:line="211" w:lineRule="exact" w:before="25"/>
              <w:ind w:left="114" w:right="1"/>
              <w:jc w:val="center"/>
              <w:rPr>
                <w:rFonts w:ascii="Arial MT"/>
                <w:sz w:val="20"/>
              </w:rPr>
            </w:pPr>
            <w:r>
              <w:rPr>
                <w:rFonts w:ascii="Arial MT"/>
                <w:sz w:val="20"/>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left="44" w:right="27"/>
              <w:jc w:val="center"/>
              <w:rPr>
                <w:rFonts w:ascii="Arial MT"/>
                <w:sz w:val="20"/>
              </w:rPr>
            </w:pPr>
            <w:r>
              <w:rPr>
                <w:rFonts w:ascii="Arial MT"/>
                <w:sz w:val="20"/>
              </w:rPr>
              <w:t>10.0</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left="69"/>
              <w:rPr>
                <w:rFonts w:ascii="Arial MT"/>
                <w:sz w:val="20"/>
              </w:rPr>
            </w:pPr>
            <w:r>
              <w:rPr>
                <w:rFonts w:ascii="Arial MT"/>
                <w:sz w:val="20"/>
              </w:rPr>
              <w:t>10.7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right="49"/>
              <w:jc w:val="right"/>
              <w:rPr>
                <w:rFonts w:ascii="Arial MT"/>
                <w:sz w:val="20"/>
              </w:rPr>
            </w:pPr>
            <w:r>
              <w:rPr>
                <w:rFonts w:ascii="Arial MT"/>
                <w:sz w:val="20"/>
              </w:rPr>
              <w:t>11.4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left="72"/>
              <w:rPr>
                <w:rFonts w:ascii="Arial MT"/>
                <w:sz w:val="20"/>
              </w:rPr>
            </w:pPr>
            <w:r>
              <w:rPr>
                <w:rFonts w:ascii="Arial MT"/>
                <w:sz w:val="20"/>
              </w:rPr>
              <w:t>12.1</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right="48"/>
              <w:jc w:val="right"/>
              <w:rPr>
                <w:rFonts w:ascii="Arial MT"/>
                <w:sz w:val="20"/>
              </w:rPr>
            </w:pPr>
            <w:r>
              <w:rPr>
                <w:rFonts w:ascii="Arial MT"/>
                <w:sz w:val="20"/>
              </w:rPr>
              <w:t>12.8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left="47" w:right="26"/>
              <w:jc w:val="center"/>
              <w:rPr>
                <w:rFonts w:ascii="Arial MT"/>
                <w:sz w:val="20"/>
              </w:rPr>
            </w:pPr>
            <w:r>
              <w:rPr>
                <w:rFonts w:ascii="Arial MT"/>
                <w:sz w:val="20"/>
              </w:rPr>
              <w:t>13.4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right="47"/>
              <w:jc w:val="right"/>
              <w:rPr>
                <w:rFonts w:ascii="Arial MT"/>
                <w:sz w:val="20"/>
              </w:rPr>
            </w:pPr>
            <w:r>
              <w:rPr>
                <w:rFonts w:ascii="Arial MT"/>
                <w:sz w:val="20"/>
              </w:rPr>
              <w:t>14.1</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left="47" w:right="24"/>
              <w:jc w:val="center"/>
              <w:rPr>
                <w:rFonts w:ascii="Arial MT"/>
                <w:sz w:val="20"/>
              </w:rPr>
            </w:pPr>
            <w:r>
              <w:rPr>
                <w:rFonts w:ascii="Arial MT"/>
                <w:sz w:val="20"/>
              </w:rPr>
              <w:t>14.8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right="46"/>
              <w:jc w:val="right"/>
              <w:rPr>
                <w:rFonts w:ascii="Arial MT"/>
                <w:sz w:val="20"/>
              </w:rPr>
            </w:pPr>
            <w:r>
              <w:rPr>
                <w:rFonts w:ascii="Arial MT"/>
                <w:sz w:val="20"/>
              </w:rPr>
              <w:t>15.5</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left="52" w:right="24"/>
              <w:jc w:val="center"/>
              <w:rPr>
                <w:rFonts w:ascii="Arial MT"/>
                <w:sz w:val="20"/>
              </w:rPr>
            </w:pPr>
            <w:r>
              <w:rPr>
                <w:rFonts w:ascii="Arial MT"/>
                <w:sz w:val="20"/>
              </w:rPr>
              <w:t>16.2</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right="42"/>
              <w:jc w:val="right"/>
              <w:rPr>
                <w:rFonts w:ascii="Arial MT"/>
                <w:sz w:val="20"/>
              </w:rPr>
            </w:pPr>
            <w:r>
              <w:rPr>
                <w:rFonts w:ascii="Arial MT"/>
                <w:sz w:val="20"/>
              </w:rPr>
              <w:t>16.9</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left="54" w:right="23"/>
              <w:jc w:val="center"/>
              <w:rPr>
                <w:rFonts w:ascii="Arial MT"/>
                <w:sz w:val="20"/>
              </w:rPr>
            </w:pPr>
            <w:r>
              <w:rPr>
                <w:rFonts w:ascii="Arial MT"/>
                <w:sz w:val="20"/>
              </w:rPr>
              <w:t>17.6</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right="43"/>
              <w:jc w:val="right"/>
              <w:rPr>
                <w:rFonts w:ascii="Arial MT"/>
                <w:sz w:val="20"/>
              </w:rPr>
            </w:pPr>
            <w:r>
              <w:rPr>
                <w:rFonts w:ascii="Arial MT"/>
                <w:sz w:val="20"/>
              </w:rPr>
              <w:t>18.3</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before="9"/>
              <w:rPr>
                <w:sz w:val="15"/>
              </w:rPr>
            </w:pPr>
          </w:p>
          <w:p>
            <w:pPr>
              <w:pStyle w:val="TableParagraph"/>
              <w:ind w:left="55" w:right="22"/>
              <w:jc w:val="center"/>
              <w:rPr>
                <w:rFonts w:ascii="Arial MT"/>
                <w:sz w:val="20"/>
              </w:rPr>
            </w:pPr>
            <w:r>
              <w:rPr>
                <w:rFonts w:ascii="Arial MT"/>
                <w:sz w:val="20"/>
              </w:rPr>
              <w:t>19.0</w:t>
            </w:r>
          </w:p>
        </w:tc>
        <w:tc>
          <w:tcPr>
            <w:tcW w:w="517" w:type="dxa"/>
            <w:tcBorders>
              <w:top w:val="single" w:sz="4" w:space="0" w:color="000000"/>
              <w:left w:val="single" w:sz="4" w:space="0" w:color="000000"/>
              <w:bottom w:val="single" w:sz="4" w:space="0" w:color="000000"/>
            </w:tcBorders>
          </w:tcPr>
          <w:p>
            <w:pPr>
              <w:pStyle w:val="TableParagraph"/>
              <w:spacing w:before="9"/>
              <w:rPr>
                <w:sz w:val="15"/>
              </w:rPr>
            </w:pPr>
          </w:p>
          <w:p>
            <w:pPr>
              <w:pStyle w:val="TableParagraph"/>
              <w:ind w:right="27"/>
              <w:jc w:val="right"/>
              <w:rPr>
                <w:rFonts w:ascii="Arial MT"/>
                <w:sz w:val="20"/>
              </w:rPr>
            </w:pPr>
            <w:r>
              <w:rPr>
                <w:rFonts w:ascii="Arial MT"/>
                <w:sz w:val="20"/>
              </w:rPr>
              <w:t>19.7</w:t>
            </w:r>
          </w:p>
        </w:tc>
      </w:tr>
      <w:tr>
        <w:trPr>
          <w:trHeight w:val="498" w:hRule="atLeast"/>
        </w:trPr>
        <w:tc>
          <w:tcPr>
            <w:tcW w:w="1579" w:type="dxa"/>
            <w:tcBorders>
              <w:top w:val="single" w:sz="4" w:space="0" w:color="000000"/>
              <w:bottom w:val="single" w:sz="4" w:space="0" w:color="000000"/>
              <w:right w:val="single" w:sz="4" w:space="0" w:color="000000"/>
            </w:tcBorders>
          </w:tcPr>
          <w:p>
            <w:pPr>
              <w:pStyle w:val="TableParagraph"/>
              <w:spacing w:line="246" w:lineRule="exact"/>
              <w:ind w:left="115" w:right="1"/>
              <w:jc w:val="center"/>
              <w:rPr>
                <w:sz w:val="20"/>
              </w:rPr>
            </w:pPr>
            <w:r>
              <w:rPr>
                <w:sz w:val="20"/>
              </w:rPr>
              <w:t>對季繳保費比</w:t>
            </w:r>
          </w:p>
          <w:p>
            <w:pPr>
              <w:pStyle w:val="TableParagraph"/>
              <w:spacing w:line="211" w:lineRule="exact" w:before="22"/>
              <w:ind w:left="114" w:right="1"/>
              <w:jc w:val="center"/>
              <w:rPr>
                <w:rFonts w:ascii="Arial MT"/>
                <w:sz w:val="20"/>
              </w:rPr>
            </w:pPr>
            <w:r>
              <w:rPr>
                <w:rFonts w:ascii="Arial MT"/>
                <w:sz w:val="20"/>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44" w:right="27"/>
              <w:jc w:val="center"/>
              <w:rPr>
                <w:rFonts w:ascii="Arial MT"/>
                <w:sz w:val="20"/>
              </w:rPr>
            </w:pPr>
            <w:r>
              <w:rPr>
                <w:rFonts w:ascii="Arial MT"/>
                <w:sz w:val="20"/>
              </w:rPr>
              <w:t>20.0</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69"/>
              <w:rPr>
                <w:rFonts w:ascii="Arial MT"/>
                <w:sz w:val="20"/>
              </w:rPr>
            </w:pPr>
            <w:r>
              <w:rPr>
                <w:rFonts w:ascii="Arial MT"/>
                <w:sz w:val="20"/>
              </w:rPr>
              <w:t>21.2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9"/>
              <w:jc w:val="right"/>
              <w:rPr>
                <w:rFonts w:ascii="Arial MT"/>
                <w:sz w:val="20"/>
              </w:rPr>
            </w:pPr>
            <w:r>
              <w:rPr>
                <w:rFonts w:ascii="Arial MT"/>
                <w:sz w:val="20"/>
              </w:rPr>
              <w:t>22.4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72"/>
              <w:rPr>
                <w:rFonts w:ascii="Arial MT"/>
                <w:sz w:val="20"/>
              </w:rPr>
            </w:pPr>
            <w:r>
              <w:rPr>
                <w:rFonts w:ascii="Arial MT"/>
                <w:sz w:val="20"/>
              </w:rPr>
              <w:t>23.6</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8"/>
              <w:jc w:val="right"/>
              <w:rPr>
                <w:rFonts w:ascii="Arial MT"/>
                <w:sz w:val="20"/>
              </w:rPr>
            </w:pPr>
            <w:r>
              <w:rPr>
                <w:rFonts w:ascii="Arial MT"/>
                <w:sz w:val="20"/>
              </w:rPr>
              <w:t>24.8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47" w:right="26"/>
              <w:jc w:val="center"/>
              <w:rPr>
                <w:rFonts w:ascii="Arial MT"/>
                <w:sz w:val="20"/>
              </w:rPr>
            </w:pPr>
            <w:r>
              <w:rPr>
                <w:rFonts w:ascii="Arial MT"/>
                <w:sz w:val="20"/>
              </w:rPr>
              <w:t>26.0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7"/>
              <w:jc w:val="right"/>
              <w:rPr>
                <w:rFonts w:ascii="Arial MT"/>
                <w:sz w:val="20"/>
              </w:rPr>
            </w:pPr>
            <w:r>
              <w:rPr>
                <w:rFonts w:ascii="Arial MT"/>
                <w:sz w:val="20"/>
              </w:rPr>
              <w:t>27.2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47" w:right="24"/>
              <w:jc w:val="center"/>
              <w:rPr>
                <w:rFonts w:ascii="Arial MT"/>
                <w:sz w:val="20"/>
              </w:rPr>
            </w:pPr>
            <w:r>
              <w:rPr>
                <w:rFonts w:ascii="Arial MT"/>
                <w:sz w:val="20"/>
              </w:rPr>
              <w:t>28.4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6"/>
              <w:jc w:val="right"/>
              <w:rPr>
                <w:rFonts w:ascii="Arial MT"/>
                <w:sz w:val="20"/>
              </w:rPr>
            </w:pPr>
            <w:r>
              <w:rPr>
                <w:rFonts w:ascii="Arial MT"/>
                <w:sz w:val="20"/>
              </w:rPr>
              <w:t>29.7</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52" w:right="24"/>
              <w:jc w:val="center"/>
              <w:rPr>
                <w:rFonts w:ascii="Arial MT"/>
                <w:sz w:val="20"/>
              </w:rPr>
            </w:pPr>
            <w:r>
              <w:rPr>
                <w:rFonts w:ascii="Arial MT"/>
                <w:sz w:val="20"/>
              </w:rPr>
              <w:t>30.9</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2"/>
              <w:jc w:val="right"/>
              <w:rPr>
                <w:rFonts w:ascii="Arial MT"/>
                <w:sz w:val="20"/>
              </w:rPr>
            </w:pPr>
            <w:r>
              <w:rPr>
                <w:rFonts w:ascii="Arial MT"/>
                <w:sz w:val="20"/>
              </w:rPr>
              <w:t>32.1</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54" w:right="23"/>
              <w:jc w:val="center"/>
              <w:rPr>
                <w:rFonts w:ascii="Arial MT"/>
                <w:sz w:val="20"/>
              </w:rPr>
            </w:pPr>
            <w:r>
              <w:rPr>
                <w:rFonts w:ascii="Arial MT"/>
                <w:sz w:val="20"/>
              </w:rPr>
              <w:t>33.3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3"/>
              <w:jc w:val="right"/>
              <w:rPr>
                <w:rFonts w:ascii="Arial MT"/>
                <w:sz w:val="20"/>
              </w:rPr>
            </w:pPr>
            <w:r>
              <w:rPr>
                <w:rFonts w:ascii="Arial MT"/>
                <w:sz w:val="20"/>
              </w:rPr>
              <w:t>34.5</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55" w:right="22"/>
              <w:jc w:val="center"/>
              <w:rPr>
                <w:rFonts w:ascii="Arial MT"/>
                <w:sz w:val="20"/>
              </w:rPr>
            </w:pPr>
            <w:r>
              <w:rPr>
                <w:rFonts w:ascii="Arial MT"/>
                <w:sz w:val="20"/>
              </w:rPr>
              <w:t>35.7</w:t>
            </w:r>
          </w:p>
        </w:tc>
        <w:tc>
          <w:tcPr>
            <w:tcW w:w="517" w:type="dxa"/>
            <w:tcBorders>
              <w:top w:val="single" w:sz="4" w:space="0" w:color="000000"/>
              <w:left w:val="single" w:sz="4" w:space="0" w:color="000000"/>
              <w:bottom w:val="single" w:sz="4" w:space="0" w:color="000000"/>
            </w:tcBorders>
          </w:tcPr>
          <w:p>
            <w:pPr>
              <w:pStyle w:val="TableParagraph"/>
              <w:spacing w:before="6"/>
              <w:rPr>
                <w:sz w:val="15"/>
              </w:rPr>
            </w:pPr>
          </w:p>
          <w:p>
            <w:pPr>
              <w:pStyle w:val="TableParagraph"/>
              <w:ind w:right="27"/>
              <w:jc w:val="right"/>
              <w:rPr>
                <w:rFonts w:ascii="Arial MT"/>
                <w:sz w:val="20"/>
              </w:rPr>
            </w:pPr>
            <w:r>
              <w:rPr>
                <w:rFonts w:ascii="Arial MT"/>
                <w:sz w:val="20"/>
              </w:rPr>
              <w:t>36.9</w:t>
            </w:r>
          </w:p>
        </w:tc>
      </w:tr>
      <w:tr>
        <w:trPr>
          <w:trHeight w:val="359" w:hRule="atLeast"/>
        </w:trPr>
        <w:tc>
          <w:tcPr>
            <w:tcW w:w="1579" w:type="dxa"/>
            <w:tcBorders>
              <w:top w:val="single" w:sz="4" w:space="0" w:color="000000"/>
              <w:bottom w:val="single" w:sz="4" w:space="0" w:color="000000"/>
              <w:right w:val="single" w:sz="4" w:space="0" w:color="000000"/>
            </w:tcBorders>
            <w:shd w:val="clear" w:color="auto" w:fill="D9D9D9"/>
          </w:tcPr>
          <w:p>
            <w:pPr>
              <w:pStyle w:val="TableParagraph"/>
              <w:spacing w:line="249" w:lineRule="exact" w:before="90"/>
              <w:ind w:left="24" w:right="1"/>
              <w:jc w:val="center"/>
              <w:rPr>
                <w:sz w:val="20"/>
              </w:rPr>
            </w:pPr>
            <w:r>
              <w:rPr>
                <w:w w:val="95"/>
                <w:sz w:val="20"/>
              </w:rPr>
              <w:t>日數</w:t>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left="47" w:right="23"/>
              <w:jc w:val="center"/>
              <w:rPr>
                <w:rFonts w:ascii="Arial MT"/>
                <w:sz w:val="20"/>
              </w:rPr>
            </w:pPr>
            <w:r>
              <w:rPr>
                <w:rFonts w:ascii="Arial MT"/>
                <w:sz w:val="20"/>
              </w:rPr>
              <w:t>16</w:t>
            </w:r>
          </w:p>
        </w:tc>
        <w:tc>
          <w:tcPr>
            <w:tcW w:w="5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left="156"/>
              <w:rPr>
                <w:rFonts w:ascii="Arial MT"/>
                <w:sz w:val="20"/>
              </w:rPr>
            </w:pPr>
            <w:r>
              <w:rPr>
                <w:rFonts w:ascii="Arial MT"/>
                <w:sz w:val="20"/>
              </w:rPr>
              <w:t>17</w:t>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right="128"/>
              <w:jc w:val="right"/>
              <w:rPr>
                <w:rFonts w:ascii="Arial MT"/>
                <w:sz w:val="20"/>
              </w:rPr>
            </w:pPr>
            <w:r>
              <w:rPr>
                <w:rFonts w:ascii="Arial MT"/>
                <w:sz w:val="20"/>
              </w:rPr>
              <w:t>18</w:t>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left="159"/>
              <w:rPr>
                <w:rFonts w:ascii="Arial MT"/>
                <w:sz w:val="20"/>
              </w:rPr>
            </w:pPr>
            <w:r>
              <w:rPr>
                <w:rFonts w:ascii="Arial MT"/>
                <w:sz w:val="20"/>
              </w:rPr>
              <w:t>19</w:t>
            </w:r>
          </w:p>
        </w:tc>
        <w:tc>
          <w:tcPr>
            <w:tcW w:w="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right="127"/>
              <w:jc w:val="right"/>
              <w:rPr>
                <w:rFonts w:ascii="Arial MT"/>
                <w:sz w:val="20"/>
              </w:rPr>
            </w:pPr>
            <w:r>
              <w:rPr>
                <w:rFonts w:ascii="Arial MT"/>
                <w:sz w:val="20"/>
              </w:rPr>
              <w:t>20</w:t>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left="47" w:right="19"/>
              <w:jc w:val="center"/>
              <w:rPr>
                <w:rFonts w:ascii="Arial MT"/>
                <w:sz w:val="20"/>
              </w:rPr>
            </w:pPr>
            <w:r>
              <w:rPr>
                <w:rFonts w:ascii="Arial MT"/>
                <w:sz w:val="20"/>
              </w:rPr>
              <w:t>21</w:t>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right="126"/>
              <w:jc w:val="right"/>
              <w:rPr>
                <w:rFonts w:ascii="Arial MT"/>
                <w:sz w:val="20"/>
              </w:rPr>
            </w:pPr>
            <w:r>
              <w:rPr>
                <w:rFonts w:ascii="Arial MT"/>
                <w:sz w:val="20"/>
              </w:rPr>
              <w:t>22</w:t>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left="47" w:right="16"/>
              <w:jc w:val="center"/>
              <w:rPr>
                <w:rFonts w:ascii="Arial MT"/>
                <w:sz w:val="20"/>
              </w:rPr>
            </w:pPr>
            <w:r>
              <w:rPr>
                <w:rFonts w:ascii="Arial MT"/>
                <w:sz w:val="20"/>
              </w:rPr>
              <w:t>23</w:t>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right="125"/>
              <w:jc w:val="right"/>
              <w:rPr>
                <w:rFonts w:ascii="Arial MT"/>
                <w:sz w:val="20"/>
              </w:rPr>
            </w:pPr>
            <w:r>
              <w:rPr>
                <w:rFonts w:ascii="Arial MT"/>
                <w:sz w:val="20"/>
              </w:rPr>
              <w:t>24</w:t>
            </w:r>
          </w:p>
        </w:tc>
        <w:tc>
          <w:tcPr>
            <w:tcW w:w="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left="54" w:right="19"/>
              <w:jc w:val="center"/>
              <w:rPr>
                <w:rFonts w:ascii="Arial MT"/>
                <w:sz w:val="20"/>
              </w:rPr>
            </w:pPr>
            <w:r>
              <w:rPr>
                <w:rFonts w:ascii="Arial MT"/>
                <w:sz w:val="20"/>
              </w:rPr>
              <w:t>25</w:t>
            </w:r>
          </w:p>
        </w:tc>
        <w:tc>
          <w:tcPr>
            <w:tcW w:w="5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right="121"/>
              <w:jc w:val="right"/>
              <w:rPr>
                <w:rFonts w:ascii="Arial MT"/>
                <w:sz w:val="20"/>
              </w:rPr>
            </w:pPr>
            <w:r>
              <w:rPr>
                <w:rFonts w:ascii="Arial MT"/>
                <w:sz w:val="20"/>
              </w:rPr>
              <w:t>26</w:t>
            </w:r>
          </w:p>
        </w:tc>
        <w:tc>
          <w:tcPr>
            <w:tcW w:w="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left="54" w:right="15"/>
              <w:jc w:val="center"/>
              <w:rPr>
                <w:rFonts w:ascii="Arial MT"/>
                <w:sz w:val="20"/>
              </w:rPr>
            </w:pPr>
            <w:r>
              <w:rPr>
                <w:rFonts w:ascii="Arial MT"/>
                <w:sz w:val="20"/>
              </w:rPr>
              <w:t>27</w:t>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right="122"/>
              <w:jc w:val="right"/>
              <w:rPr>
                <w:rFonts w:ascii="Arial MT"/>
                <w:sz w:val="20"/>
              </w:rPr>
            </w:pPr>
            <w:r>
              <w:rPr>
                <w:rFonts w:ascii="Arial MT"/>
                <w:sz w:val="20"/>
              </w:rPr>
              <w:t>28</w:t>
            </w:r>
          </w:p>
        </w:tc>
        <w:tc>
          <w:tcPr>
            <w:tcW w:w="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1" w:lineRule="exact" w:before="129"/>
              <w:ind w:left="55" w:right="15"/>
              <w:jc w:val="center"/>
              <w:rPr>
                <w:rFonts w:ascii="Arial MT"/>
                <w:sz w:val="20"/>
              </w:rPr>
            </w:pPr>
            <w:r>
              <w:rPr>
                <w:rFonts w:ascii="Arial MT"/>
                <w:sz w:val="20"/>
              </w:rPr>
              <w:t>29</w:t>
            </w:r>
          </w:p>
        </w:tc>
        <w:tc>
          <w:tcPr>
            <w:tcW w:w="517" w:type="dxa"/>
            <w:tcBorders>
              <w:top w:val="single" w:sz="4" w:space="0" w:color="000000"/>
              <w:left w:val="single" w:sz="4" w:space="0" w:color="000000"/>
              <w:bottom w:val="single" w:sz="4" w:space="0" w:color="000000"/>
            </w:tcBorders>
            <w:shd w:val="clear" w:color="auto" w:fill="D9D9D9"/>
          </w:tcPr>
          <w:p>
            <w:pPr>
              <w:pStyle w:val="TableParagraph"/>
              <w:spacing w:line="211" w:lineRule="exact" w:before="129"/>
              <w:ind w:right="106"/>
              <w:jc w:val="right"/>
              <w:rPr>
                <w:rFonts w:ascii="Arial MT"/>
                <w:sz w:val="20"/>
              </w:rPr>
            </w:pPr>
            <w:r>
              <w:rPr>
                <w:rFonts w:ascii="Arial MT"/>
                <w:sz w:val="20"/>
              </w:rPr>
              <w:t>30</w:t>
            </w:r>
          </w:p>
        </w:tc>
      </w:tr>
      <w:tr>
        <w:trPr>
          <w:trHeight w:val="501" w:hRule="atLeast"/>
        </w:trPr>
        <w:tc>
          <w:tcPr>
            <w:tcW w:w="1579" w:type="dxa"/>
            <w:tcBorders>
              <w:top w:val="single" w:sz="4" w:space="0" w:color="000000"/>
              <w:bottom w:val="single" w:sz="4" w:space="0" w:color="000000"/>
              <w:right w:val="single" w:sz="4" w:space="0" w:color="000000"/>
            </w:tcBorders>
          </w:tcPr>
          <w:p>
            <w:pPr>
              <w:pStyle w:val="TableParagraph"/>
              <w:spacing w:line="248" w:lineRule="exact"/>
              <w:ind w:left="115" w:right="1"/>
              <w:jc w:val="center"/>
              <w:rPr>
                <w:sz w:val="20"/>
              </w:rPr>
            </w:pPr>
            <w:r>
              <w:rPr>
                <w:sz w:val="20"/>
              </w:rPr>
              <w:t>對年繳保費比</w:t>
            </w:r>
          </w:p>
          <w:p>
            <w:pPr>
              <w:pStyle w:val="TableParagraph"/>
              <w:spacing w:line="211" w:lineRule="exact" w:before="22"/>
              <w:ind w:left="114" w:right="1"/>
              <w:jc w:val="center"/>
              <w:rPr>
                <w:rFonts w:ascii="Arial MT"/>
                <w:sz w:val="20"/>
              </w:rPr>
            </w:pPr>
            <w:r>
              <w:rPr>
                <w:rFonts w:ascii="Arial MT"/>
                <w:sz w:val="20"/>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left="44" w:right="27"/>
              <w:jc w:val="center"/>
              <w:rPr>
                <w:rFonts w:ascii="Arial MT"/>
                <w:sz w:val="20"/>
              </w:rPr>
            </w:pPr>
            <w:r>
              <w:rPr>
                <w:rFonts w:ascii="Arial MT"/>
                <w:sz w:val="20"/>
              </w:rPr>
              <w:t>10.2</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left="69"/>
              <w:rPr>
                <w:rFonts w:ascii="Arial MT"/>
                <w:sz w:val="20"/>
              </w:rPr>
            </w:pPr>
            <w:r>
              <w:rPr>
                <w:rFonts w:ascii="Arial MT"/>
                <w:sz w:val="20"/>
              </w:rPr>
              <w:t>10.5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right="49"/>
              <w:jc w:val="right"/>
              <w:rPr>
                <w:rFonts w:ascii="Arial MT"/>
                <w:sz w:val="20"/>
              </w:rPr>
            </w:pPr>
            <w:r>
              <w:rPr>
                <w:rFonts w:ascii="Arial MT"/>
                <w:sz w:val="20"/>
              </w:rPr>
              <w:t>10.9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left="72"/>
              <w:rPr>
                <w:rFonts w:ascii="Arial MT"/>
                <w:sz w:val="20"/>
              </w:rPr>
            </w:pPr>
            <w:r>
              <w:rPr>
                <w:rFonts w:ascii="Arial MT"/>
                <w:sz w:val="20"/>
              </w:rPr>
              <w:t>11.2</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right="48"/>
              <w:jc w:val="right"/>
              <w:rPr>
                <w:rFonts w:ascii="Arial MT"/>
                <w:sz w:val="20"/>
              </w:rPr>
            </w:pPr>
            <w:r>
              <w:rPr>
                <w:rFonts w:ascii="Arial MT"/>
                <w:sz w:val="20"/>
              </w:rPr>
              <w:t>11.6</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left="47" w:right="26"/>
              <w:jc w:val="center"/>
              <w:rPr>
                <w:rFonts w:ascii="Arial MT"/>
                <w:sz w:val="20"/>
              </w:rPr>
            </w:pPr>
            <w:r>
              <w:rPr>
                <w:rFonts w:ascii="Arial MT"/>
                <w:sz w:val="20"/>
              </w:rPr>
              <w:t>11.9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right="47"/>
              <w:jc w:val="right"/>
              <w:rPr>
                <w:rFonts w:ascii="Arial MT"/>
                <w:sz w:val="20"/>
              </w:rPr>
            </w:pPr>
            <w:r>
              <w:rPr>
                <w:rFonts w:ascii="Arial MT"/>
                <w:sz w:val="20"/>
              </w:rPr>
              <w:t>12.2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left="47" w:right="24"/>
              <w:jc w:val="center"/>
              <w:rPr>
                <w:rFonts w:ascii="Arial MT"/>
                <w:sz w:val="20"/>
              </w:rPr>
            </w:pPr>
            <w:r>
              <w:rPr>
                <w:rFonts w:ascii="Arial MT"/>
                <w:sz w:val="20"/>
              </w:rPr>
              <w:t>12.6</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right="46"/>
              <w:jc w:val="right"/>
              <w:rPr>
                <w:rFonts w:ascii="Arial MT"/>
                <w:sz w:val="20"/>
              </w:rPr>
            </w:pPr>
            <w:r>
              <w:rPr>
                <w:rFonts w:ascii="Arial MT"/>
                <w:sz w:val="20"/>
              </w:rPr>
              <w:t>12.9</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left="52" w:right="24"/>
              <w:jc w:val="center"/>
              <w:rPr>
                <w:rFonts w:ascii="Arial MT"/>
                <w:sz w:val="20"/>
              </w:rPr>
            </w:pPr>
            <w:r>
              <w:rPr>
                <w:rFonts w:ascii="Arial MT"/>
                <w:sz w:val="20"/>
              </w:rPr>
              <w:t>13.3</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right="42"/>
              <w:jc w:val="right"/>
              <w:rPr>
                <w:rFonts w:ascii="Arial MT"/>
                <w:sz w:val="20"/>
              </w:rPr>
            </w:pPr>
            <w:r>
              <w:rPr>
                <w:rFonts w:ascii="Arial MT"/>
                <w:sz w:val="20"/>
              </w:rPr>
              <w:t>13.6</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left="54" w:right="23"/>
              <w:jc w:val="center"/>
              <w:rPr>
                <w:rFonts w:ascii="Arial MT"/>
                <w:sz w:val="20"/>
              </w:rPr>
            </w:pPr>
            <w:r>
              <w:rPr>
                <w:rFonts w:ascii="Arial MT"/>
                <w:sz w:val="20"/>
              </w:rPr>
              <w:t>14.0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right="43"/>
              <w:jc w:val="right"/>
              <w:rPr>
                <w:rFonts w:ascii="Arial MT"/>
                <w:sz w:val="20"/>
              </w:rPr>
            </w:pPr>
            <w:r>
              <w:rPr>
                <w:rFonts w:ascii="Arial MT"/>
                <w:sz w:val="20"/>
              </w:rPr>
              <w:t>14.3</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before="1"/>
              <w:ind w:left="55" w:right="22"/>
              <w:jc w:val="center"/>
              <w:rPr>
                <w:rFonts w:ascii="Arial MT"/>
                <w:sz w:val="20"/>
              </w:rPr>
            </w:pPr>
            <w:r>
              <w:rPr>
                <w:rFonts w:ascii="Arial MT"/>
                <w:sz w:val="20"/>
              </w:rPr>
              <w:t>14.7</w:t>
            </w:r>
          </w:p>
        </w:tc>
        <w:tc>
          <w:tcPr>
            <w:tcW w:w="517" w:type="dxa"/>
            <w:tcBorders>
              <w:top w:val="single" w:sz="4" w:space="0" w:color="000000"/>
              <w:left w:val="single" w:sz="4" w:space="0" w:color="000000"/>
              <w:bottom w:val="single" w:sz="4" w:space="0" w:color="000000"/>
            </w:tcBorders>
          </w:tcPr>
          <w:p>
            <w:pPr>
              <w:pStyle w:val="TableParagraph"/>
              <w:spacing w:before="8"/>
              <w:rPr>
                <w:sz w:val="15"/>
              </w:rPr>
            </w:pPr>
          </w:p>
          <w:p>
            <w:pPr>
              <w:pStyle w:val="TableParagraph"/>
              <w:spacing w:before="1"/>
              <w:ind w:right="27"/>
              <w:jc w:val="right"/>
              <w:rPr>
                <w:rFonts w:ascii="Arial MT"/>
                <w:sz w:val="20"/>
              </w:rPr>
            </w:pPr>
            <w:r>
              <w:rPr>
                <w:rFonts w:ascii="Arial MT"/>
                <w:sz w:val="20"/>
              </w:rPr>
              <w:t>15.0</w:t>
            </w:r>
          </w:p>
        </w:tc>
      </w:tr>
      <w:tr>
        <w:trPr>
          <w:trHeight w:val="501" w:hRule="atLeast"/>
        </w:trPr>
        <w:tc>
          <w:tcPr>
            <w:tcW w:w="1579" w:type="dxa"/>
            <w:tcBorders>
              <w:top w:val="single" w:sz="4" w:space="0" w:color="000000"/>
              <w:bottom w:val="single" w:sz="4" w:space="0" w:color="000000"/>
              <w:right w:val="single" w:sz="4" w:space="0" w:color="000000"/>
            </w:tcBorders>
          </w:tcPr>
          <w:p>
            <w:pPr>
              <w:pStyle w:val="TableParagraph"/>
              <w:spacing w:line="246" w:lineRule="exact"/>
              <w:ind w:left="117" w:right="1"/>
              <w:jc w:val="center"/>
              <w:rPr>
                <w:sz w:val="20"/>
              </w:rPr>
            </w:pPr>
            <w:r>
              <w:rPr>
                <w:sz w:val="20"/>
              </w:rPr>
              <w:t>對半年繳保費比</w:t>
            </w:r>
          </w:p>
          <w:p>
            <w:pPr>
              <w:pStyle w:val="TableParagraph"/>
              <w:spacing w:line="211" w:lineRule="exact" w:before="25"/>
              <w:ind w:left="114" w:right="1"/>
              <w:jc w:val="center"/>
              <w:rPr>
                <w:rFonts w:ascii="Arial MT"/>
                <w:sz w:val="20"/>
              </w:rPr>
            </w:pPr>
            <w:r>
              <w:rPr>
                <w:rFonts w:ascii="Arial MT"/>
                <w:sz w:val="20"/>
              </w:rPr>
              <w:t>(%)</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44" w:right="27"/>
              <w:jc w:val="center"/>
              <w:rPr>
                <w:rFonts w:ascii="Arial MT"/>
                <w:sz w:val="20"/>
              </w:rPr>
            </w:pPr>
            <w:r>
              <w:rPr>
                <w:rFonts w:ascii="Arial MT"/>
                <w:sz w:val="20"/>
              </w:rPr>
              <w:t>20.3</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69"/>
              <w:rPr>
                <w:rFonts w:ascii="Arial MT"/>
                <w:sz w:val="20"/>
              </w:rPr>
            </w:pPr>
            <w:r>
              <w:rPr>
                <w:rFonts w:ascii="Arial MT"/>
                <w:sz w:val="20"/>
              </w:rPr>
              <w:t>21.0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9"/>
              <w:jc w:val="right"/>
              <w:rPr>
                <w:rFonts w:ascii="Arial MT"/>
                <w:sz w:val="20"/>
              </w:rPr>
            </w:pPr>
            <w:r>
              <w:rPr>
                <w:rFonts w:ascii="Arial MT"/>
                <w:sz w:val="20"/>
              </w:rPr>
              <w:t>21.7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72"/>
              <w:rPr>
                <w:rFonts w:ascii="Arial MT"/>
                <w:sz w:val="20"/>
              </w:rPr>
            </w:pPr>
            <w:r>
              <w:rPr>
                <w:rFonts w:ascii="Arial MT"/>
                <w:sz w:val="20"/>
              </w:rPr>
              <w:t>22.4</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8"/>
              <w:jc w:val="right"/>
              <w:rPr>
                <w:rFonts w:ascii="Arial MT"/>
                <w:sz w:val="20"/>
              </w:rPr>
            </w:pPr>
            <w:r>
              <w:rPr>
                <w:rFonts w:ascii="Arial MT"/>
                <w:sz w:val="20"/>
              </w:rPr>
              <w:t>23.1</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47" w:right="26"/>
              <w:jc w:val="center"/>
              <w:rPr>
                <w:rFonts w:ascii="Arial MT"/>
                <w:sz w:val="20"/>
              </w:rPr>
            </w:pPr>
            <w:r>
              <w:rPr>
                <w:rFonts w:ascii="Arial MT"/>
                <w:sz w:val="20"/>
              </w:rPr>
              <w:t>23.8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7"/>
              <w:jc w:val="right"/>
              <w:rPr>
                <w:rFonts w:ascii="Arial MT"/>
                <w:sz w:val="20"/>
              </w:rPr>
            </w:pPr>
            <w:r>
              <w:rPr>
                <w:rFonts w:ascii="Arial MT"/>
                <w:sz w:val="20"/>
              </w:rPr>
              <w:t>24.5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47" w:right="24"/>
              <w:jc w:val="center"/>
              <w:rPr>
                <w:rFonts w:ascii="Arial MT"/>
                <w:sz w:val="20"/>
              </w:rPr>
            </w:pPr>
            <w:r>
              <w:rPr>
                <w:rFonts w:ascii="Arial MT"/>
                <w:sz w:val="20"/>
              </w:rPr>
              <w:t>25.2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6"/>
              <w:jc w:val="right"/>
              <w:rPr>
                <w:rFonts w:ascii="Arial MT"/>
                <w:sz w:val="20"/>
              </w:rPr>
            </w:pPr>
            <w:r>
              <w:rPr>
                <w:rFonts w:ascii="Arial MT"/>
                <w:sz w:val="20"/>
              </w:rPr>
              <w:t>25.9</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52" w:right="24"/>
              <w:jc w:val="center"/>
              <w:rPr>
                <w:rFonts w:ascii="Arial MT"/>
                <w:sz w:val="20"/>
              </w:rPr>
            </w:pPr>
            <w:r>
              <w:rPr>
                <w:rFonts w:ascii="Arial MT"/>
                <w:sz w:val="20"/>
              </w:rPr>
              <w:t>26.6</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2"/>
              <w:jc w:val="right"/>
              <w:rPr>
                <w:rFonts w:ascii="Arial MT"/>
                <w:sz w:val="20"/>
              </w:rPr>
            </w:pPr>
            <w:r>
              <w:rPr>
                <w:rFonts w:ascii="Arial MT"/>
                <w:sz w:val="20"/>
              </w:rPr>
              <w:t>27.2</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54" w:right="23"/>
              <w:jc w:val="center"/>
              <w:rPr>
                <w:rFonts w:ascii="Arial MT"/>
                <w:sz w:val="20"/>
              </w:rPr>
            </w:pPr>
            <w:r>
              <w:rPr>
                <w:rFonts w:ascii="Arial MT"/>
                <w:sz w:val="20"/>
              </w:rPr>
              <w:t>27.9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right="43"/>
              <w:jc w:val="right"/>
              <w:rPr>
                <w:rFonts w:ascii="Arial MT"/>
                <w:sz w:val="20"/>
              </w:rPr>
            </w:pPr>
            <w:r>
              <w:rPr>
                <w:rFonts w:ascii="Arial MT"/>
                <w:sz w:val="20"/>
              </w:rPr>
              <w:t>28.6</w:t>
            </w:r>
          </w:p>
        </w:tc>
        <w:tc>
          <w:tcPr>
            <w:tcW w:w="517" w:type="dxa"/>
            <w:tcBorders>
              <w:top w:val="single" w:sz="4" w:space="0" w:color="000000"/>
              <w:left w:val="single" w:sz="4" w:space="0" w:color="000000"/>
              <w:bottom w:val="single" w:sz="4" w:space="0" w:color="000000"/>
              <w:right w:val="single" w:sz="4" w:space="0" w:color="000000"/>
            </w:tcBorders>
          </w:tcPr>
          <w:p>
            <w:pPr>
              <w:pStyle w:val="TableParagraph"/>
              <w:spacing w:before="6"/>
              <w:rPr>
                <w:sz w:val="15"/>
              </w:rPr>
            </w:pPr>
          </w:p>
          <w:p>
            <w:pPr>
              <w:pStyle w:val="TableParagraph"/>
              <w:ind w:left="55" w:right="22"/>
              <w:jc w:val="center"/>
              <w:rPr>
                <w:rFonts w:ascii="Arial MT"/>
                <w:sz w:val="20"/>
              </w:rPr>
            </w:pPr>
            <w:r>
              <w:rPr>
                <w:rFonts w:ascii="Arial MT"/>
                <w:sz w:val="20"/>
              </w:rPr>
              <w:t>29.3</w:t>
            </w:r>
          </w:p>
        </w:tc>
        <w:tc>
          <w:tcPr>
            <w:tcW w:w="517" w:type="dxa"/>
            <w:tcBorders>
              <w:top w:val="single" w:sz="4" w:space="0" w:color="000000"/>
              <w:left w:val="single" w:sz="4" w:space="0" w:color="000000"/>
              <w:bottom w:val="single" w:sz="4" w:space="0" w:color="000000"/>
            </w:tcBorders>
          </w:tcPr>
          <w:p>
            <w:pPr>
              <w:pStyle w:val="TableParagraph"/>
              <w:spacing w:before="6"/>
              <w:rPr>
                <w:sz w:val="15"/>
              </w:rPr>
            </w:pPr>
          </w:p>
          <w:p>
            <w:pPr>
              <w:pStyle w:val="TableParagraph"/>
              <w:ind w:right="27"/>
              <w:jc w:val="right"/>
              <w:rPr>
                <w:rFonts w:ascii="Arial MT"/>
                <w:sz w:val="20"/>
              </w:rPr>
            </w:pPr>
            <w:r>
              <w:rPr>
                <w:rFonts w:ascii="Arial MT"/>
                <w:sz w:val="20"/>
              </w:rPr>
              <w:t>30.0</w:t>
            </w:r>
          </w:p>
        </w:tc>
      </w:tr>
      <w:tr>
        <w:trPr>
          <w:trHeight w:val="498" w:hRule="atLeast"/>
        </w:trPr>
        <w:tc>
          <w:tcPr>
            <w:tcW w:w="1579" w:type="dxa"/>
            <w:tcBorders>
              <w:top w:val="single" w:sz="4" w:space="0" w:color="000000"/>
              <w:right w:val="single" w:sz="4" w:space="0" w:color="000000"/>
            </w:tcBorders>
          </w:tcPr>
          <w:p>
            <w:pPr>
              <w:pStyle w:val="TableParagraph"/>
              <w:spacing w:line="246" w:lineRule="exact"/>
              <w:ind w:left="115" w:right="1"/>
              <w:jc w:val="center"/>
              <w:rPr>
                <w:sz w:val="20"/>
              </w:rPr>
            </w:pPr>
            <w:r>
              <w:rPr>
                <w:sz w:val="20"/>
              </w:rPr>
              <w:t>對季繳保費比</w:t>
            </w:r>
          </w:p>
          <w:p>
            <w:pPr>
              <w:pStyle w:val="TableParagraph"/>
              <w:spacing w:line="210" w:lineRule="exact" w:before="22"/>
              <w:ind w:left="114" w:right="1"/>
              <w:jc w:val="center"/>
              <w:rPr>
                <w:rFonts w:ascii="Arial MT"/>
                <w:sz w:val="20"/>
              </w:rPr>
            </w:pPr>
            <w:r>
              <w:rPr>
                <w:rFonts w:ascii="Arial MT"/>
                <w:sz w:val="20"/>
              </w:rPr>
              <w:t>(%)</w:t>
            </w:r>
          </w:p>
        </w:tc>
        <w:tc>
          <w:tcPr>
            <w:tcW w:w="518"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left="44" w:right="27"/>
              <w:jc w:val="center"/>
              <w:rPr>
                <w:rFonts w:ascii="Arial MT"/>
                <w:sz w:val="20"/>
              </w:rPr>
            </w:pPr>
            <w:r>
              <w:rPr>
                <w:rFonts w:ascii="Arial MT"/>
                <w:sz w:val="20"/>
              </w:rPr>
              <w:t>38.1</w:t>
            </w:r>
          </w:p>
        </w:tc>
        <w:tc>
          <w:tcPr>
            <w:tcW w:w="519"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left="69"/>
              <w:rPr>
                <w:rFonts w:ascii="Arial MT"/>
                <w:sz w:val="20"/>
              </w:rPr>
            </w:pPr>
            <w:r>
              <w:rPr>
                <w:rFonts w:ascii="Arial MT"/>
                <w:sz w:val="20"/>
              </w:rPr>
              <w:t>39.3</w:t>
            </w:r>
          </w:p>
        </w:tc>
        <w:tc>
          <w:tcPr>
            <w:tcW w:w="518"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right="49"/>
              <w:jc w:val="right"/>
              <w:rPr>
                <w:rFonts w:ascii="Arial MT"/>
                <w:sz w:val="20"/>
              </w:rPr>
            </w:pPr>
            <w:r>
              <w:rPr>
                <w:rFonts w:ascii="Arial MT"/>
                <w:sz w:val="20"/>
              </w:rPr>
              <w:t>40.5</w:t>
            </w:r>
          </w:p>
        </w:tc>
        <w:tc>
          <w:tcPr>
            <w:tcW w:w="518"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left="72"/>
              <w:rPr>
                <w:rFonts w:ascii="Arial MT"/>
                <w:sz w:val="20"/>
              </w:rPr>
            </w:pPr>
            <w:r>
              <w:rPr>
                <w:rFonts w:ascii="Arial MT"/>
                <w:sz w:val="20"/>
              </w:rPr>
              <w:t>41.7</w:t>
            </w:r>
          </w:p>
        </w:tc>
        <w:tc>
          <w:tcPr>
            <w:tcW w:w="520"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right="48"/>
              <w:jc w:val="right"/>
              <w:rPr>
                <w:rFonts w:ascii="Arial MT"/>
                <w:sz w:val="20"/>
              </w:rPr>
            </w:pPr>
            <w:r>
              <w:rPr>
                <w:rFonts w:ascii="Arial MT"/>
                <w:sz w:val="20"/>
              </w:rPr>
              <w:t>42.9</w:t>
            </w:r>
          </w:p>
        </w:tc>
        <w:tc>
          <w:tcPr>
            <w:tcW w:w="518"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left="47" w:right="26"/>
              <w:jc w:val="center"/>
              <w:rPr>
                <w:rFonts w:ascii="Arial MT"/>
                <w:sz w:val="20"/>
              </w:rPr>
            </w:pPr>
            <w:r>
              <w:rPr>
                <w:rFonts w:ascii="Arial MT"/>
                <w:sz w:val="20"/>
              </w:rPr>
              <w:t>44.1</w:t>
            </w:r>
          </w:p>
        </w:tc>
        <w:tc>
          <w:tcPr>
            <w:tcW w:w="518"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right="47"/>
              <w:jc w:val="right"/>
              <w:rPr>
                <w:rFonts w:ascii="Arial MT"/>
                <w:sz w:val="20"/>
              </w:rPr>
            </w:pPr>
            <w:r>
              <w:rPr>
                <w:rFonts w:ascii="Arial MT"/>
                <w:sz w:val="20"/>
              </w:rPr>
              <w:t>45.3</w:t>
            </w:r>
          </w:p>
        </w:tc>
        <w:tc>
          <w:tcPr>
            <w:tcW w:w="518"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left="47" w:right="24"/>
              <w:jc w:val="center"/>
              <w:rPr>
                <w:rFonts w:ascii="Arial MT"/>
                <w:sz w:val="20"/>
              </w:rPr>
            </w:pPr>
            <w:r>
              <w:rPr>
                <w:rFonts w:ascii="Arial MT"/>
                <w:sz w:val="20"/>
              </w:rPr>
              <w:t>46.6</w:t>
            </w:r>
          </w:p>
        </w:tc>
        <w:tc>
          <w:tcPr>
            <w:tcW w:w="518"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right="46"/>
              <w:jc w:val="right"/>
              <w:rPr>
                <w:rFonts w:ascii="Arial MT"/>
                <w:sz w:val="20"/>
              </w:rPr>
            </w:pPr>
            <w:r>
              <w:rPr>
                <w:rFonts w:ascii="Arial MT"/>
                <w:sz w:val="20"/>
              </w:rPr>
              <w:t>47.8</w:t>
            </w:r>
          </w:p>
        </w:tc>
        <w:tc>
          <w:tcPr>
            <w:tcW w:w="520"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left="52" w:right="24"/>
              <w:jc w:val="center"/>
              <w:rPr>
                <w:rFonts w:ascii="Arial MT"/>
                <w:sz w:val="20"/>
              </w:rPr>
            </w:pPr>
            <w:r>
              <w:rPr>
                <w:rFonts w:ascii="Arial MT"/>
                <w:sz w:val="20"/>
              </w:rPr>
              <w:t>49.0</w:t>
            </w:r>
          </w:p>
        </w:tc>
        <w:tc>
          <w:tcPr>
            <w:tcW w:w="515"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right="42"/>
              <w:jc w:val="right"/>
              <w:rPr>
                <w:rFonts w:ascii="Arial MT"/>
                <w:sz w:val="20"/>
              </w:rPr>
            </w:pPr>
            <w:r>
              <w:rPr>
                <w:rFonts w:ascii="Arial MT"/>
                <w:sz w:val="20"/>
              </w:rPr>
              <w:t>50.2</w:t>
            </w:r>
          </w:p>
        </w:tc>
        <w:tc>
          <w:tcPr>
            <w:tcW w:w="520"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left="54" w:right="23"/>
              <w:jc w:val="center"/>
              <w:rPr>
                <w:rFonts w:ascii="Arial MT"/>
                <w:sz w:val="20"/>
              </w:rPr>
            </w:pPr>
            <w:r>
              <w:rPr>
                <w:rFonts w:ascii="Arial MT"/>
                <w:sz w:val="20"/>
              </w:rPr>
              <w:t>51.4</w:t>
            </w:r>
          </w:p>
        </w:tc>
        <w:tc>
          <w:tcPr>
            <w:tcW w:w="518"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right="43"/>
              <w:jc w:val="right"/>
              <w:rPr>
                <w:rFonts w:ascii="Arial MT"/>
                <w:sz w:val="20"/>
              </w:rPr>
            </w:pPr>
            <w:r>
              <w:rPr>
                <w:rFonts w:ascii="Arial MT"/>
                <w:sz w:val="20"/>
              </w:rPr>
              <w:t>52.6</w:t>
            </w:r>
          </w:p>
        </w:tc>
        <w:tc>
          <w:tcPr>
            <w:tcW w:w="517" w:type="dxa"/>
            <w:tcBorders>
              <w:top w:val="single" w:sz="4" w:space="0" w:color="000000"/>
              <w:left w:val="single" w:sz="4" w:space="0" w:color="000000"/>
              <w:right w:val="single" w:sz="4" w:space="0" w:color="000000"/>
            </w:tcBorders>
          </w:tcPr>
          <w:p>
            <w:pPr>
              <w:pStyle w:val="TableParagraph"/>
              <w:spacing w:before="6"/>
              <w:rPr>
                <w:sz w:val="15"/>
              </w:rPr>
            </w:pPr>
          </w:p>
          <w:p>
            <w:pPr>
              <w:pStyle w:val="TableParagraph"/>
              <w:ind w:left="55" w:right="22"/>
              <w:jc w:val="center"/>
              <w:rPr>
                <w:rFonts w:ascii="Arial MT"/>
                <w:sz w:val="20"/>
              </w:rPr>
            </w:pPr>
            <w:r>
              <w:rPr>
                <w:rFonts w:ascii="Arial MT"/>
                <w:sz w:val="20"/>
              </w:rPr>
              <w:t>53.8</w:t>
            </w:r>
          </w:p>
        </w:tc>
        <w:tc>
          <w:tcPr>
            <w:tcW w:w="517" w:type="dxa"/>
            <w:tcBorders>
              <w:top w:val="single" w:sz="4" w:space="0" w:color="000000"/>
              <w:left w:val="single" w:sz="4" w:space="0" w:color="000000"/>
            </w:tcBorders>
          </w:tcPr>
          <w:p>
            <w:pPr>
              <w:pStyle w:val="TableParagraph"/>
              <w:spacing w:before="6"/>
              <w:rPr>
                <w:sz w:val="15"/>
              </w:rPr>
            </w:pPr>
          </w:p>
          <w:p>
            <w:pPr>
              <w:pStyle w:val="TableParagraph"/>
              <w:ind w:right="27"/>
              <w:jc w:val="right"/>
              <w:rPr>
                <w:rFonts w:ascii="Arial MT"/>
                <w:sz w:val="20"/>
              </w:rPr>
            </w:pPr>
            <w:r>
              <w:rPr>
                <w:rFonts w:ascii="Arial MT"/>
                <w:sz w:val="20"/>
              </w:rPr>
              <w:t>55.0</w:t>
            </w:r>
          </w:p>
        </w:tc>
      </w:tr>
    </w:tbl>
    <w:sectPr>
      <w:pgSz w:w="11910" w:h="16840"/>
      <w:pgMar w:header="0" w:footer="775" w:top="1360" w:bottom="104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ngLiU-ExtB">
    <w:altName w:val="MingLiU-ExtB"/>
    <w:charset w:val="1"/>
    <w:family w:val="roman"/>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61.609985pt;margin-top:788.160217pt;width:75.1pt;height:12pt;mso-position-horizontal-relative:page;mso-position-vertical-relative:page;z-index:-17056256"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w w:val="95"/>
                    <w:sz w:val="20"/>
                  </w:rPr>
                  <w:t>第</w:t>
                </w:r>
                <w:r>
                  <w:rPr/>
                  <w:fldChar w:fldCharType="begin"/>
                </w:r>
                <w:r>
                  <w:rPr>
                    <w:rFonts w:ascii="Microsoft JhengHei" w:eastAsia="Microsoft JhengHei" w:hint="eastAsia"/>
                    <w:b/>
                    <w:w w:val="95"/>
                    <w:sz w:val="20"/>
                  </w:rPr>
                  <w:instrText> PAGE </w:instrText>
                </w:r>
                <w:r>
                  <w:rPr/>
                  <w:fldChar w:fldCharType="separate"/>
                </w:r>
                <w:r>
                  <w:rPr/>
                  <w:t>10</w:t>
                </w:r>
                <w:r>
                  <w:rPr/>
                  <w:fldChar w:fldCharType="end"/>
                </w:r>
                <w:r>
                  <w:rPr>
                    <w:rFonts w:ascii="Microsoft JhengHei" w:eastAsia="Microsoft JhengHei" w:hint="eastAsia"/>
                    <w:b/>
                    <w:w w:val="95"/>
                    <w:sz w:val="20"/>
                  </w:rPr>
                  <w:t>頁，共11頁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319" w:hanging="167"/>
        <w:jc w:val="left"/>
      </w:pPr>
      <w:rPr>
        <w:rFonts w:hint="default" w:ascii="Arial MT" w:hAnsi="Arial MT" w:eastAsia="Arial MT" w:cs="Arial MT"/>
        <w:spacing w:val="-1"/>
        <w:w w:val="99"/>
        <w:sz w:val="18"/>
        <w:szCs w:val="18"/>
        <w:lang w:val="en-US" w:eastAsia="zh-TW" w:bidi="ar-SA"/>
      </w:rPr>
    </w:lvl>
    <w:lvl w:ilvl="1">
      <w:start w:val="0"/>
      <w:numFmt w:val="bullet"/>
      <w:lvlText w:val="•"/>
      <w:lvlJc w:val="left"/>
      <w:pPr>
        <w:ind w:left="1288" w:hanging="167"/>
      </w:pPr>
      <w:rPr>
        <w:rFonts w:hint="default"/>
        <w:lang w:val="en-US" w:eastAsia="zh-TW" w:bidi="ar-SA"/>
      </w:rPr>
    </w:lvl>
    <w:lvl w:ilvl="2">
      <w:start w:val="0"/>
      <w:numFmt w:val="bullet"/>
      <w:lvlText w:val="•"/>
      <w:lvlJc w:val="left"/>
      <w:pPr>
        <w:ind w:left="2257" w:hanging="167"/>
      </w:pPr>
      <w:rPr>
        <w:rFonts w:hint="default"/>
        <w:lang w:val="en-US" w:eastAsia="zh-TW" w:bidi="ar-SA"/>
      </w:rPr>
    </w:lvl>
    <w:lvl w:ilvl="3">
      <w:start w:val="0"/>
      <w:numFmt w:val="bullet"/>
      <w:lvlText w:val="•"/>
      <w:lvlJc w:val="left"/>
      <w:pPr>
        <w:ind w:left="3225" w:hanging="167"/>
      </w:pPr>
      <w:rPr>
        <w:rFonts w:hint="default"/>
        <w:lang w:val="en-US" w:eastAsia="zh-TW" w:bidi="ar-SA"/>
      </w:rPr>
    </w:lvl>
    <w:lvl w:ilvl="4">
      <w:start w:val="0"/>
      <w:numFmt w:val="bullet"/>
      <w:lvlText w:val="•"/>
      <w:lvlJc w:val="left"/>
      <w:pPr>
        <w:ind w:left="4194" w:hanging="167"/>
      </w:pPr>
      <w:rPr>
        <w:rFonts w:hint="default"/>
        <w:lang w:val="en-US" w:eastAsia="zh-TW" w:bidi="ar-SA"/>
      </w:rPr>
    </w:lvl>
    <w:lvl w:ilvl="5">
      <w:start w:val="0"/>
      <w:numFmt w:val="bullet"/>
      <w:lvlText w:val="•"/>
      <w:lvlJc w:val="left"/>
      <w:pPr>
        <w:ind w:left="5163" w:hanging="167"/>
      </w:pPr>
      <w:rPr>
        <w:rFonts w:hint="default"/>
        <w:lang w:val="en-US" w:eastAsia="zh-TW" w:bidi="ar-SA"/>
      </w:rPr>
    </w:lvl>
    <w:lvl w:ilvl="6">
      <w:start w:val="0"/>
      <w:numFmt w:val="bullet"/>
      <w:lvlText w:val="•"/>
      <w:lvlJc w:val="left"/>
      <w:pPr>
        <w:ind w:left="6131" w:hanging="167"/>
      </w:pPr>
      <w:rPr>
        <w:rFonts w:hint="default"/>
        <w:lang w:val="en-US" w:eastAsia="zh-TW" w:bidi="ar-SA"/>
      </w:rPr>
    </w:lvl>
    <w:lvl w:ilvl="7">
      <w:start w:val="0"/>
      <w:numFmt w:val="bullet"/>
      <w:lvlText w:val="•"/>
      <w:lvlJc w:val="left"/>
      <w:pPr>
        <w:ind w:left="7100" w:hanging="167"/>
      </w:pPr>
      <w:rPr>
        <w:rFonts w:hint="default"/>
        <w:lang w:val="en-US" w:eastAsia="zh-TW" w:bidi="ar-SA"/>
      </w:rPr>
    </w:lvl>
    <w:lvl w:ilvl="8">
      <w:start w:val="0"/>
      <w:numFmt w:val="bullet"/>
      <w:lvlText w:val="•"/>
      <w:lvlJc w:val="left"/>
      <w:pPr>
        <w:ind w:left="8069" w:hanging="167"/>
      </w:pPr>
      <w:rPr>
        <w:rFonts w:hint="default"/>
        <w:lang w:val="en-US" w:eastAsia="zh-TW" w:bidi="ar-SA"/>
      </w:rPr>
    </w:lvl>
  </w:abstractNum>
  <w:abstractNum w:abstractNumId="14">
    <w:multiLevelType w:val="hybridMultilevel"/>
    <w:lvl w:ilvl="0">
      <w:start w:val="1"/>
      <w:numFmt w:val="decimal"/>
      <w:lvlText w:val="（%1）"/>
      <w:lvlJc w:val="left"/>
      <w:pPr>
        <w:ind w:left="652" w:hanging="501"/>
        <w:jc w:val="left"/>
      </w:pPr>
      <w:rPr>
        <w:rFonts w:hint="default" w:ascii="SimSun" w:hAnsi="SimSun" w:eastAsia="SimSun" w:cs="SimSun"/>
        <w:spacing w:val="-15"/>
        <w:w w:val="99"/>
        <w:sz w:val="18"/>
        <w:szCs w:val="18"/>
        <w:lang w:val="en-US" w:eastAsia="zh-TW" w:bidi="ar-SA"/>
      </w:rPr>
    </w:lvl>
    <w:lvl w:ilvl="1">
      <w:start w:val="0"/>
      <w:numFmt w:val="bullet"/>
      <w:lvlText w:val="•"/>
      <w:lvlJc w:val="left"/>
      <w:pPr>
        <w:ind w:left="1594" w:hanging="501"/>
      </w:pPr>
      <w:rPr>
        <w:rFonts w:hint="default"/>
        <w:lang w:val="en-US" w:eastAsia="zh-TW" w:bidi="ar-SA"/>
      </w:rPr>
    </w:lvl>
    <w:lvl w:ilvl="2">
      <w:start w:val="0"/>
      <w:numFmt w:val="bullet"/>
      <w:lvlText w:val="•"/>
      <w:lvlJc w:val="left"/>
      <w:pPr>
        <w:ind w:left="2529" w:hanging="501"/>
      </w:pPr>
      <w:rPr>
        <w:rFonts w:hint="default"/>
        <w:lang w:val="en-US" w:eastAsia="zh-TW" w:bidi="ar-SA"/>
      </w:rPr>
    </w:lvl>
    <w:lvl w:ilvl="3">
      <w:start w:val="0"/>
      <w:numFmt w:val="bullet"/>
      <w:lvlText w:val="•"/>
      <w:lvlJc w:val="left"/>
      <w:pPr>
        <w:ind w:left="3463" w:hanging="501"/>
      </w:pPr>
      <w:rPr>
        <w:rFonts w:hint="default"/>
        <w:lang w:val="en-US" w:eastAsia="zh-TW" w:bidi="ar-SA"/>
      </w:rPr>
    </w:lvl>
    <w:lvl w:ilvl="4">
      <w:start w:val="0"/>
      <w:numFmt w:val="bullet"/>
      <w:lvlText w:val="•"/>
      <w:lvlJc w:val="left"/>
      <w:pPr>
        <w:ind w:left="4398" w:hanging="501"/>
      </w:pPr>
      <w:rPr>
        <w:rFonts w:hint="default"/>
        <w:lang w:val="en-US" w:eastAsia="zh-TW" w:bidi="ar-SA"/>
      </w:rPr>
    </w:lvl>
    <w:lvl w:ilvl="5">
      <w:start w:val="0"/>
      <w:numFmt w:val="bullet"/>
      <w:lvlText w:val="•"/>
      <w:lvlJc w:val="left"/>
      <w:pPr>
        <w:ind w:left="5333" w:hanging="501"/>
      </w:pPr>
      <w:rPr>
        <w:rFonts w:hint="default"/>
        <w:lang w:val="en-US" w:eastAsia="zh-TW" w:bidi="ar-SA"/>
      </w:rPr>
    </w:lvl>
    <w:lvl w:ilvl="6">
      <w:start w:val="0"/>
      <w:numFmt w:val="bullet"/>
      <w:lvlText w:val="•"/>
      <w:lvlJc w:val="left"/>
      <w:pPr>
        <w:ind w:left="6267" w:hanging="501"/>
      </w:pPr>
      <w:rPr>
        <w:rFonts w:hint="default"/>
        <w:lang w:val="en-US" w:eastAsia="zh-TW" w:bidi="ar-SA"/>
      </w:rPr>
    </w:lvl>
    <w:lvl w:ilvl="7">
      <w:start w:val="0"/>
      <w:numFmt w:val="bullet"/>
      <w:lvlText w:val="•"/>
      <w:lvlJc w:val="left"/>
      <w:pPr>
        <w:ind w:left="7202" w:hanging="501"/>
      </w:pPr>
      <w:rPr>
        <w:rFonts w:hint="default"/>
        <w:lang w:val="en-US" w:eastAsia="zh-TW" w:bidi="ar-SA"/>
      </w:rPr>
    </w:lvl>
    <w:lvl w:ilvl="8">
      <w:start w:val="0"/>
      <w:numFmt w:val="bullet"/>
      <w:lvlText w:val="•"/>
      <w:lvlJc w:val="left"/>
      <w:pPr>
        <w:ind w:left="8137" w:hanging="501"/>
      </w:pPr>
      <w:rPr>
        <w:rFonts w:hint="default"/>
        <w:lang w:val="en-US" w:eastAsia="zh-TW" w:bidi="ar-SA"/>
      </w:rPr>
    </w:lvl>
  </w:abstractNum>
  <w:abstractNum w:abstractNumId="13">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94" w:hanging="502"/>
      </w:pPr>
      <w:rPr>
        <w:rFonts w:hint="default"/>
        <w:lang w:val="en-US" w:eastAsia="zh-TW" w:bidi="ar-SA"/>
      </w:rPr>
    </w:lvl>
    <w:lvl w:ilvl="2">
      <w:start w:val="0"/>
      <w:numFmt w:val="bullet"/>
      <w:lvlText w:val="•"/>
      <w:lvlJc w:val="left"/>
      <w:pPr>
        <w:ind w:left="2529" w:hanging="502"/>
      </w:pPr>
      <w:rPr>
        <w:rFonts w:hint="default"/>
        <w:lang w:val="en-US" w:eastAsia="zh-TW" w:bidi="ar-SA"/>
      </w:rPr>
    </w:lvl>
    <w:lvl w:ilvl="3">
      <w:start w:val="0"/>
      <w:numFmt w:val="bullet"/>
      <w:lvlText w:val="•"/>
      <w:lvlJc w:val="left"/>
      <w:pPr>
        <w:ind w:left="3463" w:hanging="502"/>
      </w:pPr>
      <w:rPr>
        <w:rFonts w:hint="default"/>
        <w:lang w:val="en-US" w:eastAsia="zh-TW" w:bidi="ar-SA"/>
      </w:rPr>
    </w:lvl>
    <w:lvl w:ilvl="4">
      <w:start w:val="0"/>
      <w:numFmt w:val="bullet"/>
      <w:lvlText w:val="•"/>
      <w:lvlJc w:val="left"/>
      <w:pPr>
        <w:ind w:left="4398" w:hanging="502"/>
      </w:pPr>
      <w:rPr>
        <w:rFonts w:hint="default"/>
        <w:lang w:val="en-US" w:eastAsia="zh-TW" w:bidi="ar-SA"/>
      </w:rPr>
    </w:lvl>
    <w:lvl w:ilvl="5">
      <w:start w:val="0"/>
      <w:numFmt w:val="bullet"/>
      <w:lvlText w:val="•"/>
      <w:lvlJc w:val="left"/>
      <w:pPr>
        <w:ind w:left="5333" w:hanging="502"/>
      </w:pPr>
      <w:rPr>
        <w:rFonts w:hint="default"/>
        <w:lang w:val="en-US" w:eastAsia="zh-TW" w:bidi="ar-SA"/>
      </w:rPr>
    </w:lvl>
    <w:lvl w:ilvl="6">
      <w:start w:val="0"/>
      <w:numFmt w:val="bullet"/>
      <w:lvlText w:val="•"/>
      <w:lvlJc w:val="left"/>
      <w:pPr>
        <w:ind w:left="6267" w:hanging="502"/>
      </w:pPr>
      <w:rPr>
        <w:rFonts w:hint="default"/>
        <w:lang w:val="en-US" w:eastAsia="zh-TW" w:bidi="ar-SA"/>
      </w:rPr>
    </w:lvl>
    <w:lvl w:ilvl="7">
      <w:start w:val="0"/>
      <w:numFmt w:val="bullet"/>
      <w:lvlText w:val="•"/>
      <w:lvlJc w:val="left"/>
      <w:pPr>
        <w:ind w:left="7202" w:hanging="502"/>
      </w:pPr>
      <w:rPr>
        <w:rFonts w:hint="default"/>
        <w:lang w:val="en-US" w:eastAsia="zh-TW" w:bidi="ar-SA"/>
      </w:rPr>
    </w:lvl>
    <w:lvl w:ilvl="8">
      <w:start w:val="0"/>
      <w:numFmt w:val="bullet"/>
      <w:lvlText w:val="•"/>
      <w:lvlJc w:val="left"/>
      <w:pPr>
        <w:ind w:left="8137" w:hanging="502"/>
      </w:pPr>
      <w:rPr>
        <w:rFonts w:hint="default"/>
        <w:lang w:val="en-US" w:eastAsia="zh-TW" w:bidi="ar-SA"/>
      </w:rPr>
    </w:lvl>
  </w:abstractNum>
  <w:abstractNum w:abstractNumId="12">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94" w:hanging="502"/>
      </w:pPr>
      <w:rPr>
        <w:rFonts w:hint="default"/>
        <w:lang w:val="en-US" w:eastAsia="zh-TW" w:bidi="ar-SA"/>
      </w:rPr>
    </w:lvl>
    <w:lvl w:ilvl="2">
      <w:start w:val="0"/>
      <w:numFmt w:val="bullet"/>
      <w:lvlText w:val="•"/>
      <w:lvlJc w:val="left"/>
      <w:pPr>
        <w:ind w:left="2529" w:hanging="502"/>
      </w:pPr>
      <w:rPr>
        <w:rFonts w:hint="default"/>
        <w:lang w:val="en-US" w:eastAsia="zh-TW" w:bidi="ar-SA"/>
      </w:rPr>
    </w:lvl>
    <w:lvl w:ilvl="3">
      <w:start w:val="0"/>
      <w:numFmt w:val="bullet"/>
      <w:lvlText w:val="•"/>
      <w:lvlJc w:val="left"/>
      <w:pPr>
        <w:ind w:left="3463" w:hanging="502"/>
      </w:pPr>
      <w:rPr>
        <w:rFonts w:hint="default"/>
        <w:lang w:val="en-US" w:eastAsia="zh-TW" w:bidi="ar-SA"/>
      </w:rPr>
    </w:lvl>
    <w:lvl w:ilvl="4">
      <w:start w:val="0"/>
      <w:numFmt w:val="bullet"/>
      <w:lvlText w:val="•"/>
      <w:lvlJc w:val="left"/>
      <w:pPr>
        <w:ind w:left="4398" w:hanging="502"/>
      </w:pPr>
      <w:rPr>
        <w:rFonts w:hint="default"/>
        <w:lang w:val="en-US" w:eastAsia="zh-TW" w:bidi="ar-SA"/>
      </w:rPr>
    </w:lvl>
    <w:lvl w:ilvl="5">
      <w:start w:val="0"/>
      <w:numFmt w:val="bullet"/>
      <w:lvlText w:val="•"/>
      <w:lvlJc w:val="left"/>
      <w:pPr>
        <w:ind w:left="5333" w:hanging="502"/>
      </w:pPr>
      <w:rPr>
        <w:rFonts w:hint="default"/>
        <w:lang w:val="en-US" w:eastAsia="zh-TW" w:bidi="ar-SA"/>
      </w:rPr>
    </w:lvl>
    <w:lvl w:ilvl="6">
      <w:start w:val="0"/>
      <w:numFmt w:val="bullet"/>
      <w:lvlText w:val="•"/>
      <w:lvlJc w:val="left"/>
      <w:pPr>
        <w:ind w:left="6267" w:hanging="502"/>
      </w:pPr>
      <w:rPr>
        <w:rFonts w:hint="default"/>
        <w:lang w:val="en-US" w:eastAsia="zh-TW" w:bidi="ar-SA"/>
      </w:rPr>
    </w:lvl>
    <w:lvl w:ilvl="7">
      <w:start w:val="0"/>
      <w:numFmt w:val="bullet"/>
      <w:lvlText w:val="•"/>
      <w:lvlJc w:val="left"/>
      <w:pPr>
        <w:ind w:left="7202" w:hanging="502"/>
      </w:pPr>
      <w:rPr>
        <w:rFonts w:hint="default"/>
        <w:lang w:val="en-US" w:eastAsia="zh-TW" w:bidi="ar-SA"/>
      </w:rPr>
    </w:lvl>
    <w:lvl w:ilvl="8">
      <w:start w:val="0"/>
      <w:numFmt w:val="bullet"/>
      <w:lvlText w:val="•"/>
      <w:lvlJc w:val="left"/>
      <w:pPr>
        <w:ind w:left="8137" w:hanging="502"/>
      </w:pPr>
      <w:rPr>
        <w:rFonts w:hint="default"/>
        <w:lang w:val="en-US" w:eastAsia="zh-TW" w:bidi="ar-SA"/>
      </w:rPr>
    </w:lvl>
  </w:abstractNum>
  <w:abstractNum w:abstractNumId="11">
    <w:multiLevelType w:val="hybridMultilevel"/>
    <w:lvl w:ilvl="0">
      <w:start w:val="1"/>
      <w:numFmt w:val="decimal"/>
      <w:lvlText w:val="（%1）"/>
      <w:lvlJc w:val="left"/>
      <w:pPr>
        <w:ind w:left="652" w:hanging="501"/>
        <w:jc w:val="left"/>
      </w:pPr>
      <w:rPr>
        <w:rFonts w:hint="default" w:ascii="SimSun" w:hAnsi="SimSun" w:eastAsia="SimSun" w:cs="SimSun"/>
        <w:spacing w:val="-15"/>
        <w:w w:val="99"/>
        <w:sz w:val="18"/>
        <w:szCs w:val="18"/>
        <w:lang w:val="en-US" w:eastAsia="zh-TW" w:bidi="ar-SA"/>
      </w:rPr>
    </w:lvl>
    <w:lvl w:ilvl="1">
      <w:start w:val="0"/>
      <w:numFmt w:val="bullet"/>
      <w:lvlText w:val="•"/>
      <w:lvlJc w:val="left"/>
      <w:pPr>
        <w:ind w:left="1594" w:hanging="501"/>
      </w:pPr>
      <w:rPr>
        <w:rFonts w:hint="default"/>
        <w:lang w:val="en-US" w:eastAsia="zh-TW" w:bidi="ar-SA"/>
      </w:rPr>
    </w:lvl>
    <w:lvl w:ilvl="2">
      <w:start w:val="0"/>
      <w:numFmt w:val="bullet"/>
      <w:lvlText w:val="•"/>
      <w:lvlJc w:val="left"/>
      <w:pPr>
        <w:ind w:left="2529" w:hanging="501"/>
      </w:pPr>
      <w:rPr>
        <w:rFonts w:hint="default"/>
        <w:lang w:val="en-US" w:eastAsia="zh-TW" w:bidi="ar-SA"/>
      </w:rPr>
    </w:lvl>
    <w:lvl w:ilvl="3">
      <w:start w:val="0"/>
      <w:numFmt w:val="bullet"/>
      <w:lvlText w:val="•"/>
      <w:lvlJc w:val="left"/>
      <w:pPr>
        <w:ind w:left="3463" w:hanging="501"/>
      </w:pPr>
      <w:rPr>
        <w:rFonts w:hint="default"/>
        <w:lang w:val="en-US" w:eastAsia="zh-TW" w:bidi="ar-SA"/>
      </w:rPr>
    </w:lvl>
    <w:lvl w:ilvl="4">
      <w:start w:val="0"/>
      <w:numFmt w:val="bullet"/>
      <w:lvlText w:val="•"/>
      <w:lvlJc w:val="left"/>
      <w:pPr>
        <w:ind w:left="4398" w:hanging="501"/>
      </w:pPr>
      <w:rPr>
        <w:rFonts w:hint="default"/>
        <w:lang w:val="en-US" w:eastAsia="zh-TW" w:bidi="ar-SA"/>
      </w:rPr>
    </w:lvl>
    <w:lvl w:ilvl="5">
      <w:start w:val="0"/>
      <w:numFmt w:val="bullet"/>
      <w:lvlText w:val="•"/>
      <w:lvlJc w:val="left"/>
      <w:pPr>
        <w:ind w:left="5333" w:hanging="501"/>
      </w:pPr>
      <w:rPr>
        <w:rFonts w:hint="default"/>
        <w:lang w:val="en-US" w:eastAsia="zh-TW" w:bidi="ar-SA"/>
      </w:rPr>
    </w:lvl>
    <w:lvl w:ilvl="6">
      <w:start w:val="0"/>
      <w:numFmt w:val="bullet"/>
      <w:lvlText w:val="•"/>
      <w:lvlJc w:val="left"/>
      <w:pPr>
        <w:ind w:left="6267" w:hanging="501"/>
      </w:pPr>
      <w:rPr>
        <w:rFonts w:hint="default"/>
        <w:lang w:val="en-US" w:eastAsia="zh-TW" w:bidi="ar-SA"/>
      </w:rPr>
    </w:lvl>
    <w:lvl w:ilvl="7">
      <w:start w:val="0"/>
      <w:numFmt w:val="bullet"/>
      <w:lvlText w:val="•"/>
      <w:lvlJc w:val="left"/>
      <w:pPr>
        <w:ind w:left="7202" w:hanging="501"/>
      </w:pPr>
      <w:rPr>
        <w:rFonts w:hint="default"/>
        <w:lang w:val="en-US" w:eastAsia="zh-TW" w:bidi="ar-SA"/>
      </w:rPr>
    </w:lvl>
    <w:lvl w:ilvl="8">
      <w:start w:val="0"/>
      <w:numFmt w:val="bullet"/>
      <w:lvlText w:val="•"/>
      <w:lvlJc w:val="left"/>
      <w:pPr>
        <w:ind w:left="8137" w:hanging="501"/>
      </w:pPr>
      <w:rPr>
        <w:rFonts w:hint="default"/>
        <w:lang w:val="en-US" w:eastAsia="zh-TW" w:bidi="ar-SA"/>
      </w:rPr>
    </w:lvl>
  </w:abstractNum>
  <w:abstractNum w:abstractNumId="10">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94" w:hanging="502"/>
      </w:pPr>
      <w:rPr>
        <w:rFonts w:hint="default"/>
        <w:lang w:val="en-US" w:eastAsia="zh-TW" w:bidi="ar-SA"/>
      </w:rPr>
    </w:lvl>
    <w:lvl w:ilvl="2">
      <w:start w:val="0"/>
      <w:numFmt w:val="bullet"/>
      <w:lvlText w:val="•"/>
      <w:lvlJc w:val="left"/>
      <w:pPr>
        <w:ind w:left="2529" w:hanging="502"/>
      </w:pPr>
      <w:rPr>
        <w:rFonts w:hint="default"/>
        <w:lang w:val="en-US" w:eastAsia="zh-TW" w:bidi="ar-SA"/>
      </w:rPr>
    </w:lvl>
    <w:lvl w:ilvl="3">
      <w:start w:val="0"/>
      <w:numFmt w:val="bullet"/>
      <w:lvlText w:val="•"/>
      <w:lvlJc w:val="left"/>
      <w:pPr>
        <w:ind w:left="3463" w:hanging="502"/>
      </w:pPr>
      <w:rPr>
        <w:rFonts w:hint="default"/>
        <w:lang w:val="en-US" w:eastAsia="zh-TW" w:bidi="ar-SA"/>
      </w:rPr>
    </w:lvl>
    <w:lvl w:ilvl="4">
      <w:start w:val="0"/>
      <w:numFmt w:val="bullet"/>
      <w:lvlText w:val="•"/>
      <w:lvlJc w:val="left"/>
      <w:pPr>
        <w:ind w:left="4398" w:hanging="502"/>
      </w:pPr>
      <w:rPr>
        <w:rFonts w:hint="default"/>
        <w:lang w:val="en-US" w:eastAsia="zh-TW" w:bidi="ar-SA"/>
      </w:rPr>
    </w:lvl>
    <w:lvl w:ilvl="5">
      <w:start w:val="0"/>
      <w:numFmt w:val="bullet"/>
      <w:lvlText w:val="•"/>
      <w:lvlJc w:val="left"/>
      <w:pPr>
        <w:ind w:left="5333" w:hanging="502"/>
      </w:pPr>
      <w:rPr>
        <w:rFonts w:hint="default"/>
        <w:lang w:val="en-US" w:eastAsia="zh-TW" w:bidi="ar-SA"/>
      </w:rPr>
    </w:lvl>
    <w:lvl w:ilvl="6">
      <w:start w:val="0"/>
      <w:numFmt w:val="bullet"/>
      <w:lvlText w:val="•"/>
      <w:lvlJc w:val="left"/>
      <w:pPr>
        <w:ind w:left="6267" w:hanging="502"/>
      </w:pPr>
      <w:rPr>
        <w:rFonts w:hint="default"/>
        <w:lang w:val="en-US" w:eastAsia="zh-TW" w:bidi="ar-SA"/>
      </w:rPr>
    </w:lvl>
    <w:lvl w:ilvl="7">
      <w:start w:val="0"/>
      <w:numFmt w:val="bullet"/>
      <w:lvlText w:val="•"/>
      <w:lvlJc w:val="left"/>
      <w:pPr>
        <w:ind w:left="7202" w:hanging="502"/>
      </w:pPr>
      <w:rPr>
        <w:rFonts w:hint="default"/>
        <w:lang w:val="en-US" w:eastAsia="zh-TW" w:bidi="ar-SA"/>
      </w:rPr>
    </w:lvl>
    <w:lvl w:ilvl="8">
      <w:start w:val="0"/>
      <w:numFmt w:val="bullet"/>
      <w:lvlText w:val="•"/>
      <w:lvlJc w:val="left"/>
      <w:pPr>
        <w:ind w:left="8137" w:hanging="502"/>
      </w:pPr>
      <w:rPr>
        <w:rFonts w:hint="default"/>
        <w:lang w:val="en-US" w:eastAsia="zh-TW" w:bidi="ar-SA"/>
      </w:rPr>
    </w:lvl>
  </w:abstractNum>
  <w:abstractNum w:abstractNumId="9">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94" w:hanging="502"/>
      </w:pPr>
      <w:rPr>
        <w:rFonts w:hint="default"/>
        <w:lang w:val="en-US" w:eastAsia="zh-TW" w:bidi="ar-SA"/>
      </w:rPr>
    </w:lvl>
    <w:lvl w:ilvl="2">
      <w:start w:val="0"/>
      <w:numFmt w:val="bullet"/>
      <w:lvlText w:val="•"/>
      <w:lvlJc w:val="left"/>
      <w:pPr>
        <w:ind w:left="2529" w:hanging="502"/>
      </w:pPr>
      <w:rPr>
        <w:rFonts w:hint="default"/>
        <w:lang w:val="en-US" w:eastAsia="zh-TW" w:bidi="ar-SA"/>
      </w:rPr>
    </w:lvl>
    <w:lvl w:ilvl="3">
      <w:start w:val="0"/>
      <w:numFmt w:val="bullet"/>
      <w:lvlText w:val="•"/>
      <w:lvlJc w:val="left"/>
      <w:pPr>
        <w:ind w:left="3463" w:hanging="502"/>
      </w:pPr>
      <w:rPr>
        <w:rFonts w:hint="default"/>
        <w:lang w:val="en-US" w:eastAsia="zh-TW" w:bidi="ar-SA"/>
      </w:rPr>
    </w:lvl>
    <w:lvl w:ilvl="4">
      <w:start w:val="0"/>
      <w:numFmt w:val="bullet"/>
      <w:lvlText w:val="•"/>
      <w:lvlJc w:val="left"/>
      <w:pPr>
        <w:ind w:left="4398" w:hanging="502"/>
      </w:pPr>
      <w:rPr>
        <w:rFonts w:hint="default"/>
        <w:lang w:val="en-US" w:eastAsia="zh-TW" w:bidi="ar-SA"/>
      </w:rPr>
    </w:lvl>
    <w:lvl w:ilvl="5">
      <w:start w:val="0"/>
      <w:numFmt w:val="bullet"/>
      <w:lvlText w:val="•"/>
      <w:lvlJc w:val="left"/>
      <w:pPr>
        <w:ind w:left="5333" w:hanging="502"/>
      </w:pPr>
      <w:rPr>
        <w:rFonts w:hint="default"/>
        <w:lang w:val="en-US" w:eastAsia="zh-TW" w:bidi="ar-SA"/>
      </w:rPr>
    </w:lvl>
    <w:lvl w:ilvl="6">
      <w:start w:val="0"/>
      <w:numFmt w:val="bullet"/>
      <w:lvlText w:val="•"/>
      <w:lvlJc w:val="left"/>
      <w:pPr>
        <w:ind w:left="6267" w:hanging="502"/>
      </w:pPr>
      <w:rPr>
        <w:rFonts w:hint="default"/>
        <w:lang w:val="en-US" w:eastAsia="zh-TW" w:bidi="ar-SA"/>
      </w:rPr>
    </w:lvl>
    <w:lvl w:ilvl="7">
      <w:start w:val="0"/>
      <w:numFmt w:val="bullet"/>
      <w:lvlText w:val="•"/>
      <w:lvlJc w:val="left"/>
      <w:pPr>
        <w:ind w:left="7202" w:hanging="502"/>
      </w:pPr>
      <w:rPr>
        <w:rFonts w:hint="default"/>
        <w:lang w:val="en-US" w:eastAsia="zh-TW" w:bidi="ar-SA"/>
      </w:rPr>
    </w:lvl>
    <w:lvl w:ilvl="8">
      <w:start w:val="0"/>
      <w:numFmt w:val="bullet"/>
      <w:lvlText w:val="•"/>
      <w:lvlJc w:val="left"/>
      <w:pPr>
        <w:ind w:left="8137" w:hanging="502"/>
      </w:pPr>
      <w:rPr>
        <w:rFonts w:hint="default"/>
        <w:lang w:val="en-US" w:eastAsia="zh-TW" w:bidi="ar-SA"/>
      </w:rPr>
    </w:lvl>
  </w:abstractNum>
  <w:abstractNum w:abstractNumId="8">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94" w:hanging="502"/>
      </w:pPr>
      <w:rPr>
        <w:rFonts w:hint="default"/>
        <w:lang w:val="en-US" w:eastAsia="zh-TW" w:bidi="ar-SA"/>
      </w:rPr>
    </w:lvl>
    <w:lvl w:ilvl="2">
      <w:start w:val="0"/>
      <w:numFmt w:val="bullet"/>
      <w:lvlText w:val="•"/>
      <w:lvlJc w:val="left"/>
      <w:pPr>
        <w:ind w:left="2529" w:hanging="502"/>
      </w:pPr>
      <w:rPr>
        <w:rFonts w:hint="default"/>
        <w:lang w:val="en-US" w:eastAsia="zh-TW" w:bidi="ar-SA"/>
      </w:rPr>
    </w:lvl>
    <w:lvl w:ilvl="3">
      <w:start w:val="0"/>
      <w:numFmt w:val="bullet"/>
      <w:lvlText w:val="•"/>
      <w:lvlJc w:val="left"/>
      <w:pPr>
        <w:ind w:left="3463" w:hanging="502"/>
      </w:pPr>
      <w:rPr>
        <w:rFonts w:hint="default"/>
        <w:lang w:val="en-US" w:eastAsia="zh-TW" w:bidi="ar-SA"/>
      </w:rPr>
    </w:lvl>
    <w:lvl w:ilvl="4">
      <w:start w:val="0"/>
      <w:numFmt w:val="bullet"/>
      <w:lvlText w:val="•"/>
      <w:lvlJc w:val="left"/>
      <w:pPr>
        <w:ind w:left="4398" w:hanging="502"/>
      </w:pPr>
      <w:rPr>
        <w:rFonts w:hint="default"/>
        <w:lang w:val="en-US" w:eastAsia="zh-TW" w:bidi="ar-SA"/>
      </w:rPr>
    </w:lvl>
    <w:lvl w:ilvl="5">
      <w:start w:val="0"/>
      <w:numFmt w:val="bullet"/>
      <w:lvlText w:val="•"/>
      <w:lvlJc w:val="left"/>
      <w:pPr>
        <w:ind w:left="5333" w:hanging="502"/>
      </w:pPr>
      <w:rPr>
        <w:rFonts w:hint="default"/>
        <w:lang w:val="en-US" w:eastAsia="zh-TW" w:bidi="ar-SA"/>
      </w:rPr>
    </w:lvl>
    <w:lvl w:ilvl="6">
      <w:start w:val="0"/>
      <w:numFmt w:val="bullet"/>
      <w:lvlText w:val="•"/>
      <w:lvlJc w:val="left"/>
      <w:pPr>
        <w:ind w:left="6267" w:hanging="502"/>
      </w:pPr>
      <w:rPr>
        <w:rFonts w:hint="default"/>
        <w:lang w:val="en-US" w:eastAsia="zh-TW" w:bidi="ar-SA"/>
      </w:rPr>
    </w:lvl>
    <w:lvl w:ilvl="7">
      <w:start w:val="0"/>
      <w:numFmt w:val="bullet"/>
      <w:lvlText w:val="•"/>
      <w:lvlJc w:val="left"/>
      <w:pPr>
        <w:ind w:left="7202" w:hanging="502"/>
      </w:pPr>
      <w:rPr>
        <w:rFonts w:hint="default"/>
        <w:lang w:val="en-US" w:eastAsia="zh-TW" w:bidi="ar-SA"/>
      </w:rPr>
    </w:lvl>
    <w:lvl w:ilvl="8">
      <w:start w:val="0"/>
      <w:numFmt w:val="bullet"/>
      <w:lvlText w:val="•"/>
      <w:lvlJc w:val="left"/>
      <w:pPr>
        <w:ind w:left="8137" w:hanging="502"/>
      </w:pPr>
      <w:rPr>
        <w:rFonts w:hint="default"/>
        <w:lang w:val="en-US" w:eastAsia="zh-TW" w:bidi="ar-SA"/>
      </w:rPr>
    </w:lvl>
  </w:abstractNum>
  <w:abstractNum w:abstractNumId="7">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94" w:hanging="502"/>
      </w:pPr>
      <w:rPr>
        <w:rFonts w:hint="default"/>
        <w:lang w:val="en-US" w:eastAsia="zh-TW" w:bidi="ar-SA"/>
      </w:rPr>
    </w:lvl>
    <w:lvl w:ilvl="2">
      <w:start w:val="0"/>
      <w:numFmt w:val="bullet"/>
      <w:lvlText w:val="•"/>
      <w:lvlJc w:val="left"/>
      <w:pPr>
        <w:ind w:left="2529" w:hanging="502"/>
      </w:pPr>
      <w:rPr>
        <w:rFonts w:hint="default"/>
        <w:lang w:val="en-US" w:eastAsia="zh-TW" w:bidi="ar-SA"/>
      </w:rPr>
    </w:lvl>
    <w:lvl w:ilvl="3">
      <w:start w:val="0"/>
      <w:numFmt w:val="bullet"/>
      <w:lvlText w:val="•"/>
      <w:lvlJc w:val="left"/>
      <w:pPr>
        <w:ind w:left="3463" w:hanging="502"/>
      </w:pPr>
      <w:rPr>
        <w:rFonts w:hint="default"/>
        <w:lang w:val="en-US" w:eastAsia="zh-TW" w:bidi="ar-SA"/>
      </w:rPr>
    </w:lvl>
    <w:lvl w:ilvl="4">
      <w:start w:val="0"/>
      <w:numFmt w:val="bullet"/>
      <w:lvlText w:val="•"/>
      <w:lvlJc w:val="left"/>
      <w:pPr>
        <w:ind w:left="4398" w:hanging="502"/>
      </w:pPr>
      <w:rPr>
        <w:rFonts w:hint="default"/>
        <w:lang w:val="en-US" w:eastAsia="zh-TW" w:bidi="ar-SA"/>
      </w:rPr>
    </w:lvl>
    <w:lvl w:ilvl="5">
      <w:start w:val="0"/>
      <w:numFmt w:val="bullet"/>
      <w:lvlText w:val="•"/>
      <w:lvlJc w:val="left"/>
      <w:pPr>
        <w:ind w:left="5333" w:hanging="502"/>
      </w:pPr>
      <w:rPr>
        <w:rFonts w:hint="default"/>
        <w:lang w:val="en-US" w:eastAsia="zh-TW" w:bidi="ar-SA"/>
      </w:rPr>
    </w:lvl>
    <w:lvl w:ilvl="6">
      <w:start w:val="0"/>
      <w:numFmt w:val="bullet"/>
      <w:lvlText w:val="•"/>
      <w:lvlJc w:val="left"/>
      <w:pPr>
        <w:ind w:left="6267" w:hanging="502"/>
      </w:pPr>
      <w:rPr>
        <w:rFonts w:hint="default"/>
        <w:lang w:val="en-US" w:eastAsia="zh-TW" w:bidi="ar-SA"/>
      </w:rPr>
    </w:lvl>
    <w:lvl w:ilvl="7">
      <w:start w:val="0"/>
      <w:numFmt w:val="bullet"/>
      <w:lvlText w:val="•"/>
      <w:lvlJc w:val="left"/>
      <w:pPr>
        <w:ind w:left="7202" w:hanging="502"/>
      </w:pPr>
      <w:rPr>
        <w:rFonts w:hint="default"/>
        <w:lang w:val="en-US" w:eastAsia="zh-TW" w:bidi="ar-SA"/>
      </w:rPr>
    </w:lvl>
    <w:lvl w:ilvl="8">
      <w:start w:val="0"/>
      <w:numFmt w:val="bullet"/>
      <w:lvlText w:val="•"/>
      <w:lvlJc w:val="left"/>
      <w:pPr>
        <w:ind w:left="8137" w:hanging="502"/>
      </w:pPr>
      <w:rPr>
        <w:rFonts w:hint="default"/>
        <w:lang w:val="en-US" w:eastAsia="zh-TW" w:bidi="ar-SA"/>
      </w:rPr>
    </w:lvl>
  </w:abstractNum>
  <w:abstractNum w:abstractNumId="6">
    <w:multiLevelType w:val="hybridMultilevel"/>
    <w:lvl w:ilvl="0">
      <w:start w:val="1"/>
      <w:numFmt w:val="decimal"/>
      <w:lvlText w:val="（%1）"/>
      <w:lvlJc w:val="left"/>
      <w:pPr>
        <w:ind w:left="652" w:hanging="504"/>
        <w:jc w:val="left"/>
      </w:pPr>
      <w:rPr>
        <w:rFonts w:hint="default" w:ascii="SimSun" w:hAnsi="SimSun" w:eastAsia="SimSun" w:cs="SimSun"/>
        <w:spacing w:val="-20"/>
        <w:w w:val="99"/>
        <w:sz w:val="18"/>
        <w:szCs w:val="18"/>
        <w:lang w:val="en-US" w:eastAsia="zh-TW" w:bidi="ar-SA"/>
      </w:rPr>
    </w:lvl>
    <w:lvl w:ilvl="1">
      <w:start w:val="0"/>
      <w:numFmt w:val="bullet"/>
      <w:lvlText w:val="•"/>
      <w:lvlJc w:val="left"/>
      <w:pPr>
        <w:ind w:left="1594" w:hanging="504"/>
      </w:pPr>
      <w:rPr>
        <w:rFonts w:hint="default"/>
        <w:lang w:val="en-US" w:eastAsia="zh-TW" w:bidi="ar-SA"/>
      </w:rPr>
    </w:lvl>
    <w:lvl w:ilvl="2">
      <w:start w:val="0"/>
      <w:numFmt w:val="bullet"/>
      <w:lvlText w:val="•"/>
      <w:lvlJc w:val="left"/>
      <w:pPr>
        <w:ind w:left="2529" w:hanging="504"/>
      </w:pPr>
      <w:rPr>
        <w:rFonts w:hint="default"/>
        <w:lang w:val="en-US" w:eastAsia="zh-TW" w:bidi="ar-SA"/>
      </w:rPr>
    </w:lvl>
    <w:lvl w:ilvl="3">
      <w:start w:val="0"/>
      <w:numFmt w:val="bullet"/>
      <w:lvlText w:val="•"/>
      <w:lvlJc w:val="left"/>
      <w:pPr>
        <w:ind w:left="3463" w:hanging="504"/>
      </w:pPr>
      <w:rPr>
        <w:rFonts w:hint="default"/>
        <w:lang w:val="en-US" w:eastAsia="zh-TW" w:bidi="ar-SA"/>
      </w:rPr>
    </w:lvl>
    <w:lvl w:ilvl="4">
      <w:start w:val="0"/>
      <w:numFmt w:val="bullet"/>
      <w:lvlText w:val="•"/>
      <w:lvlJc w:val="left"/>
      <w:pPr>
        <w:ind w:left="4398" w:hanging="504"/>
      </w:pPr>
      <w:rPr>
        <w:rFonts w:hint="default"/>
        <w:lang w:val="en-US" w:eastAsia="zh-TW" w:bidi="ar-SA"/>
      </w:rPr>
    </w:lvl>
    <w:lvl w:ilvl="5">
      <w:start w:val="0"/>
      <w:numFmt w:val="bullet"/>
      <w:lvlText w:val="•"/>
      <w:lvlJc w:val="left"/>
      <w:pPr>
        <w:ind w:left="5333" w:hanging="504"/>
      </w:pPr>
      <w:rPr>
        <w:rFonts w:hint="default"/>
        <w:lang w:val="en-US" w:eastAsia="zh-TW" w:bidi="ar-SA"/>
      </w:rPr>
    </w:lvl>
    <w:lvl w:ilvl="6">
      <w:start w:val="0"/>
      <w:numFmt w:val="bullet"/>
      <w:lvlText w:val="•"/>
      <w:lvlJc w:val="left"/>
      <w:pPr>
        <w:ind w:left="6267" w:hanging="504"/>
      </w:pPr>
      <w:rPr>
        <w:rFonts w:hint="default"/>
        <w:lang w:val="en-US" w:eastAsia="zh-TW" w:bidi="ar-SA"/>
      </w:rPr>
    </w:lvl>
    <w:lvl w:ilvl="7">
      <w:start w:val="0"/>
      <w:numFmt w:val="bullet"/>
      <w:lvlText w:val="•"/>
      <w:lvlJc w:val="left"/>
      <w:pPr>
        <w:ind w:left="7202" w:hanging="504"/>
      </w:pPr>
      <w:rPr>
        <w:rFonts w:hint="default"/>
        <w:lang w:val="en-US" w:eastAsia="zh-TW" w:bidi="ar-SA"/>
      </w:rPr>
    </w:lvl>
    <w:lvl w:ilvl="8">
      <w:start w:val="0"/>
      <w:numFmt w:val="bullet"/>
      <w:lvlText w:val="•"/>
      <w:lvlJc w:val="left"/>
      <w:pPr>
        <w:ind w:left="8137" w:hanging="504"/>
      </w:pPr>
      <w:rPr>
        <w:rFonts w:hint="default"/>
        <w:lang w:val="en-US" w:eastAsia="zh-TW" w:bidi="ar-SA"/>
      </w:rPr>
    </w:lvl>
  </w:abstractNum>
  <w:abstractNum w:abstractNumId="5">
    <w:multiLevelType w:val="hybridMultilevel"/>
    <w:lvl w:ilvl="0">
      <w:start w:val="1"/>
      <w:numFmt w:val="decimal"/>
      <w:lvlText w:val="（%1）"/>
      <w:lvlJc w:val="left"/>
      <w:pPr>
        <w:ind w:left="654" w:hanging="503"/>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760" w:hanging="503"/>
      </w:pPr>
      <w:rPr>
        <w:rFonts w:hint="default"/>
        <w:lang w:val="en-US" w:eastAsia="zh-TW" w:bidi="ar-SA"/>
      </w:rPr>
    </w:lvl>
    <w:lvl w:ilvl="2">
      <w:start w:val="0"/>
      <w:numFmt w:val="bullet"/>
      <w:lvlText w:val="•"/>
      <w:lvlJc w:val="left"/>
      <w:pPr>
        <w:ind w:left="1787" w:hanging="503"/>
      </w:pPr>
      <w:rPr>
        <w:rFonts w:hint="default"/>
        <w:lang w:val="en-US" w:eastAsia="zh-TW" w:bidi="ar-SA"/>
      </w:rPr>
    </w:lvl>
    <w:lvl w:ilvl="3">
      <w:start w:val="0"/>
      <w:numFmt w:val="bullet"/>
      <w:lvlText w:val="•"/>
      <w:lvlJc w:val="left"/>
      <w:pPr>
        <w:ind w:left="2814" w:hanging="503"/>
      </w:pPr>
      <w:rPr>
        <w:rFonts w:hint="default"/>
        <w:lang w:val="en-US" w:eastAsia="zh-TW" w:bidi="ar-SA"/>
      </w:rPr>
    </w:lvl>
    <w:lvl w:ilvl="4">
      <w:start w:val="0"/>
      <w:numFmt w:val="bullet"/>
      <w:lvlText w:val="•"/>
      <w:lvlJc w:val="left"/>
      <w:pPr>
        <w:ind w:left="3842" w:hanging="503"/>
      </w:pPr>
      <w:rPr>
        <w:rFonts w:hint="default"/>
        <w:lang w:val="en-US" w:eastAsia="zh-TW" w:bidi="ar-SA"/>
      </w:rPr>
    </w:lvl>
    <w:lvl w:ilvl="5">
      <w:start w:val="0"/>
      <w:numFmt w:val="bullet"/>
      <w:lvlText w:val="•"/>
      <w:lvlJc w:val="left"/>
      <w:pPr>
        <w:ind w:left="4869" w:hanging="503"/>
      </w:pPr>
      <w:rPr>
        <w:rFonts w:hint="default"/>
        <w:lang w:val="en-US" w:eastAsia="zh-TW" w:bidi="ar-SA"/>
      </w:rPr>
    </w:lvl>
    <w:lvl w:ilvl="6">
      <w:start w:val="0"/>
      <w:numFmt w:val="bullet"/>
      <w:lvlText w:val="•"/>
      <w:lvlJc w:val="left"/>
      <w:pPr>
        <w:ind w:left="5896" w:hanging="503"/>
      </w:pPr>
      <w:rPr>
        <w:rFonts w:hint="default"/>
        <w:lang w:val="en-US" w:eastAsia="zh-TW" w:bidi="ar-SA"/>
      </w:rPr>
    </w:lvl>
    <w:lvl w:ilvl="7">
      <w:start w:val="0"/>
      <w:numFmt w:val="bullet"/>
      <w:lvlText w:val="•"/>
      <w:lvlJc w:val="left"/>
      <w:pPr>
        <w:ind w:left="6924" w:hanging="503"/>
      </w:pPr>
      <w:rPr>
        <w:rFonts w:hint="default"/>
        <w:lang w:val="en-US" w:eastAsia="zh-TW" w:bidi="ar-SA"/>
      </w:rPr>
    </w:lvl>
    <w:lvl w:ilvl="8">
      <w:start w:val="0"/>
      <w:numFmt w:val="bullet"/>
      <w:lvlText w:val="•"/>
      <w:lvlJc w:val="left"/>
      <w:pPr>
        <w:ind w:left="7951" w:hanging="503"/>
      </w:pPr>
      <w:rPr>
        <w:rFonts w:hint="default"/>
        <w:lang w:val="en-US" w:eastAsia="zh-TW" w:bidi="ar-SA"/>
      </w:rPr>
    </w:lvl>
  </w:abstractNum>
  <w:abstractNum w:abstractNumId="4">
    <w:multiLevelType w:val="hybridMultilevel"/>
    <w:lvl w:ilvl="0">
      <w:start w:val="1"/>
      <w:numFmt w:val="decimal"/>
      <w:lvlText w:val="（%1）"/>
      <w:lvlJc w:val="left"/>
      <w:pPr>
        <w:ind w:left="554" w:hanging="501"/>
        <w:jc w:val="left"/>
      </w:pPr>
      <w:rPr>
        <w:rFonts w:hint="default" w:ascii="SimSun" w:hAnsi="SimSun" w:eastAsia="SimSun" w:cs="SimSun"/>
        <w:spacing w:val="-15"/>
        <w:w w:val="99"/>
        <w:sz w:val="18"/>
        <w:szCs w:val="18"/>
        <w:lang w:val="en-US" w:eastAsia="zh-TW" w:bidi="ar-SA"/>
      </w:rPr>
    </w:lvl>
    <w:lvl w:ilvl="1">
      <w:start w:val="0"/>
      <w:numFmt w:val="bullet"/>
      <w:lvlText w:val="•"/>
      <w:lvlJc w:val="left"/>
      <w:pPr>
        <w:ind w:left="560" w:hanging="501"/>
      </w:pPr>
      <w:rPr>
        <w:rFonts w:hint="default"/>
        <w:lang w:val="en-US" w:eastAsia="zh-TW" w:bidi="ar-SA"/>
      </w:rPr>
    </w:lvl>
    <w:lvl w:ilvl="2">
      <w:start w:val="0"/>
      <w:numFmt w:val="bullet"/>
      <w:lvlText w:val="•"/>
      <w:lvlJc w:val="left"/>
      <w:pPr>
        <w:ind w:left="1609" w:hanging="501"/>
      </w:pPr>
      <w:rPr>
        <w:rFonts w:hint="default"/>
        <w:lang w:val="en-US" w:eastAsia="zh-TW" w:bidi="ar-SA"/>
      </w:rPr>
    </w:lvl>
    <w:lvl w:ilvl="3">
      <w:start w:val="0"/>
      <w:numFmt w:val="bullet"/>
      <w:lvlText w:val="•"/>
      <w:lvlJc w:val="left"/>
      <w:pPr>
        <w:ind w:left="2659" w:hanging="501"/>
      </w:pPr>
      <w:rPr>
        <w:rFonts w:hint="default"/>
        <w:lang w:val="en-US" w:eastAsia="zh-TW" w:bidi="ar-SA"/>
      </w:rPr>
    </w:lvl>
    <w:lvl w:ilvl="4">
      <w:start w:val="0"/>
      <w:numFmt w:val="bullet"/>
      <w:lvlText w:val="•"/>
      <w:lvlJc w:val="left"/>
      <w:pPr>
        <w:ind w:left="3708" w:hanging="501"/>
      </w:pPr>
      <w:rPr>
        <w:rFonts w:hint="default"/>
        <w:lang w:val="en-US" w:eastAsia="zh-TW" w:bidi="ar-SA"/>
      </w:rPr>
    </w:lvl>
    <w:lvl w:ilvl="5">
      <w:start w:val="0"/>
      <w:numFmt w:val="bullet"/>
      <w:lvlText w:val="•"/>
      <w:lvlJc w:val="left"/>
      <w:pPr>
        <w:ind w:left="4758" w:hanging="501"/>
      </w:pPr>
      <w:rPr>
        <w:rFonts w:hint="default"/>
        <w:lang w:val="en-US" w:eastAsia="zh-TW" w:bidi="ar-SA"/>
      </w:rPr>
    </w:lvl>
    <w:lvl w:ilvl="6">
      <w:start w:val="0"/>
      <w:numFmt w:val="bullet"/>
      <w:lvlText w:val="•"/>
      <w:lvlJc w:val="left"/>
      <w:pPr>
        <w:ind w:left="5808" w:hanging="501"/>
      </w:pPr>
      <w:rPr>
        <w:rFonts w:hint="default"/>
        <w:lang w:val="en-US" w:eastAsia="zh-TW" w:bidi="ar-SA"/>
      </w:rPr>
    </w:lvl>
    <w:lvl w:ilvl="7">
      <w:start w:val="0"/>
      <w:numFmt w:val="bullet"/>
      <w:lvlText w:val="•"/>
      <w:lvlJc w:val="left"/>
      <w:pPr>
        <w:ind w:left="6857" w:hanging="501"/>
      </w:pPr>
      <w:rPr>
        <w:rFonts w:hint="default"/>
        <w:lang w:val="en-US" w:eastAsia="zh-TW" w:bidi="ar-SA"/>
      </w:rPr>
    </w:lvl>
    <w:lvl w:ilvl="8">
      <w:start w:val="0"/>
      <w:numFmt w:val="bullet"/>
      <w:lvlText w:val="•"/>
      <w:lvlJc w:val="left"/>
      <w:pPr>
        <w:ind w:left="7907" w:hanging="501"/>
      </w:pPr>
      <w:rPr>
        <w:rFonts w:hint="default"/>
        <w:lang w:val="en-US" w:eastAsia="zh-TW" w:bidi="ar-SA"/>
      </w:rPr>
    </w:lvl>
  </w:abstractNum>
  <w:abstractNum w:abstractNumId="3">
    <w:multiLevelType w:val="hybridMultilevel"/>
    <w:lvl w:ilvl="0">
      <w:start w:val="1"/>
      <w:numFmt w:val="decimal"/>
      <w:lvlText w:val="（%1）"/>
      <w:lvlJc w:val="left"/>
      <w:pPr>
        <w:ind w:left="554" w:hanging="505"/>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04" w:hanging="505"/>
      </w:pPr>
      <w:rPr>
        <w:rFonts w:hint="default"/>
        <w:lang w:val="en-US" w:eastAsia="zh-TW" w:bidi="ar-SA"/>
      </w:rPr>
    </w:lvl>
    <w:lvl w:ilvl="2">
      <w:start w:val="0"/>
      <w:numFmt w:val="bullet"/>
      <w:lvlText w:val="•"/>
      <w:lvlJc w:val="left"/>
      <w:pPr>
        <w:ind w:left="2449" w:hanging="505"/>
      </w:pPr>
      <w:rPr>
        <w:rFonts w:hint="default"/>
        <w:lang w:val="en-US" w:eastAsia="zh-TW" w:bidi="ar-SA"/>
      </w:rPr>
    </w:lvl>
    <w:lvl w:ilvl="3">
      <w:start w:val="0"/>
      <w:numFmt w:val="bullet"/>
      <w:lvlText w:val="•"/>
      <w:lvlJc w:val="left"/>
      <w:pPr>
        <w:ind w:left="3393" w:hanging="505"/>
      </w:pPr>
      <w:rPr>
        <w:rFonts w:hint="default"/>
        <w:lang w:val="en-US" w:eastAsia="zh-TW" w:bidi="ar-SA"/>
      </w:rPr>
    </w:lvl>
    <w:lvl w:ilvl="4">
      <w:start w:val="0"/>
      <w:numFmt w:val="bullet"/>
      <w:lvlText w:val="•"/>
      <w:lvlJc w:val="left"/>
      <w:pPr>
        <w:ind w:left="4338" w:hanging="505"/>
      </w:pPr>
      <w:rPr>
        <w:rFonts w:hint="default"/>
        <w:lang w:val="en-US" w:eastAsia="zh-TW" w:bidi="ar-SA"/>
      </w:rPr>
    </w:lvl>
    <w:lvl w:ilvl="5">
      <w:start w:val="0"/>
      <w:numFmt w:val="bullet"/>
      <w:lvlText w:val="•"/>
      <w:lvlJc w:val="left"/>
      <w:pPr>
        <w:ind w:left="5283" w:hanging="505"/>
      </w:pPr>
      <w:rPr>
        <w:rFonts w:hint="default"/>
        <w:lang w:val="en-US" w:eastAsia="zh-TW" w:bidi="ar-SA"/>
      </w:rPr>
    </w:lvl>
    <w:lvl w:ilvl="6">
      <w:start w:val="0"/>
      <w:numFmt w:val="bullet"/>
      <w:lvlText w:val="•"/>
      <w:lvlJc w:val="left"/>
      <w:pPr>
        <w:ind w:left="6227" w:hanging="505"/>
      </w:pPr>
      <w:rPr>
        <w:rFonts w:hint="default"/>
        <w:lang w:val="en-US" w:eastAsia="zh-TW" w:bidi="ar-SA"/>
      </w:rPr>
    </w:lvl>
    <w:lvl w:ilvl="7">
      <w:start w:val="0"/>
      <w:numFmt w:val="bullet"/>
      <w:lvlText w:val="•"/>
      <w:lvlJc w:val="left"/>
      <w:pPr>
        <w:ind w:left="7172" w:hanging="505"/>
      </w:pPr>
      <w:rPr>
        <w:rFonts w:hint="default"/>
        <w:lang w:val="en-US" w:eastAsia="zh-TW" w:bidi="ar-SA"/>
      </w:rPr>
    </w:lvl>
    <w:lvl w:ilvl="8">
      <w:start w:val="0"/>
      <w:numFmt w:val="bullet"/>
      <w:lvlText w:val="•"/>
      <w:lvlJc w:val="left"/>
      <w:pPr>
        <w:ind w:left="8117" w:hanging="505"/>
      </w:pPr>
      <w:rPr>
        <w:rFonts w:hint="default"/>
        <w:lang w:val="en-US" w:eastAsia="zh-TW" w:bidi="ar-SA"/>
      </w:rPr>
    </w:lvl>
  </w:abstractNum>
  <w:abstractNum w:abstractNumId="2">
    <w:multiLevelType w:val="hybridMultilevel"/>
    <w:lvl w:ilvl="0">
      <w:start w:val="1"/>
      <w:numFmt w:val="decimal"/>
      <w:lvlText w:val="（%1）"/>
      <w:lvlJc w:val="left"/>
      <w:pPr>
        <w:ind w:left="652" w:hanging="505"/>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253" w:hanging="303"/>
        <w:jc w:val="left"/>
      </w:pPr>
      <w:rPr>
        <w:rFonts w:hint="default" w:ascii="SimSun" w:hAnsi="SimSun" w:eastAsia="SimSun" w:cs="SimSun"/>
        <w:spacing w:val="-1"/>
        <w:w w:val="99"/>
        <w:sz w:val="18"/>
        <w:szCs w:val="18"/>
        <w:lang w:val="en-US" w:eastAsia="zh-TW" w:bidi="ar-SA"/>
      </w:rPr>
    </w:lvl>
    <w:lvl w:ilvl="2">
      <w:start w:val="0"/>
      <w:numFmt w:val="bullet"/>
      <w:lvlText w:val="•"/>
      <w:lvlJc w:val="left"/>
      <w:pPr>
        <w:ind w:left="1698" w:hanging="303"/>
      </w:pPr>
      <w:rPr>
        <w:rFonts w:hint="default"/>
        <w:lang w:val="en-US" w:eastAsia="zh-TW" w:bidi="ar-SA"/>
      </w:rPr>
    </w:lvl>
    <w:lvl w:ilvl="3">
      <w:start w:val="0"/>
      <w:numFmt w:val="bullet"/>
      <w:lvlText w:val="•"/>
      <w:lvlJc w:val="left"/>
      <w:pPr>
        <w:ind w:left="2736" w:hanging="303"/>
      </w:pPr>
      <w:rPr>
        <w:rFonts w:hint="default"/>
        <w:lang w:val="en-US" w:eastAsia="zh-TW" w:bidi="ar-SA"/>
      </w:rPr>
    </w:lvl>
    <w:lvl w:ilvl="4">
      <w:start w:val="0"/>
      <w:numFmt w:val="bullet"/>
      <w:lvlText w:val="•"/>
      <w:lvlJc w:val="left"/>
      <w:pPr>
        <w:ind w:left="3775" w:hanging="303"/>
      </w:pPr>
      <w:rPr>
        <w:rFonts w:hint="default"/>
        <w:lang w:val="en-US" w:eastAsia="zh-TW" w:bidi="ar-SA"/>
      </w:rPr>
    </w:lvl>
    <w:lvl w:ilvl="5">
      <w:start w:val="0"/>
      <w:numFmt w:val="bullet"/>
      <w:lvlText w:val="•"/>
      <w:lvlJc w:val="left"/>
      <w:pPr>
        <w:ind w:left="4813" w:hanging="303"/>
      </w:pPr>
      <w:rPr>
        <w:rFonts w:hint="default"/>
        <w:lang w:val="en-US" w:eastAsia="zh-TW" w:bidi="ar-SA"/>
      </w:rPr>
    </w:lvl>
    <w:lvl w:ilvl="6">
      <w:start w:val="0"/>
      <w:numFmt w:val="bullet"/>
      <w:lvlText w:val="•"/>
      <w:lvlJc w:val="left"/>
      <w:pPr>
        <w:ind w:left="5852" w:hanging="303"/>
      </w:pPr>
      <w:rPr>
        <w:rFonts w:hint="default"/>
        <w:lang w:val="en-US" w:eastAsia="zh-TW" w:bidi="ar-SA"/>
      </w:rPr>
    </w:lvl>
    <w:lvl w:ilvl="7">
      <w:start w:val="0"/>
      <w:numFmt w:val="bullet"/>
      <w:lvlText w:val="•"/>
      <w:lvlJc w:val="left"/>
      <w:pPr>
        <w:ind w:left="6890" w:hanging="303"/>
      </w:pPr>
      <w:rPr>
        <w:rFonts w:hint="default"/>
        <w:lang w:val="en-US" w:eastAsia="zh-TW" w:bidi="ar-SA"/>
      </w:rPr>
    </w:lvl>
    <w:lvl w:ilvl="8">
      <w:start w:val="0"/>
      <w:numFmt w:val="bullet"/>
      <w:lvlText w:val="•"/>
      <w:lvlJc w:val="left"/>
      <w:pPr>
        <w:ind w:left="7929" w:hanging="303"/>
      </w:pPr>
      <w:rPr>
        <w:rFonts w:hint="default"/>
        <w:lang w:val="en-US" w:eastAsia="zh-TW" w:bidi="ar-SA"/>
      </w:rPr>
    </w:lvl>
  </w:abstractNum>
  <w:abstractNum w:abstractNumId="1">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94" w:hanging="502"/>
      </w:pPr>
      <w:rPr>
        <w:rFonts w:hint="default"/>
        <w:lang w:val="en-US" w:eastAsia="zh-TW" w:bidi="ar-SA"/>
      </w:rPr>
    </w:lvl>
    <w:lvl w:ilvl="2">
      <w:start w:val="0"/>
      <w:numFmt w:val="bullet"/>
      <w:lvlText w:val="•"/>
      <w:lvlJc w:val="left"/>
      <w:pPr>
        <w:ind w:left="2529" w:hanging="502"/>
      </w:pPr>
      <w:rPr>
        <w:rFonts w:hint="default"/>
        <w:lang w:val="en-US" w:eastAsia="zh-TW" w:bidi="ar-SA"/>
      </w:rPr>
    </w:lvl>
    <w:lvl w:ilvl="3">
      <w:start w:val="0"/>
      <w:numFmt w:val="bullet"/>
      <w:lvlText w:val="•"/>
      <w:lvlJc w:val="left"/>
      <w:pPr>
        <w:ind w:left="3463" w:hanging="502"/>
      </w:pPr>
      <w:rPr>
        <w:rFonts w:hint="default"/>
        <w:lang w:val="en-US" w:eastAsia="zh-TW" w:bidi="ar-SA"/>
      </w:rPr>
    </w:lvl>
    <w:lvl w:ilvl="4">
      <w:start w:val="0"/>
      <w:numFmt w:val="bullet"/>
      <w:lvlText w:val="•"/>
      <w:lvlJc w:val="left"/>
      <w:pPr>
        <w:ind w:left="4398" w:hanging="502"/>
      </w:pPr>
      <w:rPr>
        <w:rFonts w:hint="default"/>
        <w:lang w:val="en-US" w:eastAsia="zh-TW" w:bidi="ar-SA"/>
      </w:rPr>
    </w:lvl>
    <w:lvl w:ilvl="5">
      <w:start w:val="0"/>
      <w:numFmt w:val="bullet"/>
      <w:lvlText w:val="•"/>
      <w:lvlJc w:val="left"/>
      <w:pPr>
        <w:ind w:left="5333" w:hanging="502"/>
      </w:pPr>
      <w:rPr>
        <w:rFonts w:hint="default"/>
        <w:lang w:val="en-US" w:eastAsia="zh-TW" w:bidi="ar-SA"/>
      </w:rPr>
    </w:lvl>
    <w:lvl w:ilvl="6">
      <w:start w:val="0"/>
      <w:numFmt w:val="bullet"/>
      <w:lvlText w:val="•"/>
      <w:lvlJc w:val="left"/>
      <w:pPr>
        <w:ind w:left="6267" w:hanging="502"/>
      </w:pPr>
      <w:rPr>
        <w:rFonts w:hint="default"/>
        <w:lang w:val="en-US" w:eastAsia="zh-TW" w:bidi="ar-SA"/>
      </w:rPr>
    </w:lvl>
    <w:lvl w:ilvl="7">
      <w:start w:val="0"/>
      <w:numFmt w:val="bullet"/>
      <w:lvlText w:val="•"/>
      <w:lvlJc w:val="left"/>
      <w:pPr>
        <w:ind w:left="7202" w:hanging="502"/>
      </w:pPr>
      <w:rPr>
        <w:rFonts w:hint="default"/>
        <w:lang w:val="en-US" w:eastAsia="zh-TW" w:bidi="ar-SA"/>
      </w:rPr>
    </w:lvl>
    <w:lvl w:ilvl="8">
      <w:start w:val="0"/>
      <w:numFmt w:val="bullet"/>
      <w:lvlText w:val="•"/>
      <w:lvlJc w:val="left"/>
      <w:pPr>
        <w:ind w:left="8137" w:hanging="502"/>
      </w:pPr>
      <w:rPr>
        <w:rFonts w:hint="default"/>
        <w:lang w:val="en-US" w:eastAsia="zh-TW" w:bidi="ar-SA"/>
      </w:rPr>
    </w:lvl>
  </w:abstractNum>
  <w:abstractNum w:abstractNumId="0">
    <w:multiLevelType w:val="hybridMultilevel"/>
    <w:lvl w:ilvl="0">
      <w:start w:val="1"/>
      <w:numFmt w:val="decimal"/>
      <w:lvlText w:val="（%1）"/>
      <w:lvlJc w:val="left"/>
      <w:pPr>
        <w:ind w:left="654" w:hanging="5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594" w:hanging="502"/>
      </w:pPr>
      <w:rPr>
        <w:rFonts w:hint="default"/>
        <w:lang w:val="en-US" w:eastAsia="zh-TW" w:bidi="ar-SA"/>
      </w:rPr>
    </w:lvl>
    <w:lvl w:ilvl="2">
      <w:start w:val="0"/>
      <w:numFmt w:val="bullet"/>
      <w:lvlText w:val="•"/>
      <w:lvlJc w:val="left"/>
      <w:pPr>
        <w:ind w:left="2529" w:hanging="502"/>
      </w:pPr>
      <w:rPr>
        <w:rFonts w:hint="default"/>
        <w:lang w:val="en-US" w:eastAsia="zh-TW" w:bidi="ar-SA"/>
      </w:rPr>
    </w:lvl>
    <w:lvl w:ilvl="3">
      <w:start w:val="0"/>
      <w:numFmt w:val="bullet"/>
      <w:lvlText w:val="•"/>
      <w:lvlJc w:val="left"/>
      <w:pPr>
        <w:ind w:left="3463" w:hanging="502"/>
      </w:pPr>
      <w:rPr>
        <w:rFonts w:hint="default"/>
        <w:lang w:val="en-US" w:eastAsia="zh-TW" w:bidi="ar-SA"/>
      </w:rPr>
    </w:lvl>
    <w:lvl w:ilvl="4">
      <w:start w:val="0"/>
      <w:numFmt w:val="bullet"/>
      <w:lvlText w:val="•"/>
      <w:lvlJc w:val="left"/>
      <w:pPr>
        <w:ind w:left="4398" w:hanging="502"/>
      </w:pPr>
      <w:rPr>
        <w:rFonts w:hint="default"/>
        <w:lang w:val="en-US" w:eastAsia="zh-TW" w:bidi="ar-SA"/>
      </w:rPr>
    </w:lvl>
    <w:lvl w:ilvl="5">
      <w:start w:val="0"/>
      <w:numFmt w:val="bullet"/>
      <w:lvlText w:val="•"/>
      <w:lvlJc w:val="left"/>
      <w:pPr>
        <w:ind w:left="5333" w:hanging="502"/>
      </w:pPr>
      <w:rPr>
        <w:rFonts w:hint="default"/>
        <w:lang w:val="en-US" w:eastAsia="zh-TW" w:bidi="ar-SA"/>
      </w:rPr>
    </w:lvl>
    <w:lvl w:ilvl="6">
      <w:start w:val="0"/>
      <w:numFmt w:val="bullet"/>
      <w:lvlText w:val="•"/>
      <w:lvlJc w:val="left"/>
      <w:pPr>
        <w:ind w:left="6267" w:hanging="502"/>
      </w:pPr>
      <w:rPr>
        <w:rFonts w:hint="default"/>
        <w:lang w:val="en-US" w:eastAsia="zh-TW" w:bidi="ar-SA"/>
      </w:rPr>
    </w:lvl>
    <w:lvl w:ilvl="7">
      <w:start w:val="0"/>
      <w:numFmt w:val="bullet"/>
      <w:lvlText w:val="•"/>
      <w:lvlJc w:val="left"/>
      <w:pPr>
        <w:ind w:left="7202" w:hanging="502"/>
      </w:pPr>
      <w:rPr>
        <w:rFonts w:hint="default"/>
        <w:lang w:val="en-US" w:eastAsia="zh-TW" w:bidi="ar-SA"/>
      </w:rPr>
    </w:lvl>
    <w:lvl w:ilvl="8">
      <w:start w:val="0"/>
      <w:numFmt w:val="bullet"/>
      <w:lvlText w:val="•"/>
      <w:lvlJc w:val="left"/>
      <w:pPr>
        <w:ind w:left="8137" w:hanging="502"/>
      </w:pPr>
      <w:rPr>
        <w:rFonts w:hint="default"/>
        <w:lang w:val="en-US" w:eastAsia="zh-TW"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52"/>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5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8" w:lineRule="exact"/>
      <w:ind w:left="15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ind w:left="654" w:hanging="503"/>
    </w:pPr>
    <w:rPr>
      <w:rFonts w:ascii="SimSun" w:hAnsi="SimSun" w:eastAsia="SimSun" w:cs="SimSun"/>
      <w:lang w:val="en-US" w:eastAsia="zh-TW" w:bidi="ar-SA"/>
    </w:rPr>
  </w:style>
  <w:style w:styleId="TableParagraph" w:type="paragraph">
    <w:name w:val="Table Paragraph"/>
    <w:basedOn w:val="Normal"/>
    <w:uiPriority w:val="1"/>
    <w:qFormat/>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dc:creator>
  <dcterms:created xsi:type="dcterms:W3CDTF">2023-11-01T02:13:15Z</dcterms:created>
  <dcterms:modified xsi:type="dcterms:W3CDTF">2023-11-01T02:13:15Z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2016</vt:lpwstr>
  </property>
  <property fmtid="{D5CDD505-2E9C-101B-9397-08002B2CF9AE}" pid="4" name="LastSaved">
    <vt:filetime>2023-11-01T00:00:00Z</vt:filetime>
  </property>
</Properties>
</file>