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國泰人壽微型傷害保險</w:t>
      </w:r>
    </w:p>
    <w:p>
      <w:pPr>
        <w:pStyle w:val="Heading1"/>
        <w:spacing w:line="223" w:lineRule="exact"/>
        <w:ind w:left="138"/>
      </w:pPr>
      <w:r>
        <w:rPr/>
        <w:t>（身故或喪葬費用、失能保險金給付）</w:t>
      </w:r>
    </w:p>
    <w:p>
      <w:pPr>
        <w:spacing w:line="304" w:lineRule="exact" w:before="0"/>
        <w:ind w:left="152" w:right="0" w:firstLine="0"/>
        <w:jc w:val="left"/>
        <w:rPr>
          <w:rFonts w:ascii="Microsoft JhengHei" w:eastAsia="Microsoft JhengHei" w:hint="eastAsia"/>
          <w:b/>
          <w:sz w:val="20"/>
        </w:rPr>
      </w:pPr>
      <w:r>
        <w:rPr>
          <w:rFonts w:ascii="Microsoft JhengHei" w:eastAsia="Microsoft JhengHei" w:hint="eastAsia"/>
          <w:b/>
          <w:position w:val="1"/>
          <w:sz w:val="20"/>
        </w:rPr>
        <w:t>（免費申訴電話：</w:t>
      </w:r>
      <w:r>
        <w:rPr>
          <w:rFonts w:ascii="Arial" w:eastAsia="Arial"/>
          <w:b/>
          <w:sz w:val="20"/>
        </w:rPr>
        <w:t>0800-036-599</w:t>
      </w:r>
      <w:r>
        <w:rPr>
          <w:rFonts w:ascii="Microsoft JhengHei" w:eastAsia="Microsoft JhengHei" w:hint="eastAsia"/>
          <w:b/>
          <w:position w:val="1"/>
          <w:sz w:val="20"/>
        </w:rPr>
        <w:t>）</w:t>
      </w:r>
    </w:p>
    <w:p>
      <w:pPr>
        <w:pStyle w:val="BodyText"/>
        <w:spacing w:before="5"/>
        <w:rPr>
          <w:rFonts w:ascii="Microsoft JhengHei"/>
          <w:b/>
          <w:sz w:val="12"/>
        </w:rPr>
      </w:pPr>
    </w:p>
    <w:p>
      <w:pPr>
        <w:pStyle w:val="BodyText"/>
        <w:spacing w:before="1"/>
        <w:ind w:left="152"/>
      </w:pPr>
      <w:r>
        <w:rPr/>
        <w:t>98.10.26金管保品字第09802202690號函核准</w:t>
      </w:r>
    </w:p>
    <w:p>
      <w:pPr>
        <w:pStyle w:val="ListParagraph"/>
        <w:numPr>
          <w:ilvl w:val="2"/>
          <w:numId w:val="1"/>
        </w:numPr>
        <w:tabs>
          <w:tab w:pos="955" w:val="left" w:leader="none"/>
        </w:tabs>
        <w:spacing w:line="240" w:lineRule="auto" w:before="5" w:after="0"/>
        <w:ind w:left="954" w:right="0" w:hanging="803"/>
        <w:jc w:val="left"/>
        <w:rPr>
          <w:sz w:val="20"/>
        </w:rPr>
      </w:pPr>
      <w:r>
        <w:rPr>
          <w:w w:val="95"/>
          <w:sz w:val="20"/>
        </w:rPr>
        <w:t>國壽字第99020065號函備查</w:t>
      </w:r>
    </w:p>
    <w:p>
      <w:pPr>
        <w:pStyle w:val="BodyText"/>
        <w:spacing w:before="3"/>
        <w:ind w:left="152"/>
      </w:pPr>
      <w:r>
        <w:rPr/>
        <w:t>101.04.30國壽字第101041142號函備查</w:t>
      </w:r>
    </w:p>
    <w:p>
      <w:pPr>
        <w:pStyle w:val="BodyText"/>
        <w:spacing w:before="3"/>
        <w:ind w:left="152"/>
      </w:pPr>
      <w:r>
        <w:rPr>
          <w:w w:val="95"/>
        </w:rPr>
        <w:t>103.07.31依103.06.26金管保壽字第10302548030號函修正</w:t>
      </w:r>
    </w:p>
    <w:p>
      <w:pPr>
        <w:pStyle w:val="BodyText"/>
        <w:spacing w:before="5"/>
        <w:ind w:left="152"/>
      </w:pPr>
      <w:r>
        <w:rPr>
          <w:w w:val="95"/>
        </w:rPr>
        <w:t>104.08.04依104.05.19金管保壽字第10402543750號函修正</w:t>
      </w:r>
    </w:p>
    <w:p>
      <w:pPr>
        <w:pStyle w:val="BodyText"/>
        <w:spacing w:before="3"/>
        <w:ind w:left="152"/>
      </w:pPr>
      <w:r>
        <w:rPr>
          <w:w w:val="95"/>
        </w:rPr>
        <w:t>104.08.04依104.06.24金管保壽字第10402049830號函修正</w:t>
      </w:r>
    </w:p>
    <w:p>
      <w:pPr>
        <w:pStyle w:val="BodyText"/>
        <w:spacing w:before="3"/>
        <w:ind w:left="152"/>
      </w:pPr>
      <w:r>
        <w:rPr>
          <w:w w:val="95"/>
        </w:rPr>
        <w:t>107.09.13依107.06.07金管保壽字第10704158370號函修正</w:t>
      </w:r>
    </w:p>
    <w:p>
      <w:pPr>
        <w:pStyle w:val="BodyText"/>
        <w:spacing w:before="6"/>
        <w:ind w:left="152"/>
      </w:pPr>
      <w:r>
        <w:rPr>
          <w:w w:val="95"/>
        </w:rPr>
        <w:t>108.12.31依108.04.09金管保壽字第10804904941號函修正</w:t>
      </w:r>
    </w:p>
    <w:p>
      <w:pPr>
        <w:pStyle w:val="BodyText"/>
        <w:spacing w:before="2"/>
        <w:ind w:left="152"/>
      </w:pPr>
      <w:r>
        <w:rPr/>
        <w:drawing>
          <wp:anchor distT="0" distB="0" distL="0" distR="0" allowOverlap="1" layoutInCell="1" locked="0" behindDoc="1" simplePos="0" relativeHeight="486294016">
            <wp:simplePos x="0" y="0"/>
            <wp:positionH relativeFrom="page">
              <wp:posOffset>2872165</wp:posOffset>
            </wp:positionH>
            <wp:positionV relativeFrom="paragraph">
              <wp:posOffset>156665</wp:posOffset>
            </wp:positionV>
            <wp:extent cx="1838868" cy="44334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8868" cy="4433441"/>
                    </a:xfrm>
                    <a:prstGeom prst="rect">
                      <a:avLst/>
                    </a:prstGeom>
                  </pic:spPr>
                </pic:pic>
              </a:graphicData>
            </a:graphic>
          </wp:anchor>
        </w:drawing>
      </w:r>
      <w:r>
        <w:rPr>
          <w:w w:val="95"/>
        </w:rPr>
        <w:t>108.12.31依108.06.21金管保壽字第10804920500號函修正</w:t>
      </w:r>
    </w:p>
    <w:p>
      <w:pPr>
        <w:pStyle w:val="BodyText"/>
        <w:spacing w:before="3"/>
        <w:ind w:left="152"/>
      </w:pPr>
      <w:r>
        <w:rPr/>
        <w:t>112.02.08依111.08.30金管保壽字第1110445485號函修正</w:t>
      </w:r>
    </w:p>
    <w:p>
      <w:pPr>
        <w:pStyle w:val="Heading1"/>
        <w:tabs>
          <w:tab w:pos="954" w:val="left" w:leader="none"/>
        </w:tabs>
        <w:spacing w:line="348" w:lineRule="exact" w:before="178"/>
      </w:pPr>
      <w:r>
        <w:rPr/>
        <w:t>第一條</w:t>
        <w:tab/>
        <w:t>保險契約的構成</w:t>
      </w:r>
    </w:p>
    <w:p>
      <w:pPr>
        <w:pStyle w:val="BodyText"/>
        <w:spacing w:line="236" w:lineRule="exact"/>
        <w:ind w:left="753"/>
      </w:pPr>
      <w:r>
        <w:rPr/>
        <w:t>本保險單條款、附著之要保書、批註及其他約定書，均為本保險契約（以下簡稱本契約）的構成部分。</w:t>
      </w:r>
    </w:p>
    <w:p>
      <w:pPr>
        <w:pStyle w:val="BodyText"/>
        <w:spacing w:line="244" w:lineRule="auto" w:before="3"/>
        <w:ind w:left="753" w:right="130"/>
      </w:pPr>
      <w:r>
        <w:rPr>
          <w:w w:val="95"/>
        </w:rPr>
        <w:t>本契約的解釋，應探求契約當事人的真意，不得拘泥於所用的文字；如有疑義時，以作有利於被保險人</w:t>
      </w:r>
      <w:r>
        <w:rPr>
          <w:spacing w:val="198"/>
        </w:rPr>
        <w:t> </w:t>
      </w:r>
      <w:r>
        <w:rPr/>
        <w:t>的解釋為原則。</w:t>
      </w:r>
    </w:p>
    <w:p>
      <w:pPr>
        <w:pStyle w:val="BodyText"/>
        <w:spacing w:line="254" w:lineRule="exact"/>
        <w:ind w:left="753"/>
      </w:pPr>
      <w:r>
        <w:rPr/>
        <w:t>本契約條款如有未盡事宜悉依相關法令辦理。</w:t>
      </w:r>
    </w:p>
    <w:p>
      <w:pPr>
        <w:pStyle w:val="BodyText"/>
        <w:spacing w:before="6"/>
        <w:rPr>
          <w:sz w:val="15"/>
        </w:rPr>
      </w:pPr>
    </w:p>
    <w:p>
      <w:pPr>
        <w:pStyle w:val="Heading1"/>
        <w:tabs>
          <w:tab w:pos="957" w:val="left" w:leader="none"/>
        </w:tabs>
        <w:ind w:left="155"/>
      </w:pPr>
      <w:r>
        <w:rPr/>
        <w:t>第二條</w:t>
        <w:tab/>
        <w:t>名詞定義</w:t>
      </w:r>
    </w:p>
    <w:p>
      <w:pPr>
        <w:pStyle w:val="BodyText"/>
        <w:spacing w:line="235" w:lineRule="exact"/>
        <w:ind w:left="753"/>
      </w:pPr>
      <w:r>
        <w:rPr/>
        <w:t>本契約所稱「要保人」，與被保險人為同一人。</w:t>
      </w:r>
    </w:p>
    <w:p>
      <w:pPr>
        <w:pStyle w:val="BodyText"/>
        <w:spacing w:before="3"/>
        <w:ind w:left="753"/>
      </w:pPr>
      <w:r>
        <w:rPr/>
        <w:t>本契約所稱「代理投保單位」，指代理要保人訂立本契約且符合下列條件者：</w:t>
      </w:r>
    </w:p>
    <w:p>
      <w:pPr>
        <w:pStyle w:val="BodyText"/>
        <w:spacing w:line="242" w:lineRule="auto" w:before="6"/>
        <w:ind w:left="753" w:right="1370"/>
      </w:pPr>
      <w:r>
        <w:rPr>
          <w:w w:val="95"/>
        </w:rPr>
        <w:t>一、須具有法人人格且成立至少二年以上，但第二款第四目與第六目所列單位不在此限。</w:t>
      </w:r>
      <w:r>
        <w:rPr>
          <w:spacing w:val="98"/>
        </w:rPr>
        <w:t> </w:t>
      </w:r>
      <w:r>
        <w:rPr/>
        <w:t>二、與要保人間須具有以下連結關係之一：</w:t>
      </w:r>
    </w:p>
    <w:p>
      <w:pPr>
        <w:pStyle w:val="ListParagraph"/>
        <w:numPr>
          <w:ilvl w:val="3"/>
          <w:numId w:val="1"/>
        </w:numPr>
        <w:tabs>
          <w:tab w:pos="1152" w:val="left" w:leader="none"/>
        </w:tabs>
        <w:spacing w:line="240" w:lineRule="auto" w:before="0" w:after="0"/>
        <w:ind w:left="1151" w:right="0" w:hanging="202"/>
        <w:jc w:val="left"/>
        <w:rPr>
          <w:sz w:val="20"/>
        </w:rPr>
      </w:pPr>
      <w:r>
        <w:rPr>
          <w:w w:val="95"/>
          <w:sz w:val="20"/>
        </w:rPr>
        <w:t>雇主與其員工關係。</w:t>
      </w:r>
    </w:p>
    <w:p>
      <w:pPr>
        <w:pStyle w:val="ListParagraph"/>
        <w:numPr>
          <w:ilvl w:val="3"/>
          <w:numId w:val="1"/>
        </w:numPr>
        <w:tabs>
          <w:tab w:pos="1152" w:val="left" w:leader="none"/>
        </w:tabs>
        <w:spacing w:line="240" w:lineRule="auto" w:before="6" w:after="0"/>
        <w:ind w:left="1151" w:right="0" w:hanging="202"/>
        <w:jc w:val="left"/>
        <w:rPr>
          <w:sz w:val="20"/>
        </w:rPr>
      </w:pPr>
      <w:r>
        <w:rPr>
          <w:w w:val="95"/>
          <w:sz w:val="20"/>
        </w:rPr>
        <w:t>依法成立之合法合作社、協會、職業工會、聯合團體或聯盟與其成員關係。</w:t>
      </w:r>
    </w:p>
    <w:p>
      <w:pPr>
        <w:pStyle w:val="ListParagraph"/>
        <w:numPr>
          <w:ilvl w:val="3"/>
          <w:numId w:val="1"/>
        </w:numPr>
        <w:tabs>
          <w:tab w:pos="1152" w:val="left" w:leader="none"/>
        </w:tabs>
        <w:spacing w:line="240" w:lineRule="auto" w:before="3" w:after="0"/>
        <w:ind w:left="1151" w:right="0" w:hanging="202"/>
        <w:jc w:val="left"/>
        <w:rPr>
          <w:sz w:val="20"/>
        </w:rPr>
      </w:pPr>
      <w:r>
        <w:rPr>
          <w:w w:val="95"/>
          <w:sz w:val="20"/>
        </w:rPr>
        <w:t>依法設立之金融機構或放款機構與其債務人關係。</w:t>
      </w:r>
    </w:p>
    <w:p>
      <w:pPr>
        <w:pStyle w:val="ListParagraph"/>
        <w:numPr>
          <w:ilvl w:val="3"/>
          <w:numId w:val="1"/>
        </w:numPr>
        <w:tabs>
          <w:tab w:pos="1152" w:val="left" w:leader="none"/>
        </w:tabs>
        <w:spacing w:line="240" w:lineRule="auto" w:before="3" w:after="0"/>
        <w:ind w:left="1151" w:right="0" w:hanging="202"/>
        <w:jc w:val="left"/>
        <w:rPr>
          <w:sz w:val="20"/>
        </w:rPr>
      </w:pPr>
      <w:r>
        <w:rPr>
          <w:w w:val="95"/>
          <w:sz w:val="20"/>
        </w:rPr>
        <w:t>依法設立之學校與其學生關係。</w:t>
      </w:r>
    </w:p>
    <w:p>
      <w:pPr>
        <w:pStyle w:val="ListParagraph"/>
        <w:numPr>
          <w:ilvl w:val="3"/>
          <w:numId w:val="1"/>
        </w:numPr>
        <w:tabs>
          <w:tab w:pos="1152" w:val="left" w:leader="none"/>
        </w:tabs>
        <w:spacing w:line="240" w:lineRule="auto" w:before="5" w:after="0"/>
        <w:ind w:left="1151" w:right="0" w:hanging="202"/>
        <w:jc w:val="left"/>
        <w:rPr>
          <w:sz w:val="20"/>
        </w:rPr>
      </w:pPr>
      <w:r>
        <w:rPr>
          <w:w w:val="95"/>
          <w:sz w:val="20"/>
        </w:rPr>
        <w:t>合法立案之社會福利慈善團體或機構與其服務對象關係。</w:t>
      </w:r>
    </w:p>
    <w:p>
      <w:pPr>
        <w:pStyle w:val="ListParagraph"/>
        <w:numPr>
          <w:ilvl w:val="3"/>
          <w:numId w:val="1"/>
        </w:numPr>
        <w:tabs>
          <w:tab w:pos="1152" w:val="left" w:leader="none"/>
        </w:tabs>
        <w:spacing w:line="240" w:lineRule="auto" w:before="3" w:after="0"/>
        <w:ind w:left="1151" w:right="0" w:hanging="202"/>
        <w:jc w:val="left"/>
        <w:rPr>
          <w:sz w:val="20"/>
        </w:rPr>
      </w:pPr>
      <w:r>
        <w:rPr>
          <w:w w:val="95"/>
          <w:sz w:val="20"/>
        </w:rPr>
        <w:t>直轄市政府、縣(市)政府、鄉(鎮、市)公所、區公所、村(里)辦公室與其戶籍居民關係。</w:t>
      </w:r>
    </w:p>
    <w:p>
      <w:pPr>
        <w:pStyle w:val="ListParagraph"/>
        <w:numPr>
          <w:ilvl w:val="3"/>
          <w:numId w:val="1"/>
        </w:numPr>
        <w:tabs>
          <w:tab w:pos="1152" w:val="left" w:leader="none"/>
        </w:tabs>
        <w:spacing w:line="240" w:lineRule="auto" w:before="3" w:after="0"/>
        <w:ind w:left="1151" w:right="0" w:hanging="202"/>
        <w:jc w:val="left"/>
        <w:rPr>
          <w:sz w:val="20"/>
        </w:rPr>
      </w:pPr>
      <w:r>
        <w:rPr>
          <w:w w:val="95"/>
          <w:sz w:val="20"/>
        </w:rPr>
        <w:t>合法立案之宗教團體與其成員或該團體服務對象關係。</w:t>
      </w:r>
    </w:p>
    <w:p>
      <w:pPr>
        <w:pStyle w:val="ListParagraph"/>
        <w:numPr>
          <w:ilvl w:val="3"/>
          <w:numId w:val="1"/>
        </w:numPr>
        <w:tabs>
          <w:tab w:pos="1152" w:val="left" w:leader="none"/>
        </w:tabs>
        <w:spacing w:line="240" w:lineRule="auto" w:before="6" w:after="0"/>
        <w:ind w:left="1151" w:right="0" w:hanging="202"/>
        <w:jc w:val="left"/>
        <w:rPr>
          <w:sz w:val="20"/>
        </w:rPr>
      </w:pPr>
      <w:r>
        <w:rPr>
          <w:w w:val="95"/>
          <w:sz w:val="20"/>
        </w:rPr>
        <w:t>凡非屬以上所列而具有法人資格之團體與其會員或成員關係。</w:t>
      </w:r>
    </w:p>
    <w:p>
      <w:pPr>
        <w:pStyle w:val="BodyText"/>
        <w:spacing w:line="242" w:lineRule="auto" w:before="3"/>
        <w:ind w:left="753" w:right="136"/>
      </w:pPr>
      <w:r>
        <w:rPr>
          <w:w w:val="95"/>
        </w:rPr>
        <w:t>本契約所稱「保險年齡」，係按被保險人投保本契約時之足歲計算，但是未滿一歲的零數超過六個月者</w:t>
      </w:r>
      <w:r>
        <w:rPr>
          <w:spacing w:val="192"/>
        </w:rPr>
        <w:t> </w:t>
      </w:r>
      <w:r>
        <w:rPr/>
        <w:t>加算一歲，之後須每經過一個保險單年度始加計一歲。</w:t>
      </w:r>
    </w:p>
    <w:p>
      <w:pPr>
        <w:pStyle w:val="BodyText"/>
        <w:spacing w:before="4"/>
        <w:rPr>
          <w:sz w:val="15"/>
        </w:rPr>
      </w:pPr>
    </w:p>
    <w:p>
      <w:pPr>
        <w:pStyle w:val="Heading1"/>
        <w:tabs>
          <w:tab w:pos="954" w:val="left" w:leader="none"/>
        </w:tabs>
      </w:pPr>
      <w:r>
        <w:rPr/>
        <w:t>第三條</w:t>
        <w:tab/>
        <w:t>保險期間及續保</w:t>
      </w:r>
    </w:p>
    <w:p>
      <w:pPr>
        <w:pStyle w:val="BodyText"/>
        <w:spacing w:line="235" w:lineRule="exact"/>
        <w:ind w:left="753"/>
      </w:pPr>
      <w:r>
        <w:rPr/>
        <w:t>本契約的保險期間，以本契約保險單上所載日時為準。</w:t>
      </w:r>
    </w:p>
    <w:p>
      <w:pPr>
        <w:pStyle w:val="BodyText"/>
        <w:spacing w:line="242" w:lineRule="auto" w:before="5"/>
        <w:ind w:left="753" w:right="131"/>
        <w:jc w:val="both"/>
      </w:pPr>
      <w:r>
        <w:rPr>
          <w:w w:val="95"/>
        </w:rPr>
        <w:t>要保人於保險期間屆滿前交付續保保險費，並經本公司同意者，本契約得自原保險期間屆滿日的翌日零</w:t>
      </w:r>
      <w:r>
        <w:rPr>
          <w:spacing w:val="207"/>
        </w:rPr>
        <w:t> </w:t>
      </w:r>
      <w:r>
        <w:rPr>
          <w:w w:val="95"/>
        </w:rPr>
        <w:t>時起續保一年，嗣後保險期間屆滿時亦同。本契約續保時本公司得按照主管機關核可之保險費率調整保</w:t>
      </w:r>
      <w:r>
        <w:rPr>
          <w:spacing w:val="197"/>
        </w:rPr>
        <w:t> </w:t>
      </w:r>
      <w:r>
        <w:rPr/>
        <w:t>險費。</w:t>
      </w:r>
    </w:p>
    <w:p>
      <w:pPr>
        <w:pStyle w:val="BodyText"/>
        <w:spacing w:line="242" w:lineRule="auto" w:before="4"/>
        <w:ind w:left="753" w:right="132"/>
      </w:pPr>
      <w:r>
        <w:rPr>
          <w:w w:val="95"/>
        </w:rPr>
        <w:t>依前項約定辦理續保時，要保人、代理投保單位如未能依本公司要求出具被保險人符合投保微型傷害保</w:t>
      </w:r>
      <w:r>
        <w:rPr>
          <w:spacing w:val="196"/>
        </w:rPr>
        <w:t> </w:t>
      </w:r>
      <w:r>
        <w:rPr/>
        <w:t>險資格之身分證明文件或要保人不同意保險費之調整時，本公司得不同意本契約之續保。</w:t>
      </w:r>
    </w:p>
    <w:p>
      <w:pPr>
        <w:pStyle w:val="BodyText"/>
        <w:spacing w:before="1"/>
        <w:ind w:left="753"/>
      </w:pPr>
      <w:r>
        <w:rPr/>
        <w:t>本契約之續保最高至被保險人之保險年齡達七十歲之保險單年度末為止。</w:t>
      </w:r>
    </w:p>
    <w:p>
      <w:pPr>
        <w:pStyle w:val="BodyText"/>
        <w:spacing w:before="6"/>
        <w:rPr>
          <w:sz w:val="15"/>
        </w:rPr>
      </w:pPr>
    </w:p>
    <w:p>
      <w:pPr>
        <w:pStyle w:val="Heading1"/>
        <w:tabs>
          <w:tab w:pos="954" w:val="left" w:leader="none"/>
        </w:tabs>
      </w:pPr>
      <w:r>
        <w:rPr/>
        <w:t>第四條</w:t>
        <w:tab/>
        <w:t>保險範圍</w:t>
      </w:r>
    </w:p>
    <w:p>
      <w:pPr>
        <w:pStyle w:val="BodyText"/>
        <w:spacing w:line="235" w:lineRule="exact"/>
        <w:ind w:left="753"/>
      </w:pPr>
      <w:r>
        <w:rPr>
          <w:w w:val="95"/>
        </w:rPr>
        <w:t>被保險人於本契約有效期間內，因遭受意外傷害事故，致其身體蒙受傷害而致失能或死亡時，本公司依</w:t>
      </w:r>
    </w:p>
    <w:p>
      <w:pPr>
        <w:pStyle w:val="BodyText"/>
        <w:spacing w:before="6"/>
        <w:ind w:left="753"/>
      </w:pPr>
      <w:r>
        <w:rPr/>
        <w:t>照本契約的約定，給付保險金。</w:t>
      </w:r>
    </w:p>
    <w:p>
      <w:pPr>
        <w:pStyle w:val="BodyText"/>
        <w:spacing w:before="3"/>
        <w:ind w:left="753"/>
      </w:pPr>
      <w:r>
        <w:rPr/>
        <w:t>前項所稱意外傷害事故，指非由疾病引起之外來突發事故。</w:t>
      </w:r>
    </w:p>
    <w:p>
      <w:pPr>
        <w:pStyle w:val="BodyText"/>
        <w:spacing w:before="6"/>
        <w:rPr>
          <w:sz w:val="15"/>
        </w:rPr>
      </w:pPr>
    </w:p>
    <w:p>
      <w:pPr>
        <w:pStyle w:val="Heading1"/>
        <w:tabs>
          <w:tab w:pos="954" w:val="left" w:leader="none"/>
        </w:tabs>
      </w:pPr>
      <w:r>
        <w:rPr/>
        <w:t>第五條</w:t>
        <w:tab/>
        <w:t>身故或喪葬費用保險金的給付</w:t>
      </w:r>
    </w:p>
    <w:p>
      <w:pPr>
        <w:pStyle w:val="BodyText"/>
        <w:spacing w:line="235" w:lineRule="exact"/>
        <w:ind w:left="753"/>
      </w:pPr>
      <w:r>
        <w:rPr>
          <w:w w:val="95"/>
        </w:rPr>
        <w:t>被保險人於本契約有效期間內遭受第四條約定的意外傷害事故，自意外傷害事故發生之日起一百八十日</w:t>
      </w:r>
    </w:p>
    <w:p>
      <w:pPr>
        <w:spacing w:after="0" w:line="235" w:lineRule="exact"/>
        <w:sectPr>
          <w:footerReference w:type="default" r:id="rId5"/>
          <w:type w:val="continuous"/>
          <w:pgSz w:w="11910" w:h="16850"/>
          <w:pgMar w:footer="775" w:top="1400" w:bottom="960" w:left="980" w:right="1000"/>
          <w:pgNumType w:start="1"/>
        </w:sectPr>
      </w:pPr>
    </w:p>
    <w:p>
      <w:pPr>
        <w:pStyle w:val="BodyText"/>
        <w:spacing w:before="47"/>
        <w:ind w:left="753"/>
      </w:pPr>
      <w:r>
        <w:rPr/>
        <w:t>以內致成死亡者，本公司按本契約保險單上所記載之保險金額給付身故保險金。</w:t>
      </w:r>
    </w:p>
    <w:p>
      <w:pPr>
        <w:pStyle w:val="BodyText"/>
        <w:spacing w:line="244" w:lineRule="auto" w:before="3"/>
        <w:ind w:left="753" w:right="126"/>
        <w:jc w:val="both"/>
      </w:pPr>
      <w:r>
        <w:rPr>
          <w:w w:val="95"/>
        </w:rPr>
        <w:t>前項情形如被保險人自意外傷害事故發生之日起超過一百八十日身故，受益人若能證明被保險人之死亡</w:t>
      </w:r>
      <w:r>
        <w:rPr>
          <w:spacing w:val="212"/>
        </w:rPr>
        <w:t> </w:t>
      </w:r>
      <w:r>
        <w:rPr>
          <w:w w:val="95"/>
        </w:rPr>
        <w:t>與該意外傷害事故具有因果關係者，本公司仍依前項規定給付身故保險金，不受前項一百八十日之限</w:t>
      </w:r>
      <w:r>
        <w:rPr>
          <w:spacing w:val="145"/>
        </w:rPr>
        <w:t> </w:t>
      </w:r>
      <w:r>
        <w:rPr>
          <w:spacing w:val="146"/>
        </w:rPr>
        <w:t> </w:t>
      </w:r>
      <w:r>
        <w:rPr/>
        <w:t>制。</w:t>
      </w:r>
    </w:p>
    <w:p>
      <w:pPr>
        <w:pStyle w:val="BodyText"/>
        <w:spacing w:line="252" w:lineRule="exact"/>
        <w:ind w:left="753"/>
      </w:pPr>
      <w:r>
        <w:rPr/>
        <w:t>訂立本契約時，以受監護宣告尚未撤銷者為被保險人，其身故保險金均變更為喪葬費用保險金。</w:t>
      </w:r>
    </w:p>
    <w:p>
      <w:pPr>
        <w:pStyle w:val="BodyText"/>
        <w:spacing w:line="244" w:lineRule="auto" w:before="3"/>
        <w:ind w:left="753" w:right="137"/>
        <w:jc w:val="both"/>
      </w:pPr>
      <w:r>
        <w:rPr>
          <w:w w:val="95"/>
        </w:rPr>
        <w:t>前項被保險人於民國九十九年二月三日（含）以後所投保之喪葬費用保險金額總和（不限本公司），不</w:t>
      </w:r>
      <w:r>
        <w:rPr>
          <w:spacing w:val="201"/>
        </w:rPr>
        <w:t> </w:t>
      </w:r>
      <w:r>
        <w:rPr>
          <w:w w:val="95"/>
        </w:rPr>
        <w:t>得超過訂立本契約時遺產及贈與稅法第十七條有關遺產稅喪葬費用扣除額之半數，其超過部分本公司不</w:t>
      </w:r>
      <w:r>
        <w:rPr>
          <w:spacing w:val="191"/>
        </w:rPr>
        <w:t> </w:t>
      </w:r>
      <w:r>
        <w:rPr/>
        <w:t>負給付責任，本公司並應無息退還該超過部分之已繳保險費。</w:t>
      </w:r>
    </w:p>
    <w:p>
      <w:pPr>
        <w:pStyle w:val="BodyText"/>
        <w:spacing w:line="244" w:lineRule="auto"/>
        <w:ind w:left="753" w:right="131"/>
        <w:jc w:val="both"/>
      </w:pPr>
      <w:r>
        <w:rPr>
          <w:w w:val="95"/>
        </w:rPr>
        <w:t>前項情形，如要保人向二家（含）以上公司投保，或向同一保險人投保數個保險契約，且其投保之喪葬</w:t>
      </w:r>
      <w:r>
        <w:rPr>
          <w:spacing w:val="207"/>
        </w:rPr>
        <w:t> </w:t>
      </w:r>
      <w:r>
        <w:rPr>
          <w:w w:val="95"/>
        </w:rPr>
        <w:t>費用保險金額合計超過前項所定之限額者，本公司於所承保之喪葬費用金額範圍內，依各要保書所載之</w:t>
      </w:r>
      <w:r>
        <w:rPr>
          <w:spacing w:val="207"/>
        </w:rPr>
        <w:t> </w:t>
      </w:r>
      <w:r>
        <w:rPr>
          <w:w w:val="95"/>
        </w:rPr>
        <w:t>要保時間先後，依約給付喪葬費用保險金至前項喪葬費用額度上限為止，如有二家以上公司之保險契約</w:t>
      </w:r>
      <w:r>
        <w:rPr>
          <w:spacing w:val="207"/>
        </w:rPr>
        <w:t> </w:t>
      </w:r>
      <w:r>
        <w:rPr>
          <w:w w:val="95"/>
        </w:rPr>
        <w:t>要保時間相同或無法區分其要保時間之先後者，各該公司應依其喪葬費用保險金額與扣除要保時間在先</w:t>
      </w:r>
      <w:r>
        <w:rPr>
          <w:spacing w:val="197"/>
        </w:rPr>
        <w:t> </w:t>
      </w:r>
      <w:r>
        <w:rPr/>
        <w:t>之公司應理賠之金額後所餘之限額比例分擔其責任。</w:t>
      </w:r>
    </w:p>
    <w:p>
      <w:pPr>
        <w:pStyle w:val="BodyText"/>
        <w:spacing w:before="4"/>
        <w:rPr>
          <w:sz w:val="14"/>
        </w:rPr>
      </w:pPr>
    </w:p>
    <w:p>
      <w:pPr>
        <w:pStyle w:val="Heading1"/>
        <w:tabs>
          <w:tab w:pos="954" w:val="left" w:leader="none"/>
        </w:tabs>
        <w:spacing w:line="348" w:lineRule="exact"/>
      </w:pPr>
      <w:r>
        <w:rPr/>
        <w:drawing>
          <wp:anchor distT="0" distB="0" distL="0" distR="0" allowOverlap="1" layoutInCell="1" locked="0" behindDoc="1" simplePos="0" relativeHeight="486294528">
            <wp:simplePos x="0" y="0"/>
            <wp:positionH relativeFrom="page">
              <wp:posOffset>2872165</wp:posOffset>
            </wp:positionH>
            <wp:positionV relativeFrom="paragraph">
              <wp:posOffset>-25187</wp:posOffset>
            </wp:positionV>
            <wp:extent cx="1838868" cy="443344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8868" cy="4433441"/>
                    </a:xfrm>
                    <a:prstGeom prst="rect">
                      <a:avLst/>
                    </a:prstGeom>
                  </pic:spPr>
                </pic:pic>
              </a:graphicData>
            </a:graphic>
          </wp:anchor>
        </w:drawing>
      </w:r>
      <w:r>
        <w:rPr/>
        <w:t>第六條</w:t>
        <w:tab/>
        <w:t>失能保險金的給付</w:t>
      </w:r>
    </w:p>
    <w:p>
      <w:pPr>
        <w:pStyle w:val="BodyText"/>
        <w:spacing w:line="236" w:lineRule="exact"/>
        <w:ind w:left="753"/>
      </w:pPr>
      <w:r>
        <w:rPr>
          <w:w w:val="95"/>
        </w:rPr>
        <w:t>被保險人於本契約有效期間內遭受第四條約定的意外傷害事故，自意外傷害事故發生之日起一百八十日</w:t>
      </w:r>
    </w:p>
    <w:p>
      <w:pPr>
        <w:pStyle w:val="BodyText"/>
        <w:spacing w:line="242" w:lineRule="auto" w:before="3"/>
        <w:ind w:left="753" w:right="132"/>
      </w:pPr>
      <w:r>
        <w:rPr>
          <w:w w:val="95"/>
        </w:rPr>
        <w:t>以內致成附表所列失能程度之一者，本公司按本契約保險單上所記載之保險金額為準，依附表所列比例</w:t>
      </w:r>
      <w:r>
        <w:rPr>
          <w:spacing w:val="196"/>
        </w:rPr>
        <w:t> </w:t>
      </w:r>
      <w:r>
        <w:rPr/>
        <w:t>計算給付失能保險金。</w:t>
      </w:r>
    </w:p>
    <w:p>
      <w:pPr>
        <w:pStyle w:val="BodyText"/>
        <w:spacing w:line="242" w:lineRule="auto" w:before="3"/>
        <w:ind w:left="753" w:right="129"/>
        <w:jc w:val="both"/>
      </w:pPr>
      <w:r>
        <w:rPr>
          <w:w w:val="95"/>
        </w:rPr>
        <w:t>前項情形如被保險人自意外傷害事故發生之日起超過一百八十日致成附表所列失能程度之一者，受益人</w:t>
      </w:r>
      <w:r>
        <w:rPr>
          <w:spacing w:val="209"/>
        </w:rPr>
        <w:t> </w:t>
      </w:r>
      <w:r>
        <w:rPr>
          <w:w w:val="95"/>
        </w:rPr>
        <w:t>若能證明被保險人之失能與該意外傷害事故具有因果關係者，本公司仍依前項規定給付失能保險金，不</w:t>
      </w:r>
      <w:r>
        <w:rPr>
          <w:spacing w:val="199"/>
        </w:rPr>
        <w:t> </w:t>
      </w:r>
      <w:r>
        <w:rPr/>
        <w:t>受前項一百八十日之限制。</w:t>
      </w:r>
    </w:p>
    <w:p>
      <w:pPr>
        <w:pStyle w:val="BodyText"/>
        <w:spacing w:line="242" w:lineRule="auto" w:before="3"/>
        <w:ind w:left="753" w:right="129"/>
        <w:jc w:val="both"/>
      </w:pPr>
      <w:r>
        <w:rPr>
          <w:w w:val="95"/>
        </w:rPr>
        <w:t>被保險人因同一意外傷害事故致成附表所列二項以上失能程度時，本公司給付各該項失能保險金之和，</w:t>
      </w:r>
      <w:r>
        <w:rPr>
          <w:spacing w:val="209"/>
        </w:rPr>
        <w:t> </w:t>
      </w:r>
      <w:r>
        <w:rPr>
          <w:w w:val="95"/>
        </w:rPr>
        <w:t>最高以保險金額為限。但不同失能項目屬於同一手或同一足時，僅給付一項失能保險金；若失能項目所</w:t>
      </w:r>
      <w:r>
        <w:rPr>
          <w:spacing w:val="199"/>
        </w:rPr>
        <w:t> </w:t>
      </w:r>
      <w:r>
        <w:rPr/>
        <w:t>屬失能等級不同時，給付較嚴重項目的失能保險金。</w:t>
      </w:r>
    </w:p>
    <w:p>
      <w:pPr>
        <w:pStyle w:val="BodyText"/>
        <w:spacing w:line="242" w:lineRule="auto" w:before="4"/>
        <w:ind w:left="753" w:right="128"/>
        <w:jc w:val="both"/>
      </w:pPr>
      <w:r>
        <w:rPr>
          <w:w w:val="95"/>
        </w:rPr>
        <w:t>被保險人因本次意外傷害事故所致之失能，如合併以前（含本契約訂立前）的失能，可領附表所列較嚴</w:t>
      </w:r>
      <w:r>
        <w:rPr>
          <w:spacing w:val="210"/>
        </w:rPr>
        <w:t> </w:t>
      </w:r>
      <w:r>
        <w:rPr>
          <w:w w:val="95"/>
        </w:rPr>
        <w:t>重項目的失能保險金者，本公司按較嚴重的項目給付失能保險金，但以前的失能，視同已給付失能保險</w:t>
      </w:r>
      <w:r>
        <w:rPr>
          <w:spacing w:val="200"/>
        </w:rPr>
        <w:t> </w:t>
      </w:r>
      <w:r>
        <w:rPr/>
        <w:t>金，應扣除之。</w:t>
      </w:r>
    </w:p>
    <w:p>
      <w:pPr>
        <w:pStyle w:val="BodyText"/>
        <w:spacing w:line="242" w:lineRule="auto" w:before="4"/>
        <w:ind w:left="753" w:right="131"/>
        <w:jc w:val="both"/>
      </w:pPr>
      <w:r>
        <w:rPr>
          <w:w w:val="95"/>
        </w:rPr>
        <w:t>前項情形，若被保險人扣除以前的失能後得領取之保險金低於單獨請領之金額者，不適用合併之約定。</w:t>
      </w:r>
      <w:r>
        <w:rPr>
          <w:spacing w:val="207"/>
        </w:rPr>
        <w:t> </w:t>
      </w:r>
      <w:r>
        <w:rPr>
          <w:w w:val="95"/>
        </w:rPr>
        <w:t>被保險人於本契約有效期間內因不同意外傷害事故申領失能保險金時，本公司累計給付金額最高以保險</w:t>
      </w:r>
      <w:r>
        <w:rPr>
          <w:spacing w:val="197"/>
        </w:rPr>
        <w:t> </w:t>
      </w:r>
      <w:r>
        <w:rPr/>
        <w:t>金額為限。</w:t>
      </w:r>
    </w:p>
    <w:p>
      <w:pPr>
        <w:pStyle w:val="BodyText"/>
        <w:spacing w:before="4"/>
        <w:rPr>
          <w:sz w:val="15"/>
        </w:rPr>
      </w:pPr>
    </w:p>
    <w:p>
      <w:pPr>
        <w:pStyle w:val="Heading1"/>
        <w:tabs>
          <w:tab w:pos="954" w:val="left" w:leader="none"/>
        </w:tabs>
        <w:spacing w:before="1"/>
      </w:pPr>
      <w:r>
        <w:rPr/>
        <w:t>第七條</w:t>
        <w:tab/>
        <w:t>微型傷害保險累計投保金額限制</w:t>
      </w:r>
    </w:p>
    <w:p>
      <w:pPr>
        <w:pStyle w:val="BodyText"/>
        <w:spacing w:line="235" w:lineRule="exact"/>
        <w:ind w:left="753"/>
      </w:pPr>
      <w:r>
        <w:rPr/>
        <w:t>被保險人累計投保微型傷害保險之保險金額(不限本公司)不得超過新台幣五十萬元。</w:t>
      </w:r>
    </w:p>
    <w:p>
      <w:pPr>
        <w:pStyle w:val="BodyText"/>
        <w:spacing w:line="242" w:lineRule="auto" w:before="5"/>
        <w:ind w:left="753" w:right="137"/>
      </w:pPr>
      <w:r>
        <w:rPr>
          <w:w w:val="95"/>
        </w:rPr>
        <w:t>惟若被保險人向本公司或二家以上公司投保，致保險金額超過前項限額者，本公司仍依第五條及第六條</w:t>
      </w:r>
      <w:r>
        <w:rPr>
          <w:spacing w:val="191"/>
        </w:rPr>
        <w:t> </w:t>
      </w:r>
      <w:r>
        <w:rPr/>
        <w:t>之規定給付保險金。</w:t>
      </w:r>
    </w:p>
    <w:p>
      <w:pPr>
        <w:pStyle w:val="BodyText"/>
        <w:spacing w:before="4"/>
        <w:rPr>
          <w:sz w:val="15"/>
        </w:rPr>
      </w:pPr>
    </w:p>
    <w:p>
      <w:pPr>
        <w:pStyle w:val="Heading1"/>
        <w:tabs>
          <w:tab w:pos="954" w:val="left" w:leader="none"/>
        </w:tabs>
      </w:pPr>
      <w:r>
        <w:rPr/>
        <w:t>第八條</w:t>
        <w:tab/>
        <w:t>保險給付的限制</w:t>
      </w:r>
    </w:p>
    <w:p>
      <w:pPr>
        <w:pStyle w:val="BodyText"/>
        <w:spacing w:line="235" w:lineRule="exact"/>
        <w:ind w:left="753"/>
      </w:pPr>
      <w:r>
        <w:rPr>
          <w:w w:val="95"/>
        </w:rPr>
        <w:t>被保險人於本契約有效期間內因同一意外傷害事故致成失能後身故，並符合本契約第五條及第六條約定</w:t>
      </w:r>
    </w:p>
    <w:p>
      <w:pPr>
        <w:pStyle w:val="BodyText"/>
        <w:spacing w:before="3"/>
        <w:ind w:left="753"/>
      </w:pPr>
      <w:r>
        <w:rPr/>
        <w:t>之申領條件時，本公司之給付總金額合計最高以保險金額為限。</w:t>
      </w:r>
    </w:p>
    <w:p>
      <w:pPr>
        <w:pStyle w:val="BodyText"/>
        <w:spacing w:before="5"/>
        <w:ind w:left="753"/>
      </w:pPr>
      <w:r>
        <w:rPr/>
        <w:t>前項情形，受益人已受領失能保險金者，本公司僅就保險金額與已受領金額間之差額負給付責任。</w:t>
      </w:r>
    </w:p>
    <w:p>
      <w:pPr>
        <w:pStyle w:val="BodyText"/>
        <w:spacing w:line="242" w:lineRule="auto" w:before="3"/>
        <w:ind w:left="753" w:right="129"/>
      </w:pPr>
      <w:r>
        <w:rPr>
          <w:w w:val="95"/>
        </w:rPr>
        <w:t>被保險人於本契約有效期間內因不同意外傷害事故致成失能、身故時，受益人得依第五條及第六條之約</w:t>
      </w:r>
      <w:r>
        <w:rPr>
          <w:spacing w:val="199"/>
        </w:rPr>
        <w:t> </w:t>
      </w:r>
      <w:r>
        <w:rPr/>
        <w:t>定分別申領保險金，不適用第一項之約定。</w:t>
      </w:r>
    </w:p>
    <w:p>
      <w:pPr>
        <w:pStyle w:val="BodyText"/>
        <w:spacing w:before="5"/>
        <w:rPr>
          <w:sz w:val="15"/>
        </w:rPr>
      </w:pPr>
    </w:p>
    <w:p>
      <w:pPr>
        <w:pStyle w:val="Heading1"/>
        <w:tabs>
          <w:tab w:pos="954" w:val="left" w:leader="none"/>
        </w:tabs>
      </w:pPr>
      <w:r>
        <w:rPr/>
        <w:t>第九條</w:t>
        <w:tab/>
        <w:t>第二期以後保險費的交付、寬限期間及契約效力的停止</w:t>
      </w:r>
    </w:p>
    <w:p>
      <w:pPr>
        <w:pStyle w:val="BodyText"/>
        <w:spacing w:line="235" w:lineRule="exact"/>
        <w:ind w:left="753"/>
      </w:pPr>
      <w:r>
        <w:rPr>
          <w:w w:val="95"/>
        </w:rPr>
        <w:t>分期繳納的第二期以後保險費，應照本契約所載交付方法及日期，向本公司所在地或指定地點交付，或</w:t>
      </w:r>
    </w:p>
    <w:p>
      <w:pPr>
        <w:pStyle w:val="BodyText"/>
        <w:spacing w:line="242" w:lineRule="auto" w:before="5"/>
        <w:ind w:left="753" w:right="131"/>
        <w:jc w:val="both"/>
      </w:pPr>
      <w:r>
        <w:rPr>
          <w:w w:val="95"/>
        </w:rPr>
        <w:t>由本公司派員前往收取，並交付本公司開發之憑證。第二期以後分期保險費到期未交付時，半年繳者，</w:t>
      </w:r>
      <w:r>
        <w:rPr>
          <w:spacing w:val="207"/>
        </w:rPr>
        <w:t> </w:t>
      </w:r>
      <w:r>
        <w:rPr>
          <w:w w:val="95"/>
        </w:rPr>
        <w:t>自催告到達翌日起三十日內為寬限期間；月繳或季繳者，則不另為催告，自保險單所載交付日期之翌日</w:t>
      </w:r>
      <w:r>
        <w:rPr>
          <w:spacing w:val="197"/>
        </w:rPr>
        <w:t> </w:t>
      </w:r>
      <w:r>
        <w:rPr/>
        <w:t>起三十日為寬限期間。</w:t>
      </w:r>
    </w:p>
    <w:p>
      <w:pPr>
        <w:pStyle w:val="BodyText"/>
        <w:spacing w:line="242" w:lineRule="auto" w:before="4"/>
        <w:ind w:left="753" w:right="137"/>
      </w:pPr>
      <w:r>
        <w:rPr>
          <w:w w:val="95"/>
        </w:rPr>
        <w:t>約定以金融機構轉帳或其他方式交付第二期以後的分期保險費者，本公司於知悉未能依此項約定受領保</w:t>
      </w:r>
      <w:r>
        <w:rPr>
          <w:spacing w:val="191"/>
        </w:rPr>
        <w:t> </w:t>
      </w:r>
      <w:r>
        <w:rPr/>
        <w:t>險費時，應催告要保人交付保險費，自催告到達翌日起三十日內為寬限期間。</w:t>
      </w:r>
    </w:p>
    <w:p>
      <w:pPr>
        <w:pStyle w:val="BodyText"/>
        <w:spacing w:line="244" w:lineRule="auto" w:before="1"/>
        <w:ind w:left="753" w:right="13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54" w:lineRule="exact"/>
        <w:ind w:left="753"/>
      </w:pPr>
      <w:r>
        <w:rPr>
          <w:w w:val="95"/>
        </w:rPr>
        <w:t>逾寬限期間仍未交付者，本契約自寬限期間終了翌日起停止效力。如在寬限期間內發生保險事故時，本</w:t>
      </w:r>
    </w:p>
    <w:p>
      <w:pPr>
        <w:spacing w:after="0" w:line="254" w:lineRule="exact"/>
        <w:sectPr>
          <w:pgSz w:w="11910" w:h="16850"/>
          <w:pgMar w:header="0" w:footer="775" w:top="1360" w:bottom="1040" w:left="980" w:right="1000"/>
        </w:sectPr>
      </w:pPr>
    </w:p>
    <w:p>
      <w:pPr>
        <w:pStyle w:val="BodyText"/>
        <w:spacing w:before="47"/>
        <w:ind w:left="753"/>
      </w:pPr>
      <w:r>
        <w:rPr/>
        <w:t>公司仍負保險責任。但應由給付保險金內扣除本契約該被保險人欠繳保險費。</w:t>
      </w:r>
    </w:p>
    <w:p>
      <w:pPr>
        <w:pStyle w:val="BodyText"/>
        <w:spacing w:before="4"/>
        <w:rPr>
          <w:sz w:val="15"/>
        </w:rPr>
      </w:pPr>
    </w:p>
    <w:p>
      <w:pPr>
        <w:pStyle w:val="Heading1"/>
        <w:tabs>
          <w:tab w:pos="957" w:val="left" w:leader="none"/>
        </w:tabs>
        <w:spacing w:line="348" w:lineRule="exact"/>
        <w:ind w:left="155"/>
      </w:pPr>
      <w:r>
        <w:rPr/>
        <w:t>第十條</w:t>
        <w:tab/>
        <w:t>告知義務與本契約的解除</w:t>
      </w:r>
    </w:p>
    <w:p>
      <w:pPr>
        <w:pStyle w:val="BodyText"/>
        <w:spacing w:line="236" w:lineRule="exact"/>
        <w:ind w:left="753"/>
      </w:pPr>
      <w:r>
        <w:rPr>
          <w:w w:val="95"/>
        </w:rPr>
        <w:t>要保人在訂立本契約時，對於本公司要保書書面詢問的告知事項應據實說明，如為隱匿或遺漏不為說</w:t>
      </w:r>
    </w:p>
    <w:p>
      <w:pPr>
        <w:pStyle w:val="BodyText"/>
        <w:spacing w:line="242" w:lineRule="auto" w:before="3"/>
        <w:ind w:left="753" w:right="136"/>
      </w:pPr>
      <w:r>
        <w:rPr>
          <w:w w:val="95"/>
        </w:rPr>
        <w:t>明，或為不實的說明，足以變更或減少本公司對於危險的估計者，本公司得解除契約，其保險事故發生</w:t>
      </w:r>
      <w:r>
        <w:rPr>
          <w:spacing w:val="192"/>
        </w:rPr>
        <w:t> </w:t>
      </w:r>
      <w:r>
        <w:rPr/>
        <w:t>後亦同。但危險的發生未基於其說明或未說明的事實時，不在此限。</w:t>
      </w:r>
    </w:p>
    <w:p>
      <w:pPr>
        <w:pStyle w:val="BodyText"/>
        <w:spacing w:before="3"/>
        <w:ind w:left="753"/>
      </w:pPr>
      <w:r>
        <w:rPr/>
        <w:t>前項解除權，自本公司知有解除之原因後，經過一個月不行使而消滅。</w:t>
      </w:r>
    </w:p>
    <w:p>
      <w:pPr>
        <w:pStyle w:val="BodyText"/>
        <w:spacing w:before="4"/>
        <w:rPr>
          <w:sz w:val="15"/>
        </w:rPr>
      </w:pPr>
    </w:p>
    <w:p>
      <w:pPr>
        <w:pStyle w:val="Heading1"/>
        <w:tabs>
          <w:tab w:pos="1156" w:val="left" w:leader="none"/>
        </w:tabs>
        <w:spacing w:line="348" w:lineRule="exact"/>
      </w:pPr>
      <w:r>
        <w:rPr/>
        <w:t>第十一條</w:t>
        <w:tab/>
        <w:t>契約的終止</w:t>
      </w:r>
    </w:p>
    <w:p>
      <w:pPr>
        <w:pStyle w:val="BodyText"/>
        <w:spacing w:line="236" w:lineRule="exact"/>
        <w:ind w:left="952"/>
      </w:pPr>
      <w:r>
        <w:rPr/>
        <w:t>要保人得隨時終止本契約。</w:t>
      </w:r>
    </w:p>
    <w:p>
      <w:pPr>
        <w:pStyle w:val="BodyText"/>
        <w:spacing w:before="3"/>
        <w:ind w:left="952"/>
      </w:pPr>
      <w:r>
        <w:rPr/>
        <w:t>前項契約之終止，自本公司收到要保人書面或其他約定方式通知時，開始生效。</w:t>
      </w:r>
    </w:p>
    <w:p>
      <w:pPr>
        <w:pStyle w:val="BodyText"/>
        <w:spacing w:line="244" w:lineRule="auto" w:before="3"/>
        <w:ind w:left="952" w:right="132"/>
      </w:pPr>
      <w:r>
        <w:rPr>
          <w:w w:val="95"/>
        </w:rPr>
        <w:t>本契約因要保人終止，或因意外身故以外原因終止後，本公司應從當期已繳保險費扣除按短期費率計</w:t>
      </w:r>
      <w:r>
        <w:rPr>
          <w:spacing w:val="187"/>
        </w:rPr>
        <w:t> </w:t>
      </w:r>
      <w:r>
        <w:rPr/>
        <w:t>算已經過期間之保險費後，將其未滿期保險費退還要保人。短期費率如附件。</w:t>
      </w:r>
    </w:p>
    <w:p>
      <w:pPr>
        <w:pStyle w:val="BodyText"/>
        <w:spacing w:before="12"/>
        <w:rPr>
          <w:sz w:val="14"/>
        </w:rPr>
      </w:pPr>
    </w:p>
    <w:p>
      <w:pPr>
        <w:pStyle w:val="Heading1"/>
        <w:tabs>
          <w:tab w:pos="1156" w:val="left" w:leader="none"/>
        </w:tabs>
        <w:spacing w:line="348" w:lineRule="exact"/>
      </w:pPr>
      <w:r>
        <w:rPr/>
        <w:drawing>
          <wp:anchor distT="0" distB="0" distL="0" distR="0" allowOverlap="1" layoutInCell="1" locked="0" behindDoc="1" simplePos="0" relativeHeight="486295040">
            <wp:simplePos x="0" y="0"/>
            <wp:positionH relativeFrom="page">
              <wp:posOffset>2872165</wp:posOffset>
            </wp:positionH>
            <wp:positionV relativeFrom="paragraph">
              <wp:posOffset>-25187</wp:posOffset>
            </wp:positionV>
            <wp:extent cx="1838868" cy="443344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8868" cy="4433441"/>
                    </a:xfrm>
                    <a:prstGeom prst="rect">
                      <a:avLst/>
                    </a:prstGeom>
                  </pic:spPr>
                </pic:pic>
              </a:graphicData>
            </a:graphic>
          </wp:anchor>
        </w:drawing>
      </w:r>
      <w:r>
        <w:rPr/>
        <w:t>第十二條</w:t>
        <w:tab/>
        <w:t>保險事故的通知與保險金的申請時間</w:t>
      </w:r>
    </w:p>
    <w:p>
      <w:pPr>
        <w:pStyle w:val="BodyText"/>
        <w:spacing w:line="236" w:lineRule="exact"/>
        <w:ind w:left="952"/>
      </w:pPr>
      <w:r>
        <w:rPr>
          <w:w w:val="95"/>
        </w:rPr>
        <w:t>被保險人於本契約有效期間內遭受第四條約定的意外傷害事故時，被保險人或受益人應於知悉意外傷</w:t>
      </w:r>
    </w:p>
    <w:p>
      <w:pPr>
        <w:pStyle w:val="BodyText"/>
        <w:spacing w:line="242" w:lineRule="auto" w:before="3"/>
        <w:ind w:left="952" w:right="135"/>
      </w:pPr>
      <w:r>
        <w:rPr>
          <w:w w:val="95"/>
        </w:rPr>
        <w:t>害事故發生後十日內將事故狀況及被保險人的傷害程度，通知本公司。並於通知後儘速檢具所需文件</w:t>
      </w:r>
      <w:r>
        <w:rPr>
          <w:spacing w:val="184"/>
        </w:rPr>
        <w:t> </w:t>
      </w:r>
      <w:r>
        <w:rPr/>
        <w:t>向本公司申請給付保險金。</w:t>
      </w:r>
    </w:p>
    <w:p>
      <w:pPr>
        <w:pStyle w:val="BodyText"/>
        <w:spacing w:line="242" w:lineRule="auto" w:before="3"/>
        <w:ind w:left="952" w:right="129"/>
      </w:pPr>
      <w:r>
        <w:rPr>
          <w:w w:val="95"/>
        </w:rPr>
        <w:t>本公司應於收齊前項文件後十五日內給付之。但因可歸責於本公司之事由致未在前述約定期限內為給</w:t>
      </w:r>
      <w:r>
        <w:rPr>
          <w:spacing w:val="190"/>
        </w:rPr>
        <w:t> </w:t>
      </w:r>
      <w:r>
        <w:rPr/>
        <w:t>付者，應按年利一分加計利息給付。</w:t>
      </w:r>
    </w:p>
    <w:p>
      <w:pPr>
        <w:pStyle w:val="BodyText"/>
        <w:spacing w:before="4"/>
        <w:rPr>
          <w:sz w:val="15"/>
        </w:rPr>
      </w:pPr>
    </w:p>
    <w:p>
      <w:pPr>
        <w:pStyle w:val="Heading1"/>
        <w:tabs>
          <w:tab w:pos="1156" w:val="left" w:leader="none"/>
        </w:tabs>
      </w:pPr>
      <w:r>
        <w:rPr/>
        <w:t>第十三條</w:t>
        <w:tab/>
        <w:t>失蹤處理</w:t>
      </w:r>
    </w:p>
    <w:p>
      <w:pPr>
        <w:pStyle w:val="BodyText"/>
        <w:spacing w:line="235" w:lineRule="exact"/>
        <w:ind w:left="952"/>
      </w:pPr>
      <w:r>
        <w:rPr>
          <w:w w:val="95"/>
        </w:rPr>
        <w:t>被保險人在本契約有效期間內因第四條所約定的意外傷害事故失蹤，於戶籍資料所載失蹤之日起滿一</w:t>
      </w:r>
    </w:p>
    <w:p>
      <w:pPr>
        <w:pStyle w:val="BodyText"/>
        <w:spacing w:line="242" w:lineRule="auto" w:before="3"/>
        <w:ind w:left="952" w:right="131"/>
        <w:jc w:val="both"/>
      </w:pPr>
      <w:r>
        <w:rPr>
          <w:w w:val="95"/>
        </w:rPr>
        <w:t>年仍未尋獲，或受益人能提出證明文件足以認為被保險人極可能因本契約所約定之意外傷害事故而死</w:t>
      </w:r>
      <w:r>
        <w:rPr>
          <w:spacing w:val="198"/>
        </w:rPr>
        <w:t> </w:t>
      </w:r>
      <w:r>
        <w:rPr>
          <w:w w:val="95"/>
        </w:rPr>
        <w:t>亡者，本公司按第五條約定先行給付身故或喪葬費用保險金，但日後發現被保險人生還時，受益人應</w:t>
      </w:r>
      <w:r>
        <w:rPr>
          <w:spacing w:val="198"/>
        </w:rPr>
        <w:t> </w:t>
      </w:r>
      <w:r>
        <w:rPr>
          <w:w w:val="95"/>
        </w:rPr>
        <w:t>將該筆已領之身故或喪葬費用保險金歸還本公司，其間有應繳而未繳之保險費者，於要保人一次清償</w:t>
      </w:r>
      <w:r>
        <w:rPr>
          <w:spacing w:val="188"/>
        </w:rPr>
        <w:t> </w:t>
      </w:r>
      <w:r>
        <w:rPr/>
        <w:t>後，本契約效力自原終止日繼續有效，本公司如有應行給付其他保險金情事者，仍依約給付。</w:t>
      </w:r>
    </w:p>
    <w:p>
      <w:pPr>
        <w:pStyle w:val="BodyText"/>
        <w:spacing w:before="7"/>
        <w:rPr>
          <w:sz w:val="15"/>
        </w:rPr>
      </w:pPr>
    </w:p>
    <w:p>
      <w:pPr>
        <w:pStyle w:val="Heading1"/>
        <w:tabs>
          <w:tab w:pos="1156" w:val="left" w:leader="none"/>
        </w:tabs>
        <w:spacing w:line="347" w:lineRule="exact" w:before="1"/>
      </w:pPr>
      <w:r>
        <w:rPr/>
        <w:t>第十四條</w:t>
        <w:tab/>
        <w:t>身故或喪葬費用保險金的申領</w:t>
      </w:r>
    </w:p>
    <w:p>
      <w:pPr>
        <w:pStyle w:val="BodyText"/>
        <w:spacing w:line="235" w:lineRule="exact"/>
        <w:ind w:left="952"/>
      </w:pPr>
      <w:r>
        <w:rPr/>
        <w:t>受益人申領身故或喪葬費用保險金時，應檢具下列文件：</w:t>
      </w:r>
    </w:p>
    <w:p>
      <w:pPr>
        <w:pStyle w:val="BodyText"/>
        <w:spacing w:before="5"/>
        <w:ind w:left="952"/>
      </w:pPr>
      <w:r>
        <w:rPr/>
        <w:t>一、保險金申請書。</w:t>
      </w:r>
    </w:p>
    <w:p>
      <w:pPr>
        <w:pStyle w:val="BodyText"/>
        <w:spacing w:line="242" w:lineRule="auto" w:before="3"/>
        <w:ind w:left="952" w:right="1174"/>
      </w:pPr>
      <w:r>
        <w:rPr>
          <w:w w:val="95"/>
        </w:rPr>
        <w:t>二、相驗屍體證明書或死亡診斷書；但必要時本公司得要求提供意外傷害事故證明文件。</w:t>
      </w:r>
      <w:r>
        <w:rPr>
          <w:spacing w:val="95"/>
        </w:rPr>
        <w:t> </w:t>
      </w:r>
      <w:r>
        <w:rPr/>
        <w:t>三、被保險人除戶戶籍謄本。</w:t>
      </w:r>
    </w:p>
    <w:p>
      <w:pPr>
        <w:pStyle w:val="BodyText"/>
        <w:spacing w:before="3"/>
        <w:ind w:left="952"/>
      </w:pPr>
      <w:r>
        <w:rPr/>
        <w:t>四、受益人的身分證明。</w:t>
      </w:r>
    </w:p>
    <w:p>
      <w:pPr>
        <w:pStyle w:val="BodyText"/>
        <w:spacing w:before="4"/>
        <w:rPr>
          <w:sz w:val="15"/>
        </w:rPr>
      </w:pPr>
    </w:p>
    <w:p>
      <w:pPr>
        <w:pStyle w:val="Heading1"/>
        <w:tabs>
          <w:tab w:pos="1156" w:val="left" w:leader="none"/>
        </w:tabs>
        <w:spacing w:line="348" w:lineRule="exact"/>
      </w:pPr>
      <w:r>
        <w:rPr/>
        <w:t>第十五條</w:t>
        <w:tab/>
        <w:t>失能保險金的申領</w:t>
      </w:r>
    </w:p>
    <w:p>
      <w:pPr>
        <w:pStyle w:val="BodyText"/>
        <w:spacing w:line="236" w:lineRule="exact"/>
        <w:ind w:left="952"/>
      </w:pPr>
      <w:r>
        <w:rPr/>
        <w:t>受益人申領「失能保險金」時應檢具下列文件：</w:t>
      </w:r>
    </w:p>
    <w:p>
      <w:pPr>
        <w:pStyle w:val="BodyText"/>
        <w:spacing w:before="3"/>
        <w:ind w:left="952"/>
      </w:pPr>
      <w:r>
        <w:rPr/>
        <w:t>一、保險金申請書。</w:t>
      </w:r>
    </w:p>
    <w:p>
      <w:pPr>
        <w:pStyle w:val="BodyText"/>
        <w:spacing w:line="244" w:lineRule="auto" w:before="3"/>
        <w:ind w:left="952" w:right="2774"/>
      </w:pPr>
      <w:r>
        <w:rPr>
          <w:w w:val="95"/>
        </w:rPr>
        <w:t>二、失能診斷書；但必要時本公司得要求提供意外傷害事故證明文件。</w:t>
      </w:r>
      <w:r>
        <w:rPr>
          <w:spacing w:val="20"/>
          <w:w w:val="95"/>
        </w:rPr>
        <w:t> </w:t>
      </w:r>
      <w:r>
        <w:rPr/>
        <w:t>三、受益人之身分證明。</w:t>
      </w:r>
    </w:p>
    <w:p>
      <w:pPr>
        <w:pStyle w:val="BodyText"/>
        <w:spacing w:line="244" w:lineRule="auto"/>
        <w:ind w:left="952" w:right="129"/>
        <w:jc w:val="both"/>
      </w:pPr>
      <w:r>
        <w:rPr>
          <w:w w:val="95"/>
        </w:rPr>
        <w:t>受益人申領失能保險金時，本公司基於審核保險金之需要，得對被保險人的身體予以檢驗，另得徵詢</w:t>
      </w:r>
      <w:r>
        <w:rPr>
          <w:spacing w:val="200"/>
        </w:rPr>
        <w:t> </w:t>
      </w:r>
      <w:r>
        <w:rPr>
          <w:w w:val="95"/>
        </w:rPr>
        <w:t>其他醫師之醫學專業意見，並得經受益人同意調閱被保險人之就醫相關資料。因此所生之費用由本公</w:t>
      </w:r>
      <w:r>
        <w:rPr>
          <w:spacing w:val="190"/>
        </w:rPr>
        <w:t> </w:t>
      </w:r>
      <w:r>
        <w:rPr/>
        <w:t>司負擔。</w:t>
      </w:r>
    </w:p>
    <w:p>
      <w:pPr>
        <w:pStyle w:val="BodyText"/>
        <w:spacing w:before="8"/>
        <w:rPr>
          <w:sz w:val="14"/>
        </w:rPr>
      </w:pPr>
    </w:p>
    <w:p>
      <w:pPr>
        <w:pStyle w:val="Heading1"/>
        <w:tabs>
          <w:tab w:pos="1156" w:val="left" w:leader="none"/>
        </w:tabs>
        <w:spacing w:line="348" w:lineRule="exact"/>
      </w:pPr>
      <w:r>
        <w:rPr/>
        <w:t>第十六條</w:t>
        <w:tab/>
        <w:t>除外責任（原因）</w:t>
      </w:r>
    </w:p>
    <w:p>
      <w:pPr>
        <w:pStyle w:val="BodyText"/>
        <w:spacing w:line="236" w:lineRule="exact"/>
        <w:ind w:left="952"/>
      </w:pPr>
      <w:r>
        <w:rPr/>
        <w:t>被保險人因下列原因致成死亡、失能時，本公司不負給付保險金的責任。</w:t>
      </w:r>
    </w:p>
    <w:p>
      <w:pPr>
        <w:pStyle w:val="BodyText"/>
        <w:spacing w:line="242" w:lineRule="auto" w:before="3"/>
        <w:ind w:left="952" w:right="6572"/>
      </w:pPr>
      <w:r>
        <w:rPr>
          <w:spacing w:val="-1"/>
        </w:rPr>
        <w:t>一、被保險人的故意行為。</w:t>
      </w:r>
      <w:r>
        <w:rPr/>
        <w:t>二、被保險人犯罪行為。</w:t>
      </w:r>
    </w:p>
    <w:p>
      <w:pPr>
        <w:pStyle w:val="BodyText"/>
        <w:spacing w:line="242" w:lineRule="auto" w:before="3"/>
        <w:ind w:left="952" w:right="774"/>
      </w:pPr>
      <w:r>
        <w:rPr>
          <w:w w:val="95"/>
        </w:rPr>
        <w:t>三、被保險人飲酒後駕（騎）車，其吐氣或血液所含酒精成份超過道路交通法令規定標準者。</w:t>
      </w:r>
      <w:r>
        <w:rPr>
          <w:spacing w:val="115"/>
        </w:rPr>
        <w:t> </w:t>
      </w:r>
      <w:r>
        <w:rPr/>
        <w:t>四、戰爭（不論宣戰與否）、內亂及其他類似的武裝變亂。但契約另有約定者不在此限。</w:t>
      </w:r>
    </w:p>
    <w:p>
      <w:pPr>
        <w:pStyle w:val="BodyText"/>
        <w:spacing w:before="1"/>
        <w:ind w:left="952"/>
      </w:pPr>
      <w:r>
        <w:rPr/>
        <w:t>五、因原子或核子能裝置所引起的爆炸、灼熱、輻射或污染。但契約另有約定者不在此限。</w:t>
      </w:r>
    </w:p>
    <w:p>
      <w:pPr>
        <w:spacing w:after="0"/>
        <w:sectPr>
          <w:pgSz w:w="11910" w:h="16850"/>
          <w:pgMar w:header="0" w:footer="775" w:top="1360" w:bottom="1040" w:left="980" w:right="1000"/>
        </w:sectPr>
      </w:pPr>
    </w:p>
    <w:p>
      <w:pPr>
        <w:pStyle w:val="Heading1"/>
        <w:tabs>
          <w:tab w:pos="1156" w:val="left" w:leader="none"/>
        </w:tabs>
        <w:spacing w:line="328" w:lineRule="exact"/>
      </w:pPr>
      <w:r>
        <w:rPr/>
        <w:t>第十七條</w:t>
        <w:tab/>
        <w:t>不保事項</w:t>
      </w:r>
    </w:p>
    <w:p>
      <w:pPr>
        <w:pStyle w:val="BodyText"/>
        <w:spacing w:line="235" w:lineRule="exact"/>
        <w:ind w:left="952"/>
      </w:pPr>
      <w:r>
        <w:rPr/>
        <w:t>被保險人從事下列活動，致成死亡、失能時，除契約另有約定外，本公司不負給付保險金的責任，</w:t>
      </w:r>
    </w:p>
    <w:p>
      <w:pPr>
        <w:pStyle w:val="BodyText"/>
        <w:spacing w:line="244" w:lineRule="auto" w:before="3"/>
        <w:ind w:left="952" w:right="375"/>
      </w:pPr>
      <w:r>
        <w:rPr>
          <w:w w:val="95"/>
        </w:rPr>
        <w:t>一、被保險人從事角力、摔跤、柔道、空手道、跆拳道、馬術、拳擊、特技表演等的競賽或表演。</w:t>
      </w:r>
      <w:r>
        <w:rPr>
          <w:spacing w:val="134"/>
        </w:rPr>
        <w:t> </w:t>
      </w:r>
      <w:r>
        <w:rPr/>
        <w:t>二、被保險人從事汽車、機車及自由車等的競賽或表演。</w:t>
      </w:r>
    </w:p>
    <w:p>
      <w:pPr>
        <w:pStyle w:val="BodyText"/>
        <w:spacing w:before="11"/>
        <w:rPr>
          <w:sz w:val="14"/>
        </w:rPr>
      </w:pPr>
    </w:p>
    <w:p>
      <w:pPr>
        <w:pStyle w:val="Heading1"/>
        <w:tabs>
          <w:tab w:pos="1156" w:val="left" w:leader="none"/>
        </w:tabs>
        <w:spacing w:line="348" w:lineRule="exact" w:before="1"/>
      </w:pPr>
      <w:r>
        <w:rPr/>
        <w:t>第十八條</w:t>
        <w:tab/>
        <w:t>契約的無效</w:t>
      </w:r>
    </w:p>
    <w:p>
      <w:pPr>
        <w:pStyle w:val="BodyText"/>
        <w:spacing w:line="236" w:lineRule="exact"/>
        <w:ind w:left="952"/>
      </w:pPr>
      <w:r>
        <w:rPr/>
        <w:t>本契約訂立時，僅要保人知保險事故已發生者，契約無效。本公司不退還所收受之保險費。</w:t>
      </w:r>
    </w:p>
    <w:p>
      <w:pPr>
        <w:pStyle w:val="BodyText"/>
        <w:spacing w:before="3"/>
        <w:rPr>
          <w:sz w:val="15"/>
        </w:rPr>
      </w:pPr>
    </w:p>
    <w:p>
      <w:pPr>
        <w:pStyle w:val="Heading1"/>
        <w:tabs>
          <w:tab w:pos="1156" w:val="left" w:leader="none"/>
        </w:tabs>
        <w:spacing w:line="348" w:lineRule="exact"/>
      </w:pPr>
      <w:r>
        <w:rPr/>
        <w:t>第十九條</w:t>
        <w:tab/>
        <w:t>受益人的指定與變更</w:t>
      </w:r>
    </w:p>
    <w:p>
      <w:pPr>
        <w:pStyle w:val="BodyText"/>
        <w:spacing w:line="236" w:lineRule="exact"/>
        <w:ind w:left="952"/>
      </w:pPr>
      <w:r>
        <w:rPr/>
        <w:t>失能保險金的受益人，為被保險人本人，本公司不受理其指定或變更。</w:t>
      </w:r>
    </w:p>
    <w:p>
      <w:pPr>
        <w:pStyle w:val="BodyText"/>
        <w:spacing w:line="244" w:lineRule="auto" w:before="3"/>
        <w:ind w:left="952" w:right="1270"/>
      </w:pPr>
      <w:r>
        <w:rPr/>
        <w:t>身故或喪葬費用保險金受益人的指定及變更，以被保險人的家屬或其法定繼承人為限。</w:t>
      </w:r>
      <w:r>
        <w:rPr>
          <w:w w:val="95"/>
        </w:rPr>
        <w:t>受益人之指定及變更，要保人得依下列約定辦理，並應符合指定或變更當時法令之規定:</w:t>
      </w:r>
      <w:r>
        <w:rPr>
          <w:spacing w:val="94"/>
        </w:rPr>
        <w:t> </w:t>
      </w:r>
      <w:r>
        <w:rPr/>
        <w:t>一、於訂立本契約時指定受益人。</w:t>
      </w:r>
    </w:p>
    <w:p>
      <w:pPr>
        <w:pStyle w:val="BodyText"/>
        <w:spacing w:line="252" w:lineRule="exact"/>
        <w:ind w:left="952"/>
      </w:pPr>
      <w:r>
        <w:rPr/>
        <w:drawing>
          <wp:anchor distT="0" distB="0" distL="0" distR="0" allowOverlap="1" layoutInCell="1" locked="0" behindDoc="1" simplePos="0" relativeHeight="486295552">
            <wp:simplePos x="0" y="0"/>
            <wp:positionH relativeFrom="page">
              <wp:posOffset>2872165</wp:posOffset>
            </wp:positionH>
            <wp:positionV relativeFrom="paragraph">
              <wp:posOffset>94864</wp:posOffset>
            </wp:positionV>
            <wp:extent cx="1838868" cy="443344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8868" cy="4433441"/>
                    </a:xfrm>
                    <a:prstGeom prst="rect">
                      <a:avLst/>
                    </a:prstGeom>
                  </pic:spPr>
                </pic:pic>
              </a:graphicData>
            </a:graphic>
          </wp:anchor>
        </w:drawing>
      </w:r>
      <w:r>
        <w:rPr/>
        <w:t>二、於保險事故發生前變更受益人，如要保人未將前述變更通知本公司者，不得對抗本公司。</w:t>
      </w:r>
    </w:p>
    <w:p>
      <w:pPr>
        <w:pStyle w:val="BodyText"/>
        <w:spacing w:line="244" w:lineRule="auto" w:before="3"/>
        <w:ind w:left="952" w:right="128"/>
      </w:pPr>
      <w:r>
        <w:rPr>
          <w:w w:val="95"/>
        </w:rPr>
        <w:t>前項受益人的變更，於要保人檢具申請書（要、被保險人為同一人時為申請書或電子申請文件）送達</w:t>
      </w:r>
      <w:r>
        <w:rPr>
          <w:spacing w:val="191"/>
        </w:rPr>
        <w:t> </w:t>
      </w:r>
      <w:r>
        <w:rPr/>
        <w:t>本公司時，本公司應即予批註或發給批註書。</w:t>
      </w:r>
    </w:p>
    <w:p>
      <w:pPr>
        <w:pStyle w:val="BodyText"/>
        <w:spacing w:line="255" w:lineRule="exact"/>
        <w:ind w:left="952"/>
      </w:pPr>
      <w:r>
        <w:rPr/>
        <w:t>本公司為給付各項保險金時，應以受益人直接申領為限。</w:t>
      </w:r>
    </w:p>
    <w:p>
      <w:pPr>
        <w:pStyle w:val="BodyText"/>
        <w:spacing w:before="7"/>
        <w:rPr>
          <w:sz w:val="15"/>
        </w:rPr>
      </w:pPr>
    </w:p>
    <w:p>
      <w:pPr>
        <w:pStyle w:val="Heading1"/>
        <w:tabs>
          <w:tab w:pos="1156" w:val="left" w:leader="none"/>
        </w:tabs>
      </w:pPr>
      <w:r>
        <w:rPr/>
        <w:t>第二十條</w:t>
        <w:tab/>
        <w:t>受益人之受益權</w:t>
      </w:r>
    </w:p>
    <w:p>
      <w:pPr>
        <w:pStyle w:val="BodyText"/>
        <w:spacing w:line="235" w:lineRule="exact"/>
        <w:ind w:left="952"/>
      </w:pPr>
      <w:r>
        <w:rPr/>
        <w:t>受益人故意致被保險人於死或雖未致死者，喪失其受益權。</w:t>
      </w:r>
    </w:p>
    <w:p>
      <w:pPr>
        <w:pStyle w:val="BodyText"/>
        <w:spacing w:line="244" w:lineRule="auto" w:before="3"/>
        <w:ind w:left="952" w:right="137"/>
        <w:jc w:val="both"/>
      </w:pPr>
      <w:r>
        <w:rPr>
          <w:w w:val="95"/>
        </w:rPr>
        <w:t>前項情形，如因該受益人喪失受益權，而致無受益人受領保險金額時，其保險金額作為被保險人遺</w:t>
      </w:r>
      <w:r>
        <w:rPr>
          <w:spacing w:val="140"/>
        </w:rPr>
        <w:t> </w:t>
      </w:r>
      <w:r>
        <w:rPr>
          <w:spacing w:val="141"/>
        </w:rPr>
        <w:t> </w:t>
      </w:r>
      <w:r>
        <w:rPr>
          <w:w w:val="95"/>
        </w:rPr>
        <w:t>產。如有其他受益人者，喪失受益權之受益人原應得之部份，按其他受益人原約定比例分歸其他受益</w:t>
      </w:r>
      <w:r>
        <w:rPr>
          <w:spacing w:val="182"/>
        </w:rPr>
        <w:t> </w:t>
      </w:r>
      <w:r>
        <w:rPr/>
        <w:t>人。</w:t>
      </w:r>
    </w:p>
    <w:p>
      <w:pPr>
        <w:pStyle w:val="BodyText"/>
        <w:spacing w:before="12"/>
        <w:rPr>
          <w:sz w:val="14"/>
        </w:rPr>
      </w:pPr>
    </w:p>
    <w:p>
      <w:pPr>
        <w:pStyle w:val="Heading1"/>
        <w:tabs>
          <w:tab w:pos="1158" w:val="left" w:leader="none"/>
        </w:tabs>
        <w:ind w:left="155"/>
      </w:pPr>
      <w:r>
        <w:rPr/>
        <w:t>第廿一條</w:t>
        <w:tab/>
        <w:t>住所變更</w:t>
      </w:r>
    </w:p>
    <w:p>
      <w:pPr>
        <w:pStyle w:val="BodyText"/>
        <w:spacing w:line="235" w:lineRule="exact"/>
        <w:ind w:left="952"/>
      </w:pPr>
      <w:r>
        <w:rPr/>
        <w:t>要保人的住所有變更時，應即以書面通知本公司。</w:t>
      </w:r>
    </w:p>
    <w:p>
      <w:pPr>
        <w:pStyle w:val="BodyText"/>
        <w:spacing w:before="3"/>
        <w:ind w:left="952"/>
      </w:pPr>
      <w:r>
        <w:rPr/>
        <w:t>要保人不為前項通知者，本公司之各項通知，得以本契約所載要保人之最後住所發送之。</w:t>
      </w:r>
    </w:p>
    <w:p>
      <w:pPr>
        <w:pStyle w:val="BodyText"/>
        <w:spacing w:before="6"/>
        <w:rPr>
          <w:sz w:val="15"/>
        </w:rPr>
      </w:pPr>
    </w:p>
    <w:p>
      <w:pPr>
        <w:pStyle w:val="Heading1"/>
        <w:tabs>
          <w:tab w:pos="1156" w:val="left" w:leader="none"/>
        </w:tabs>
        <w:spacing w:line="347" w:lineRule="exact"/>
      </w:pPr>
      <w:r>
        <w:rPr/>
        <w:t>第廿二條</w:t>
        <w:tab/>
        <w:t>時效</w:t>
      </w:r>
    </w:p>
    <w:p>
      <w:pPr>
        <w:pStyle w:val="BodyText"/>
        <w:spacing w:line="235" w:lineRule="exact"/>
        <w:ind w:left="952"/>
      </w:pPr>
      <w:r>
        <w:rPr/>
        <w:t>由本契約所生的權利，自得為請求之日起，經過兩年不行使而消滅。</w:t>
      </w:r>
    </w:p>
    <w:p>
      <w:pPr>
        <w:pStyle w:val="BodyText"/>
        <w:spacing w:before="6"/>
        <w:rPr>
          <w:sz w:val="15"/>
        </w:rPr>
      </w:pPr>
    </w:p>
    <w:p>
      <w:pPr>
        <w:pStyle w:val="Heading1"/>
        <w:tabs>
          <w:tab w:pos="1156" w:val="left" w:leader="none"/>
        </w:tabs>
      </w:pPr>
      <w:r>
        <w:rPr/>
        <w:t>第廿三條</w:t>
        <w:tab/>
        <w:t>批註</w:t>
      </w:r>
    </w:p>
    <w:p>
      <w:pPr>
        <w:pStyle w:val="BodyText"/>
        <w:spacing w:line="235" w:lineRule="exact"/>
        <w:ind w:left="952"/>
      </w:pPr>
      <w:r>
        <w:rPr>
          <w:w w:val="95"/>
        </w:rPr>
        <w:t>本契約內容的變更，或記載事項的增刪，除第十九條規定者外，應經要保人與本公司雙方書面或其他</w:t>
      </w:r>
    </w:p>
    <w:p>
      <w:pPr>
        <w:pStyle w:val="BodyText"/>
        <w:spacing w:before="6"/>
        <w:ind w:left="952"/>
      </w:pPr>
      <w:r>
        <w:rPr/>
        <w:t>約定方式同意，並由本公司即予批註或發給批註書。</w:t>
      </w:r>
    </w:p>
    <w:p>
      <w:pPr>
        <w:pStyle w:val="BodyText"/>
        <w:spacing w:before="3"/>
        <w:rPr>
          <w:sz w:val="15"/>
        </w:rPr>
      </w:pPr>
    </w:p>
    <w:p>
      <w:pPr>
        <w:pStyle w:val="Heading1"/>
        <w:tabs>
          <w:tab w:pos="1156" w:val="left" w:leader="none"/>
        </w:tabs>
        <w:spacing w:line="348" w:lineRule="exact" w:before="1"/>
      </w:pPr>
      <w:r>
        <w:rPr/>
        <w:t>第廿四條</w:t>
        <w:tab/>
        <w:t>管轄法院</w:t>
      </w:r>
    </w:p>
    <w:p>
      <w:pPr>
        <w:pStyle w:val="BodyText"/>
        <w:spacing w:line="236" w:lineRule="exact"/>
        <w:ind w:left="952"/>
      </w:pPr>
      <w:r>
        <w:rPr>
          <w:w w:val="95"/>
        </w:rPr>
        <w:t>因本契約涉訟者，同意以要保人住所地地方法院為第一審管轄法院，要保人的住所在中華民國境外</w:t>
      </w:r>
    </w:p>
    <w:p>
      <w:pPr>
        <w:pStyle w:val="BodyText"/>
        <w:spacing w:line="242" w:lineRule="auto" w:before="3"/>
        <w:ind w:left="952" w:right="134"/>
      </w:pPr>
      <w:r>
        <w:rPr>
          <w:w w:val="95"/>
        </w:rPr>
        <w:t>時，以本公司總公司所在地地方法院為第一審管轄法院。但不得排除消費者保護法第四十七條及民事</w:t>
      </w:r>
      <w:r>
        <w:rPr>
          <w:spacing w:val="185"/>
        </w:rPr>
        <w:t> </w:t>
      </w:r>
      <w:r>
        <w:rPr/>
        <w:t>訴訟法第四百三十六條之九小額訴訟管轄法院之適用。</w:t>
      </w:r>
    </w:p>
    <w:p>
      <w:pPr>
        <w:spacing w:after="0" w:line="242" w:lineRule="auto"/>
        <w:sectPr>
          <w:pgSz w:w="11910" w:h="16850"/>
          <w:pgMar w:header="0" w:footer="775" w:top="1360" w:bottom="1040" w:left="980" w:right="1000"/>
        </w:sectPr>
      </w:pPr>
    </w:p>
    <w:p>
      <w:pPr>
        <w:pStyle w:val="Heading1"/>
        <w:spacing w:line="349" w:lineRule="exact"/>
      </w:pPr>
      <w:r>
        <w:rPr/>
        <w:drawing>
          <wp:anchor distT="0" distB="0" distL="0" distR="0" allowOverlap="1" layoutInCell="1" locked="0" behindDoc="1" simplePos="0" relativeHeight="486296064">
            <wp:simplePos x="0" y="0"/>
            <wp:positionH relativeFrom="page">
              <wp:posOffset>2872165</wp:posOffset>
            </wp:positionH>
            <wp:positionV relativeFrom="page">
              <wp:posOffset>3137609</wp:posOffset>
            </wp:positionV>
            <wp:extent cx="1838868" cy="443344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8868" cy="4433441"/>
                    </a:xfrm>
                    <a:prstGeom prst="rect">
                      <a:avLst/>
                    </a:prstGeom>
                  </pic:spPr>
                </pic:pic>
              </a:graphicData>
            </a:graphic>
          </wp:anchor>
        </w:drawing>
      </w:r>
      <w:r>
        <w:rPr/>
        <w:pict>
          <v:shape style="position:absolute;margin-left:54.48pt;margin-top:83.879974pt;width:485.65pt;height:680.4pt;mso-position-horizontal-relative:page;mso-position-vertical-relative:page;z-index:1573120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34"/>
                    <w:gridCol w:w="821"/>
                    <w:gridCol w:w="1132"/>
                  </w:tblGrid>
                  <w:tr>
                    <w:trPr>
                      <w:trHeight w:val="568" w:hRule="atLeast"/>
                    </w:trPr>
                    <w:tc>
                      <w:tcPr>
                        <w:tcW w:w="1730" w:type="dxa"/>
                        <w:gridSpan w:val="2"/>
                        <w:tcBorders>
                          <w:bottom w:val="single" w:sz="4" w:space="0" w:color="000000"/>
                          <w:right w:val="single" w:sz="4" w:space="0" w:color="000000"/>
                        </w:tcBorders>
                      </w:tcPr>
                      <w:p>
                        <w:pPr>
                          <w:pStyle w:val="TableParagraph"/>
                          <w:spacing w:before="169"/>
                          <w:ind w:left="656" w:right="634"/>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69"/>
                          <w:ind w:left="116" w:right="81"/>
                          <w:rPr>
                            <w:sz w:val="20"/>
                          </w:rPr>
                        </w:pPr>
                        <w:r>
                          <w:rPr>
                            <w:w w:val="95"/>
                            <w:sz w:val="20"/>
                          </w:rPr>
                          <w:t>項次</w:t>
                        </w:r>
                      </w:p>
                    </w:tc>
                    <w:tc>
                      <w:tcPr>
                        <w:tcW w:w="5134" w:type="dxa"/>
                        <w:tcBorders>
                          <w:left w:val="single" w:sz="4" w:space="0" w:color="000000"/>
                          <w:bottom w:val="single" w:sz="4" w:space="0" w:color="000000"/>
                          <w:right w:val="single" w:sz="4" w:space="0" w:color="000000"/>
                        </w:tcBorders>
                      </w:tcPr>
                      <w:p>
                        <w:pPr>
                          <w:pStyle w:val="TableParagraph"/>
                          <w:spacing w:before="169"/>
                          <w:ind w:left="2158" w:right="2126"/>
                          <w:rPr>
                            <w:sz w:val="20"/>
                          </w:rPr>
                        </w:pPr>
                        <w:r>
                          <w:rPr>
                            <w:sz w:val="20"/>
                          </w:rPr>
                          <w:t>失能程度</w:t>
                        </w:r>
                      </w:p>
                    </w:tc>
                    <w:tc>
                      <w:tcPr>
                        <w:tcW w:w="821" w:type="dxa"/>
                        <w:tcBorders>
                          <w:left w:val="single" w:sz="4" w:space="0" w:color="000000"/>
                          <w:bottom w:val="single" w:sz="4" w:space="0" w:color="000000"/>
                          <w:right w:val="single" w:sz="4" w:space="0" w:color="000000"/>
                        </w:tcBorders>
                      </w:tcPr>
                      <w:p>
                        <w:pPr>
                          <w:pStyle w:val="TableParagraph"/>
                          <w:spacing w:line="280" w:lineRule="atLeast"/>
                          <w:ind w:left="220" w:right="185"/>
                          <w:jc w:val="left"/>
                          <w:rPr>
                            <w:sz w:val="20"/>
                          </w:rPr>
                        </w:pPr>
                        <w:r>
                          <w:rPr>
                            <w:spacing w:val="-1"/>
                            <w:sz w:val="20"/>
                          </w:rPr>
                          <w:t>失能等級</w:t>
                        </w:r>
                      </w:p>
                    </w:tc>
                    <w:tc>
                      <w:tcPr>
                        <w:tcW w:w="1132" w:type="dxa"/>
                        <w:tcBorders>
                          <w:left w:val="single" w:sz="4" w:space="0" w:color="000000"/>
                          <w:bottom w:val="single" w:sz="4" w:space="0" w:color="000000"/>
                        </w:tcBorders>
                      </w:tcPr>
                      <w:p>
                        <w:pPr>
                          <w:pStyle w:val="TableParagraph"/>
                          <w:spacing w:before="169"/>
                          <w:ind w:left="159" w:right="113"/>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2"/>
                          <w:jc w:val="left"/>
                          <w:rPr>
                            <w:rFonts w:ascii="Microsoft JhengHei"/>
                            <w:b/>
                            <w:sz w:val="24"/>
                          </w:rPr>
                        </w:pPr>
                      </w:p>
                      <w:p>
                        <w:pPr>
                          <w:pStyle w:val="TableParagraph"/>
                          <w:spacing w:line="244"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3"/>
                          <w:jc w:val="left"/>
                          <w:rPr>
                            <w:rFonts w:ascii="Microsoft JhengHei"/>
                            <w:b/>
                            <w:sz w:val="11"/>
                          </w:rPr>
                        </w:pPr>
                      </w:p>
                      <w:p>
                        <w:pPr>
                          <w:pStyle w:val="TableParagraph"/>
                          <w:ind w:left="247"/>
                          <w:jc w:val="left"/>
                          <w:rPr>
                            <w:sz w:val="20"/>
                          </w:rPr>
                        </w:pPr>
                        <w:r>
                          <w:rPr>
                            <w:sz w:val="20"/>
                          </w:rPr>
                          <w:t>神經障害</w:t>
                        </w:r>
                      </w:p>
                      <w:p>
                        <w:pPr>
                          <w:pStyle w:val="TableParagraph"/>
                          <w:spacing w:before="44"/>
                          <w:ind w:left="297"/>
                          <w:jc w:val="left"/>
                          <w:rPr>
                            <w:sz w:val="20"/>
                          </w:rPr>
                        </w:pPr>
                        <w:r>
                          <w:rPr>
                            <w:sz w:val="20"/>
                          </w:rPr>
                          <w:t>（註1）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Microsoft JhengHei"/>
                            <w:b/>
                            <w:sz w:val="13"/>
                          </w:rPr>
                        </w:pPr>
                      </w:p>
                      <w:p>
                        <w:pPr>
                          <w:pStyle w:val="TableParagraph"/>
                          <w:ind w:left="115" w:right="83"/>
                          <w:rPr>
                            <w:sz w:val="20"/>
                          </w:rPr>
                        </w:pPr>
                        <w:r>
                          <w:rPr>
                            <w:sz w:val="20"/>
                          </w:rPr>
                          <w:t>1-1-1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22" w:right="12"/>
                          <w:jc w:val="left"/>
                          <w:rPr>
                            <w:sz w:val="20"/>
                          </w:rPr>
                        </w:pPr>
                        <w:r>
                          <w:rPr>
                            <w:spacing w:val="-2"/>
                            <w:w w:val="95"/>
                            <w:sz w:val="20"/>
                          </w:rPr>
                          <w:t>中樞神經系統機能遺存極度障害，包括植物人狀態或氣切呼吸器輔助，終身無工作能力，為維持生命必要之日常生活活動，</w:t>
                        </w:r>
                      </w:p>
                      <w:p>
                        <w:pPr>
                          <w:pStyle w:val="TableParagraph"/>
                          <w:spacing w:line="249" w:lineRule="exact"/>
                          <w:ind w:left="22"/>
                          <w:jc w:val="left"/>
                          <w:rPr>
                            <w:sz w:val="20"/>
                          </w:rPr>
                        </w:pPr>
                        <w:r>
                          <w:rPr>
                            <w:spacing w:val="-2"/>
                            <w:w w:val="95"/>
                            <w:sz w:val="20"/>
                          </w:rPr>
                          <w:t>全須他人扶助，經常需醫療護理或專人周密照護者。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Microsoft JhengHei"/>
                            <w:b/>
                            <w:sz w:val="13"/>
                          </w:rPr>
                        </w:pPr>
                      </w:p>
                      <w:p>
                        <w:pPr>
                          <w:pStyle w:val="TableParagraph"/>
                          <w:ind w:left="31"/>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9"/>
                          <w:jc w:val="left"/>
                          <w:rPr>
                            <w:rFonts w:ascii="Microsoft JhengHei"/>
                            <w:b/>
                            <w:sz w:val="13"/>
                          </w:rPr>
                        </w:pPr>
                      </w:p>
                      <w:p>
                        <w:pPr>
                          <w:pStyle w:val="TableParagraph"/>
                          <w:ind w:left="159" w:right="110"/>
                          <w:rPr>
                            <w:sz w:val="20"/>
                          </w:rPr>
                        </w:pPr>
                        <w:r>
                          <w:rPr>
                            <w:sz w:val="20"/>
                          </w:rPr>
                          <w:t>100%</w:t>
                        </w:r>
                      </w:p>
                    </w:tc>
                  </w:tr>
                  <w:tr>
                    <w:trPr>
                      <w:trHeight w:val="77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13"/>
                          </w:rPr>
                        </w:pPr>
                      </w:p>
                      <w:p>
                        <w:pPr>
                          <w:pStyle w:val="TableParagraph"/>
                          <w:spacing w:before="1"/>
                          <w:ind w:left="115" w:right="83"/>
                          <w:rPr>
                            <w:sz w:val="20"/>
                          </w:rPr>
                        </w:pPr>
                        <w:r>
                          <w:rPr>
                            <w:sz w:val="20"/>
                          </w:rPr>
                          <w:t>1-1-2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中樞神經系統機能遺存高度障害，須長期臥床或無法自行翻</w:t>
                        </w:r>
                      </w:p>
                      <w:p>
                        <w:pPr>
                          <w:pStyle w:val="TableParagraph"/>
                          <w:spacing w:line="260" w:lineRule="atLeast"/>
                          <w:ind w:left="22" w:right="12"/>
                          <w:jc w:val="left"/>
                          <w:rPr>
                            <w:sz w:val="20"/>
                          </w:rPr>
                        </w:pPr>
                        <w:r>
                          <w:rPr>
                            <w:spacing w:val="-2"/>
                            <w:w w:val="95"/>
                            <w:sz w:val="20"/>
                          </w:rPr>
                          <w:t>身，終身無工作能力，為維持生命必要之日常生活活動之一部</w:t>
                        </w:r>
                        <w:r>
                          <w:rPr>
                            <w:sz w:val="20"/>
                          </w:rPr>
                          <w:t>分須他人扶助者。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13"/>
                          </w:rPr>
                        </w:pPr>
                      </w:p>
                      <w:p>
                        <w:pPr>
                          <w:pStyle w:val="TableParagraph"/>
                          <w:spacing w:before="1"/>
                          <w:ind w:left="31"/>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1"/>
                          <w:jc w:val="left"/>
                          <w:rPr>
                            <w:rFonts w:ascii="Microsoft JhengHei"/>
                            <w:b/>
                            <w:sz w:val="13"/>
                          </w:rPr>
                        </w:pPr>
                      </w:p>
                      <w:p>
                        <w:pPr>
                          <w:pStyle w:val="TableParagraph"/>
                          <w:spacing w:before="1"/>
                          <w:ind w:left="159" w:right="110"/>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1-1-3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中樞神經系統機能遺存顯著障害，終身無工作能力，為維持生</w:t>
                        </w:r>
                      </w:p>
                      <w:p>
                        <w:pPr>
                          <w:pStyle w:val="TableParagraph"/>
                          <w:spacing w:line="249" w:lineRule="exact" w:before="5"/>
                          <w:ind w:left="22"/>
                          <w:jc w:val="left"/>
                          <w:rPr>
                            <w:sz w:val="20"/>
                          </w:rPr>
                        </w:pPr>
                        <w:r>
                          <w:rPr>
                            <w:spacing w:val="-2"/>
                            <w:w w:val="95"/>
                            <w:sz w:val="20"/>
                          </w:rPr>
                          <w:t>命必要之日常生活活動尚可自理者。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21"/>
                          <w:ind w:left="31"/>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21"/>
                          <w:ind w:left="159" w:right="110"/>
                          <w:rPr>
                            <w:sz w:val="20"/>
                          </w:rPr>
                        </w:pPr>
                        <w:r>
                          <w:rPr>
                            <w:sz w:val="20"/>
                          </w:rPr>
                          <w:t>80%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中樞神經系統機能遺存障害，由醫學上可證明局部遺存頑固神</w:t>
                        </w:r>
                      </w:p>
                      <w:p>
                        <w:pPr>
                          <w:pStyle w:val="TableParagraph"/>
                          <w:spacing w:line="249" w:lineRule="exact" w:before="5"/>
                          <w:ind w:left="22"/>
                          <w:jc w:val="left"/>
                          <w:rPr>
                            <w:sz w:val="20"/>
                          </w:rPr>
                        </w:pPr>
                        <w:r>
                          <w:rPr>
                            <w:spacing w:val="-2"/>
                            <w:w w:val="95"/>
                            <w:sz w:val="20"/>
                          </w:rPr>
                          <w:t>經症狀，且勞動能力較一般顯明低下者。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9"/>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19"/>
                          <w:ind w:left="159" w:right="110"/>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中樞神經系統機能遺存障害，由醫學上可證明局部遺存頑固神</w:t>
                        </w:r>
                      </w:p>
                      <w:p>
                        <w:pPr>
                          <w:pStyle w:val="TableParagraph"/>
                          <w:spacing w:line="252" w:lineRule="exact" w:before="3"/>
                          <w:ind w:left="22"/>
                          <w:jc w:val="left"/>
                          <w:rPr>
                            <w:sz w:val="20"/>
                          </w:rPr>
                        </w:pPr>
                        <w:r>
                          <w:rPr>
                            <w:spacing w:val="-2"/>
                            <w:w w:val="95"/>
                            <w:sz w:val="20"/>
                          </w:rPr>
                          <w:t>經症狀，但通常無礙勞動。</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9"/>
                          <w:ind w:left="301" w:right="269"/>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119"/>
                          <w:ind w:left="159" w:right="111"/>
                          <w:rPr>
                            <w:sz w:val="20"/>
                          </w:rPr>
                        </w:pPr>
                        <w:r>
                          <w:rPr>
                            <w:sz w:val="20"/>
                          </w:rPr>
                          <w:t>5%</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9"/>
                          </w:rPr>
                        </w:pPr>
                      </w:p>
                      <w:p>
                        <w:pPr>
                          <w:pStyle w:val="TableParagraph"/>
                          <w:spacing w:line="242" w:lineRule="auto" w:before="1"/>
                          <w:ind w:left="126" w:right="108"/>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rFonts w:ascii="Microsoft JhengHei"/>
                            <w:b/>
                            <w:sz w:val="29"/>
                          </w:rPr>
                        </w:pPr>
                      </w:p>
                      <w:p>
                        <w:pPr>
                          <w:pStyle w:val="TableParagraph"/>
                          <w:ind w:left="247"/>
                          <w:jc w:val="left"/>
                          <w:rPr>
                            <w:sz w:val="20"/>
                          </w:rPr>
                        </w:pPr>
                        <w:r>
                          <w:rPr>
                            <w:sz w:val="20"/>
                          </w:rPr>
                          <w:t>視力障害</w:t>
                        </w:r>
                      </w:p>
                      <w:p>
                        <w:pPr>
                          <w:pStyle w:val="TableParagraph"/>
                          <w:spacing w:before="44"/>
                          <w:ind w:left="297"/>
                          <w:jc w:val="left"/>
                          <w:rPr>
                            <w:sz w:val="20"/>
                          </w:rPr>
                        </w:pPr>
                        <w:r>
                          <w:rPr>
                            <w:sz w:val="20"/>
                          </w:rPr>
                          <w:t>（註2）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1"/>
                            <w:w w:val="95"/>
                            <w:sz w:val="20"/>
                          </w:rPr>
                          <w:t>雙目均失明者。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100%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雙目視力減退至</w:t>
                        </w:r>
                        <w:r>
                          <w:rPr>
                            <w:spacing w:val="-1"/>
                            <w:w w:val="95"/>
                            <w:sz w:val="20"/>
                          </w:rPr>
                          <w:t>0.06以下者。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雙目視力減退至</w:t>
                        </w:r>
                        <w:r>
                          <w:rPr>
                            <w:spacing w:val="-1"/>
                            <w:w w:val="95"/>
                            <w:sz w:val="20"/>
                          </w:rPr>
                          <w:t>0.1以下者。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一目失明，他目視力減退至</w:t>
                        </w:r>
                        <w:r>
                          <w:rPr>
                            <w:spacing w:val="-1"/>
                            <w:w w:val="95"/>
                            <w:sz w:val="20"/>
                          </w:rPr>
                          <w:t>0.06以下者。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70%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一目失明，他目視力減退至</w:t>
                        </w:r>
                        <w:r>
                          <w:rPr>
                            <w:spacing w:val="-1"/>
                            <w:w w:val="95"/>
                            <w:sz w:val="20"/>
                          </w:rPr>
                          <w:t>0.1以下者。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2-1-6</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1"/>
                            <w:w w:val="95"/>
                            <w:sz w:val="20"/>
                          </w:rPr>
                          <w:t>一目失明者。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40%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30"/>
                          <w:ind w:left="126" w:right="108"/>
                          <w:jc w:val="left"/>
                          <w:rPr>
                            <w:sz w:val="20"/>
                          </w:rPr>
                        </w:pPr>
                        <w:r>
                          <w:rPr>
                            <w:sz w:val="20"/>
                          </w:rPr>
                          <w:t>３耳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9"/>
                          <w:ind w:left="247"/>
                          <w:jc w:val="left"/>
                          <w:rPr>
                            <w:sz w:val="20"/>
                          </w:rPr>
                        </w:pPr>
                        <w:r>
                          <w:rPr>
                            <w:sz w:val="20"/>
                          </w:rPr>
                          <w:t>聽覺障害</w:t>
                        </w:r>
                      </w:p>
                      <w:p>
                        <w:pPr>
                          <w:pStyle w:val="TableParagraph"/>
                          <w:spacing w:line="240" w:lineRule="exact" w:before="44"/>
                          <w:ind w:left="297"/>
                          <w:jc w:val="left"/>
                          <w:rPr>
                            <w:sz w:val="20"/>
                          </w:rPr>
                        </w:pPr>
                        <w:r>
                          <w:rPr>
                            <w:sz w:val="20"/>
                          </w:rPr>
                          <w:t>（註3）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3-1-1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兩耳鼓膜全部缺損或兩耳聽覺機能均喪失90</w:t>
                        </w:r>
                        <w:r>
                          <w:rPr>
                            <w:spacing w:val="-1"/>
                            <w:w w:val="95"/>
                            <w:sz w:val="20"/>
                          </w:rPr>
                          <w:t>分貝以上者。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60%</w:t>
                        </w:r>
                      </w:p>
                    </w:tc>
                  </w:tr>
                  <w:tr>
                    <w:trPr>
                      <w:trHeight w:val="33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 w:right="83"/>
                          <w:rPr>
                            <w:sz w:val="20"/>
                          </w:rPr>
                        </w:pPr>
                        <w:r>
                          <w:rPr>
                            <w:sz w:val="20"/>
                          </w:rPr>
                          <w:t>3-1-2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before="25"/>
                          <w:ind w:left="22"/>
                          <w:jc w:val="left"/>
                          <w:rPr>
                            <w:sz w:val="20"/>
                          </w:rPr>
                        </w:pPr>
                        <w:r>
                          <w:rPr>
                            <w:spacing w:val="-2"/>
                            <w:w w:val="95"/>
                            <w:sz w:val="20"/>
                          </w:rPr>
                          <w:t>兩耳聽覺機能均喪失</w:t>
                        </w:r>
                        <w:r>
                          <w:rPr>
                            <w:spacing w:val="-1"/>
                            <w:w w:val="95"/>
                            <w:sz w:val="20"/>
                          </w:rPr>
                          <w:t>70分貝以上者。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25"/>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25"/>
                          <w:ind w:left="159" w:right="110"/>
                          <w:rPr>
                            <w:sz w:val="20"/>
                          </w:rPr>
                        </w:pPr>
                        <w:r>
                          <w:rPr>
                            <w:sz w:val="20"/>
                          </w:rPr>
                          <w:t>40%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30"/>
                          <w:ind w:left="126" w:right="108"/>
                          <w:jc w:val="left"/>
                          <w:rPr>
                            <w:sz w:val="20"/>
                          </w:rPr>
                        </w:pPr>
                        <w:r>
                          <w:rPr>
                            <w:sz w:val="20"/>
                          </w:rPr>
                          <w:t>４鼻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9"/>
                          <w:ind w:left="32"/>
                          <w:rPr>
                            <w:sz w:val="20"/>
                          </w:rPr>
                        </w:pPr>
                        <w:r>
                          <w:rPr>
                            <w:sz w:val="20"/>
                          </w:rPr>
                          <w:t>缺損及機能障</w:t>
                        </w:r>
                      </w:p>
                      <w:p>
                        <w:pPr>
                          <w:pStyle w:val="TableParagraph"/>
                          <w:spacing w:line="240" w:lineRule="exact" w:before="44"/>
                          <w:ind w:left="30"/>
                          <w:rPr>
                            <w:sz w:val="20"/>
                          </w:rPr>
                        </w:pPr>
                        <w:r>
                          <w:rPr>
                            <w:sz w:val="20"/>
                          </w:rPr>
                          <w:t>害（註4）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4-1-1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鼻部缺損，致其機能永久遺存顯著障害者。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20%</w:t>
                        </w:r>
                      </w:p>
                    </w:tc>
                  </w:tr>
                  <w:tr>
                    <w:trPr>
                      <w:trHeight w:val="33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
                          <w:ind w:left="115" w:right="83"/>
                          <w:rPr>
                            <w:sz w:val="20"/>
                          </w:rPr>
                        </w:pPr>
                        <w:r>
                          <w:rPr>
                            <w:sz w:val="20"/>
                          </w:rPr>
                          <w:t>4-1-2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before="25"/>
                          <w:ind w:left="39"/>
                          <w:jc w:val="left"/>
                          <w:rPr>
                            <w:sz w:val="20"/>
                          </w:rPr>
                        </w:pPr>
                        <w:r>
                          <w:rPr>
                            <w:spacing w:val="-2"/>
                            <w:w w:val="95"/>
                            <w:sz w:val="20"/>
                          </w:rPr>
                          <w:t>鼻未缺損，而鼻機能永久遺存顯著障害者。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25"/>
                          <w:ind w:left="301" w:right="269"/>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25"/>
                          <w:ind w:left="159" w:right="110"/>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131"/>
                          <w:ind w:left="126" w:right="108"/>
                          <w:jc w:val="left"/>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8" w:right="14"/>
                          <w:rPr>
                            <w:sz w:val="20"/>
                          </w:rPr>
                        </w:pPr>
                        <w:r>
                          <w:rPr>
                            <w:spacing w:val="-1"/>
                            <w:sz w:val="20"/>
                          </w:rPr>
                          <w:t>咀嚼吞嚥及言</w:t>
                        </w:r>
                        <w:r>
                          <w:rPr>
                            <w:sz w:val="20"/>
                          </w:rPr>
                          <w:t>語機能障害</w:t>
                        </w:r>
                      </w:p>
                      <w:p>
                        <w:pPr>
                          <w:pStyle w:val="TableParagraph"/>
                          <w:spacing w:line="255" w:lineRule="exact"/>
                          <w:ind w:left="32"/>
                          <w:rPr>
                            <w:sz w:val="20"/>
                          </w:rPr>
                        </w:pPr>
                        <w:r>
                          <w:rPr>
                            <w:sz w:val="20"/>
                          </w:rPr>
                          <w:t>（註5）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5-1-1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永久喪失咀嚼、吞嚥或言語之機能者。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5-1-2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咀嚼、吞嚥及言語之機能永久遺存顯著障害者。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83"/>
                          <w:rPr>
                            <w:sz w:val="20"/>
                          </w:rPr>
                        </w:pPr>
                        <w:r>
                          <w:rPr>
                            <w:sz w:val="20"/>
                          </w:rPr>
                          <w:t>5-1-3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
                          <w:jc w:val="left"/>
                          <w:rPr>
                            <w:sz w:val="20"/>
                          </w:rPr>
                        </w:pPr>
                        <w:r>
                          <w:rPr>
                            <w:spacing w:val="-2"/>
                            <w:w w:val="95"/>
                            <w:sz w:val="20"/>
                          </w:rPr>
                          <w:t>咀嚼、吞嚥或言語構音之機能永久遺存顯著障害者。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2" w:lineRule="exact"/>
                          <w:ind w:left="159" w:right="110"/>
                          <w:rPr>
                            <w:sz w:val="20"/>
                          </w:rPr>
                        </w:pPr>
                        <w:r>
                          <w:rPr>
                            <w:sz w:val="20"/>
                          </w:rPr>
                          <w:t>40%</w:t>
                        </w:r>
                      </w:p>
                    </w:tc>
                  </w:tr>
                  <w:tr>
                    <w:trPr>
                      <w:trHeight w:val="517"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5"/>
                          <w:jc w:val="left"/>
                          <w:rPr>
                            <w:rFonts w:ascii="Microsoft JhengHei"/>
                            <w:b/>
                            <w:sz w:val="29"/>
                          </w:rPr>
                        </w:pPr>
                      </w:p>
                      <w:p>
                        <w:pPr>
                          <w:pStyle w:val="TableParagraph"/>
                          <w:spacing w:line="244" w:lineRule="auto"/>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Microsoft JhengHei"/>
                            <w:b/>
                            <w:sz w:val="28"/>
                          </w:rPr>
                        </w:pPr>
                      </w:p>
                      <w:p>
                        <w:pPr>
                          <w:pStyle w:val="TableParagraph"/>
                          <w:spacing w:line="242" w:lineRule="auto"/>
                          <w:ind w:left="146" w:right="114"/>
                          <w:rPr>
                            <w:sz w:val="20"/>
                          </w:rPr>
                        </w:pPr>
                        <w:r>
                          <w:rPr>
                            <w:spacing w:val="-1"/>
                            <w:sz w:val="20"/>
                          </w:rPr>
                          <w:t>胸腹部臟器</w:t>
                        </w:r>
                        <w:r>
                          <w:rPr>
                            <w:sz w:val="20"/>
                          </w:rPr>
                          <w:t>機能障害</w:t>
                        </w:r>
                      </w:p>
                      <w:p>
                        <w:pPr>
                          <w:pStyle w:val="TableParagraph"/>
                          <w:spacing w:before="1"/>
                          <w:ind w:left="32"/>
                          <w:rPr>
                            <w:sz w:val="20"/>
                          </w:rPr>
                        </w:pPr>
                        <w:r>
                          <w:rPr>
                            <w:sz w:val="20"/>
                          </w:rPr>
                          <w:t>（註6）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胸腹部臟器機能遺存極度障害，終身不能從事任何工作，經常</w:t>
                        </w:r>
                      </w:p>
                      <w:p>
                        <w:pPr>
                          <w:pStyle w:val="TableParagraph"/>
                          <w:spacing w:line="249" w:lineRule="exact" w:before="3"/>
                          <w:ind w:left="22"/>
                          <w:jc w:val="left"/>
                          <w:rPr>
                            <w:sz w:val="20"/>
                          </w:rPr>
                        </w:pPr>
                        <w:r>
                          <w:rPr>
                            <w:spacing w:val="-2"/>
                            <w:w w:val="95"/>
                            <w:sz w:val="20"/>
                          </w:rPr>
                          <w:t>需要醫療護理或專人周密照護者。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9"/>
                          <w:ind w:left="31"/>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119"/>
                          <w:ind w:left="159" w:right="110"/>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6-1-2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jc w:val="left"/>
                          <w:rPr>
                            <w:sz w:val="20"/>
                          </w:rPr>
                        </w:pPr>
                        <w:r>
                          <w:rPr>
                            <w:spacing w:val="-2"/>
                            <w:w w:val="95"/>
                            <w:sz w:val="20"/>
                          </w:rPr>
                          <w:t>胸腹部臟器機能遺存高度障害，終身不能從事任何工作，且日</w:t>
                        </w:r>
                      </w:p>
                      <w:p>
                        <w:pPr>
                          <w:pStyle w:val="TableParagraph"/>
                          <w:spacing w:line="249" w:lineRule="exact" w:before="3"/>
                          <w:ind w:left="22"/>
                          <w:jc w:val="left"/>
                          <w:rPr>
                            <w:sz w:val="20"/>
                          </w:rPr>
                        </w:pPr>
                        <w:r>
                          <w:rPr>
                            <w:spacing w:val="-1"/>
                            <w:w w:val="95"/>
                            <w:sz w:val="20"/>
                          </w:rPr>
                          <w:t>常生活需人扶助。</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21"/>
                          <w:ind w:left="31"/>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21"/>
                          <w:ind w:left="159" w:right="110"/>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6-1-3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胸腹部臟器機能遺存顯著障害，終身不能從事任何工作，但日</w:t>
                        </w:r>
                      </w:p>
                      <w:p>
                        <w:pPr>
                          <w:pStyle w:val="TableParagraph"/>
                          <w:spacing w:line="249" w:lineRule="exact" w:before="5"/>
                          <w:ind w:left="22"/>
                          <w:jc w:val="left"/>
                          <w:rPr>
                            <w:sz w:val="20"/>
                          </w:rPr>
                        </w:pPr>
                        <w:r>
                          <w:rPr>
                            <w:spacing w:val="-2"/>
                            <w:w w:val="95"/>
                            <w:sz w:val="20"/>
                          </w:rPr>
                          <w:t>常生活尚可自理者。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21"/>
                          <w:ind w:left="31"/>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21"/>
                          <w:ind w:left="159" w:right="110"/>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6-1-4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胸腹部臟器機能遺存顯著障害，終身祇能從事輕便工作者。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247"/>
                          <w:jc w:val="left"/>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6-2-1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任一主要臟器切除二分之一以上者。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20%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6-2-2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1"/>
                            <w:w w:val="95"/>
                            <w:sz w:val="20"/>
                          </w:rPr>
                          <w:t>脾臟切除者。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1" w:right="269"/>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1"/>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jc w:val="left"/>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6-3-1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膀胱機能完全喪失且無裝置人工膀胱者。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80%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6" w:lineRule="exact"/>
                          <w:ind w:left="126"/>
                          <w:jc w:val="left"/>
                          <w:rPr>
                            <w:sz w:val="20"/>
                          </w:rPr>
                        </w:pPr>
                        <w:r>
                          <w:rPr>
                            <w:w w:val="99"/>
                            <w:sz w:val="20"/>
                          </w:rPr>
                          <w:t>７</w:t>
                        </w:r>
                      </w:p>
                      <w:p>
                        <w:pPr>
                          <w:pStyle w:val="TableParagraph"/>
                          <w:spacing w:line="260" w:lineRule="atLeast"/>
                          <w:ind w:left="126" w:right="108"/>
                          <w:jc w:val="left"/>
                          <w:rPr>
                            <w:sz w:val="20"/>
                          </w:rPr>
                        </w:pPr>
                        <w:r>
                          <w:rPr>
                            <w:sz w:val="20"/>
                          </w:rPr>
                          <w:t>軀幹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9"/>
                          <w:ind w:left="32"/>
                          <w:rPr>
                            <w:sz w:val="20"/>
                          </w:rPr>
                        </w:pPr>
                        <w:r>
                          <w:rPr>
                            <w:sz w:val="20"/>
                          </w:rPr>
                          <w:t>脊柱運動障害</w:t>
                        </w:r>
                      </w:p>
                      <w:p>
                        <w:pPr>
                          <w:pStyle w:val="TableParagraph"/>
                          <w:spacing w:before="5"/>
                          <w:ind w:left="32"/>
                          <w:rPr>
                            <w:sz w:val="20"/>
                          </w:rPr>
                        </w:pPr>
                        <w:r>
                          <w:rPr>
                            <w:sz w:val="20"/>
                          </w:rPr>
                          <w:t>（註7）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7-1-1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脊柱永久遺存顯著運動障害者。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40%</w:t>
                        </w:r>
                      </w:p>
                    </w:tc>
                  </w:tr>
                  <w:tr>
                    <w:trPr>
                      <w:trHeight w:val="50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4"/>
                          <w:ind w:left="115" w:right="83"/>
                          <w:rPr>
                            <w:sz w:val="20"/>
                          </w:rPr>
                        </w:pPr>
                        <w:r>
                          <w:rPr>
                            <w:sz w:val="20"/>
                          </w:rPr>
                          <w:t>7-1-2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before="114"/>
                          <w:ind w:left="22"/>
                          <w:jc w:val="left"/>
                          <w:rPr>
                            <w:sz w:val="20"/>
                          </w:rPr>
                        </w:pPr>
                        <w:r>
                          <w:rPr>
                            <w:spacing w:val="-2"/>
                            <w:w w:val="95"/>
                            <w:sz w:val="20"/>
                          </w:rPr>
                          <w:t>脊柱永久遺存運動障害者。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4"/>
                          <w:ind w:left="31"/>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114"/>
                          <w:ind w:left="159" w:right="111"/>
                          <w:rPr>
                            <w:sz w:val="20"/>
                          </w:rPr>
                        </w:pPr>
                        <w:r>
                          <w:rPr>
                            <w:sz w:val="20"/>
                          </w:rPr>
                          <w:t>20%</w:t>
                        </w:r>
                      </w:p>
                    </w:tc>
                  </w:tr>
                  <w:tr>
                    <w:trPr>
                      <w:trHeight w:val="251" w:hRule="atLeast"/>
                    </w:trPr>
                    <w:tc>
                      <w:tcPr>
                        <w:tcW w:w="456" w:type="dxa"/>
                        <w:vMerge w:val="restart"/>
                        <w:tcBorders>
                          <w:top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6"/>
                          <w:jc w:val="left"/>
                          <w:rPr>
                            <w:rFonts w:ascii="Microsoft JhengHei"/>
                            <w:b/>
                            <w:sz w:val="11"/>
                          </w:rPr>
                        </w:pPr>
                      </w:p>
                      <w:p>
                        <w:pPr>
                          <w:pStyle w:val="TableParagraph"/>
                          <w:spacing w:line="244" w:lineRule="auto"/>
                          <w:ind w:left="126" w:right="108"/>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rFonts w:ascii="Microsoft JhengHei"/>
                            <w:b/>
                            <w:sz w:val="14"/>
                          </w:rPr>
                        </w:pPr>
                      </w:p>
                      <w:p>
                        <w:pPr>
                          <w:pStyle w:val="TableParagraph"/>
                          <w:ind w:left="48"/>
                          <w:jc w:val="left"/>
                          <w:rPr>
                            <w:sz w:val="20"/>
                          </w:rPr>
                        </w:pPr>
                        <w:r>
                          <w:rPr>
                            <w:sz w:val="20"/>
                          </w:rPr>
                          <w:t>上肢缺損障害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rPr>
                            <w:sz w:val="20"/>
                          </w:rPr>
                        </w:pPr>
                        <w:r>
                          <w:rPr>
                            <w:sz w:val="20"/>
                          </w:rPr>
                          <w:t>8-1-1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jc w:val="left"/>
                          <w:rPr>
                            <w:sz w:val="20"/>
                          </w:rPr>
                        </w:pPr>
                        <w:r>
                          <w:rPr>
                            <w:spacing w:val="-2"/>
                            <w:w w:val="95"/>
                            <w:sz w:val="20"/>
                          </w:rPr>
                          <w:t>兩上肢腕關節缺失者。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1"/>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31" w:lineRule="exact"/>
                          <w:ind w:left="159" w:right="110"/>
                          <w:rPr>
                            <w:sz w:val="20"/>
                          </w:rPr>
                        </w:pPr>
                        <w:r>
                          <w:rPr>
                            <w:sz w:val="20"/>
                          </w:rPr>
                          <w:t>100%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一上肢肩、肘及腕關節中，有二大關節以上缺失者。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一上肢腕關節缺失者。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1"/>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jc w:val="left"/>
                          <w:rPr>
                            <w:rFonts w:ascii="Microsoft JhengHei"/>
                            <w:b/>
                            <w:sz w:val="20"/>
                          </w:rPr>
                        </w:pPr>
                      </w:p>
                      <w:p>
                        <w:pPr>
                          <w:pStyle w:val="TableParagraph"/>
                          <w:spacing w:before="15"/>
                          <w:jc w:val="left"/>
                          <w:rPr>
                            <w:rFonts w:ascii="Microsoft JhengHei"/>
                            <w:b/>
                            <w:sz w:val="15"/>
                          </w:rPr>
                        </w:pPr>
                      </w:p>
                      <w:p>
                        <w:pPr>
                          <w:pStyle w:val="TableParagraph"/>
                          <w:ind w:left="32"/>
                          <w:rPr>
                            <w:sz w:val="20"/>
                          </w:rPr>
                        </w:pPr>
                        <w:r>
                          <w:rPr>
                            <w:sz w:val="20"/>
                          </w:rPr>
                          <w:t>手指缺損障害</w:t>
                        </w:r>
                      </w:p>
                      <w:p>
                        <w:pPr>
                          <w:pStyle w:val="TableParagraph"/>
                          <w:spacing w:before="5"/>
                          <w:ind w:left="32"/>
                          <w:rPr>
                            <w:sz w:val="20"/>
                          </w:rPr>
                        </w:pPr>
                        <w:r>
                          <w:rPr>
                            <w:sz w:val="20"/>
                          </w:rPr>
                          <w:t>（註8）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雙手十指均缺失者。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80%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雙手兩拇指均缺失者。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一手五指均缺失者。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一手包含拇指及食指在內，共有四指缺失者。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1"/>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一手拇指及食指缺失者。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8-2-6</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一手包含拇指或食指在內，共有三指以上缺失。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1"/>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30%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8-2-7</w:t>
                        </w:r>
                      </w:p>
                    </w:tc>
                    <w:tc>
                      <w:tcPr>
                        <w:tcW w:w="5134" w:type="dxa"/>
                        <w:tcBorders>
                          <w:top w:val="single" w:sz="4" w:space="0" w:color="000000"/>
                          <w:left w:val="single" w:sz="4" w:space="0" w:color="000000"/>
                          <w:right w:val="single" w:sz="4" w:space="0" w:color="000000"/>
                        </w:tcBorders>
                      </w:tcPr>
                      <w:p>
                        <w:pPr>
                          <w:pStyle w:val="TableParagraph"/>
                          <w:spacing w:line="228" w:lineRule="exact"/>
                          <w:ind w:left="22"/>
                          <w:jc w:val="left"/>
                          <w:rPr>
                            <w:sz w:val="20"/>
                          </w:rPr>
                        </w:pPr>
                        <w:r>
                          <w:rPr>
                            <w:spacing w:val="-2"/>
                            <w:w w:val="95"/>
                            <w:sz w:val="20"/>
                          </w:rPr>
                          <w:t>一手包含拇指在內，共有二指缺失者。</w:t>
                        </w:r>
                      </w:p>
                    </w:tc>
                    <w:tc>
                      <w:tcPr>
                        <w:tcW w:w="821" w:type="dxa"/>
                        <w:tcBorders>
                          <w:top w:val="single" w:sz="4" w:space="0" w:color="000000"/>
                          <w:left w:val="single" w:sz="4" w:space="0" w:color="000000"/>
                          <w:right w:val="single" w:sz="4" w:space="0" w:color="000000"/>
                        </w:tcBorders>
                      </w:tcPr>
                      <w:p>
                        <w:pPr>
                          <w:pStyle w:val="TableParagraph"/>
                          <w:spacing w:line="228" w:lineRule="exact"/>
                          <w:ind w:left="31"/>
                          <w:rPr>
                            <w:sz w:val="20"/>
                          </w:rPr>
                        </w:pPr>
                        <w:r>
                          <w:rPr>
                            <w:w w:val="99"/>
                            <w:sz w:val="20"/>
                          </w:rPr>
                          <w:t>9</w:t>
                        </w:r>
                      </w:p>
                    </w:tc>
                    <w:tc>
                      <w:tcPr>
                        <w:tcW w:w="1132" w:type="dxa"/>
                        <w:tcBorders>
                          <w:top w:val="single" w:sz="4" w:space="0" w:color="000000"/>
                          <w:left w:val="single" w:sz="4" w:space="0" w:color="000000"/>
                        </w:tcBorders>
                      </w:tcPr>
                      <w:p>
                        <w:pPr>
                          <w:pStyle w:val="TableParagraph"/>
                          <w:spacing w:line="228" w:lineRule="exact"/>
                          <w:ind w:left="159" w:right="110"/>
                          <w:rPr>
                            <w:sz w:val="20"/>
                          </w:rPr>
                        </w:pPr>
                        <w:r>
                          <w:rPr>
                            <w:sz w:val="20"/>
                          </w:rPr>
                          <w:t>20%</w:t>
                        </w:r>
                      </w:p>
                    </w:tc>
                  </w:tr>
                </w:tbl>
                <w:p>
                  <w:pPr>
                    <w:pStyle w:val="BodyText"/>
                  </w:pPr>
                </w:p>
              </w:txbxContent>
            </v:textbox>
            <w10:wrap type="none"/>
          </v:shape>
        </w:pict>
      </w:r>
      <w:r>
        <w:rPr/>
        <w:t>附表：失能程度與保險金給付表</w:t>
      </w:r>
    </w:p>
    <w:p>
      <w:pPr>
        <w:spacing w:after="0" w:line="349" w:lineRule="exact"/>
        <w:sectPr>
          <w:pgSz w:w="11910" w:h="16850"/>
          <w:pgMar w:header="0" w:footer="775" w:top="1360" w:bottom="1040" w:left="980" w:right="100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34"/>
        <w:gridCol w:w="821"/>
        <w:gridCol w:w="1132"/>
      </w:tblGrid>
      <w:tr>
        <w:trPr>
          <w:trHeight w:val="260" w:hRule="atLeast"/>
        </w:trPr>
        <w:tc>
          <w:tcPr>
            <w:tcW w:w="456" w:type="dxa"/>
            <w:vMerge w:val="restart"/>
            <w:tcBorders>
              <w:bottom w:val="single" w:sz="4" w:space="0" w:color="000000"/>
              <w:right w:val="single" w:sz="4" w:space="0" w:color="000000"/>
            </w:tcBorders>
          </w:tcPr>
          <w:p>
            <w:pPr>
              <w:pStyle w:val="TableParagraph"/>
              <w:jc w:val="left"/>
              <w:rPr>
                <w:rFonts w:ascii="Times New Roman"/>
                <w:sz w:val="18"/>
              </w:rPr>
            </w:pPr>
          </w:p>
        </w:tc>
        <w:tc>
          <w:tcPr>
            <w:tcW w:w="1274" w:type="dxa"/>
            <w:vMerge w:val="restart"/>
            <w:tcBorders>
              <w:left w:val="single" w:sz="4" w:space="0" w:color="000000"/>
              <w:bottom w:val="single" w:sz="4" w:space="0" w:color="000000"/>
              <w:right w:val="single" w:sz="4" w:space="0" w:color="000000"/>
            </w:tcBorders>
          </w:tcPr>
          <w:p>
            <w:pPr>
              <w:pStyle w:val="TableParagraph"/>
              <w:jc w:val="left"/>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8-2-8</w:t>
            </w:r>
          </w:p>
        </w:tc>
        <w:tc>
          <w:tcPr>
            <w:tcW w:w="5134" w:type="dxa"/>
            <w:tcBorders>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一手拇指缺失或一手食指缺失者。</w:t>
            </w:r>
          </w:p>
        </w:tc>
        <w:tc>
          <w:tcPr>
            <w:tcW w:w="821" w:type="dxa"/>
            <w:tcBorders>
              <w:left w:val="single" w:sz="4" w:space="0" w:color="000000"/>
              <w:bottom w:val="single" w:sz="4" w:space="0" w:color="000000"/>
              <w:right w:val="single" w:sz="4" w:space="0" w:color="000000"/>
            </w:tcBorders>
          </w:tcPr>
          <w:p>
            <w:pPr>
              <w:pStyle w:val="TableParagraph"/>
              <w:spacing w:line="241" w:lineRule="exact"/>
              <w:ind w:left="321"/>
              <w:jc w:val="left"/>
              <w:rPr>
                <w:sz w:val="20"/>
              </w:rPr>
            </w:pPr>
            <w:r>
              <w:rPr>
                <w:sz w:val="20"/>
              </w:rPr>
              <w:t>11</w:t>
            </w:r>
          </w:p>
        </w:tc>
        <w:tc>
          <w:tcPr>
            <w:tcW w:w="1132" w:type="dxa"/>
            <w:tcBorders>
              <w:left w:val="single" w:sz="4" w:space="0" w:color="000000"/>
              <w:bottom w:val="single" w:sz="4" w:space="0" w:color="000000"/>
            </w:tcBorders>
          </w:tcPr>
          <w:p>
            <w:pPr>
              <w:pStyle w:val="TableParagraph"/>
              <w:spacing w:line="241" w:lineRule="exact"/>
              <w:ind w:left="159" w:right="110"/>
              <w:rPr>
                <w:sz w:val="20"/>
              </w:rPr>
            </w:pPr>
            <w:r>
              <w:rPr>
                <w:sz w:val="20"/>
              </w:rPr>
              <w:t>5%</w:t>
            </w:r>
          </w:p>
        </w:tc>
      </w:tr>
      <w:tr>
        <w:trPr>
          <w:trHeight w:val="2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8-2-9</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一手拇指及食指以外之任何手指，共有二指以上缺失者。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1"/>
              <w:jc w:val="lef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1"/>
              <w:jc w:val="left"/>
              <w:rPr>
                <w:rFonts w:ascii="Microsoft JhengHei"/>
                <w:b/>
                <w:sz w:val="21"/>
              </w:rPr>
            </w:pPr>
          </w:p>
          <w:p>
            <w:pPr>
              <w:pStyle w:val="TableParagraph"/>
              <w:ind w:left="32"/>
              <w:rPr>
                <w:sz w:val="20"/>
              </w:rPr>
            </w:pPr>
            <w:r>
              <w:rPr>
                <w:sz w:val="20"/>
              </w:rPr>
              <w:t>上肢機能障害</w:t>
            </w:r>
          </w:p>
          <w:p>
            <w:pPr>
              <w:pStyle w:val="TableParagraph"/>
              <w:spacing w:before="3"/>
              <w:ind w:left="32"/>
              <w:rPr>
                <w:sz w:val="20"/>
              </w:rPr>
            </w:pPr>
            <w:r>
              <w:rPr>
                <w:sz w:val="20"/>
              </w:rPr>
              <w:t>（註9）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兩上肢肩、肘及腕關節均永久喪失機能者。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90%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兩上肢肩、肘及腕關節中，各有二大關節永久喪失機能者。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兩上肢肩、肘及腕關節中，各有一大關節永久喪失機能者。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一上肢肩、肘及腕關節均永久喪失機能者。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一上肢肩、肘及腕關節中，有二大關節永久喪失機能者。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8-3-6</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一上肢肩、肘及腕關節中，有一大關節永久喪失機能者。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8-3-7</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兩上肢肩、肘及腕關節均永久遺存顯著運動障害者。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70%</w:t>
            </w:r>
          </w:p>
        </w:tc>
      </w:tr>
      <w:tr>
        <w:trPr>
          <w:trHeight w:val="517"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8-3-8</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jc w:val="left"/>
              <w:rPr>
                <w:sz w:val="20"/>
              </w:rPr>
            </w:pPr>
            <w:r>
              <w:rPr>
                <w:spacing w:val="-2"/>
                <w:w w:val="95"/>
                <w:sz w:val="20"/>
              </w:rPr>
              <w:t>兩上肢肩、肘及腕關節中，各有二大關節永久遺存顯著運動障</w:t>
            </w:r>
          </w:p>
          <w:p>
            <w:pPr>
              <w:pStyle w:val="TableParagraph"/>
              <w:spacing w:line="252" w:lineRule="exact" w:before="3"/>
              <w:ind w:left="22"/>
              <w:jc w:val="left"/>
              <w:rPr>
                <w:sz w:val="20"/>
              </w:rPr>
            </w:pPr>
            <w:r>
              <w:rPr>
                <w:spacing w:val="-3"/>
                <w:w w:val="95"/>
                <w:sz w:val="20"/>
              </w:rPr>
              <w:t>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6"/>
              <w:ind w:left="371"/>
              <w:jc w:val="lef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16"/>
              <w:ind w:left="159" w:right="110"/>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8-3-9</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jc w:val="left"/>
              <w:rPr>
                <w:sz w:val="20"/>
              </w:rPr>
            </w:pPr>
            <w:r>
              <w:rPr>
                <w:spacing w:val="-2"/>
                <w:w w:val="95"/>
                <w:sz w:val="20"/>
              </w:rPr>
              <w:t>兩上肢肩、肘及腕關節中，各有一大關節永久遺存顯著運動障</w:t>
            </w:r>
          </w:p>
          <w:p>
            <w:pPr>
              <w:pStyle w:val="TableParagraph"/>
              <w:spacing w:line="252" w:lineRule="exact" w:before="3"/>
              <w:ind w:left="22"/>
              <w:jc w:val="left"/>
              <w:rPr>
                <w:sz w:val="20"/>
              </w:rPr>
            </w:pPr>
            <w:r>
              <w:rPr>
                <w:spacing w:val="-3"/>
                <w:w w:val="95"/>
                <w:sz w:val="20"/>
              </w:rPr>
              <w:t>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9"/>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19"/>
              <w:ind w:left="159" w:right="110"/>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8-3-10</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一上肢肩、肘及腕關節均永久遺存顯著運動障害者。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7"/>
              <w:ind w:left="116" w:right="83"/>
              <w:rPr>
                <w:sz w:val="20"/>
              </w:rPr>
            </w:pPr>
            <w:r>
              <w:rPr>
                <w:sz w:val="20"/>
              </w:rPr>
              <w:t>8-3-11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
              <w:jc w:val="left"/>
              <w:rPr>
                <w:sz w:val="20"/>
              </w:rPr>
            </w:pPr>
            <w:r>
              <w:rPr>
                <w:spacing w:val="-2"/>
                <w:w w:val="95"/>
                <w:sz w:val="20"/>
              </w:rPr>
              <w:t>一上肢肩、肘及腕關節中，有二大關節永久遺存顯著運動障害</w:t>
            </w:r>
          </w:p>
          <w:p>
            <w:pPr>
              <w:pStyle w:val="TableParagraph"/>
              <w:spacing w:line="254" w:lineRule="exact" w:before="3"/>
              <w:ind w:left="22"/>
              <w:jc w:val="left"/>
              <w:rPr>
                <w:sz w:val="20"/>
              </w:rPr>
            </w:pPr>
            <w:r>
              <w:rPr>
                <w:spacing w:val="-3"/>
                <w:w w:val="95"/>
                <w:sz w:val="20"/>
              </w:rPr>
              <w:t>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7"/>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17"/>
              <w:ind w:left="159" w:right="110"/>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兩上肢肩、肘及腕關節均永久遺存運動障害者。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一上肢肩、肘及腕關節均永久遺存運動障害者。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spacing w:before="5"/>
              <w:jc w:val="left"/>
              <w:rPr>
                <w:rFonts w:ascii="Microsoft JhengHei"/>
                <w:b/>
                <w:sz w:val="23"/>
              </w:rPr>
            </w:pPr>
          </w:p>
          <w:p>
            <w:pPr>
              <w:pStyle w:val="TableParagraph"/>
              <w:ind w:left="32"/>
              <w:rPr>
                <w:sz w:val="20"/>
              </w:rPr>
            </w:pPr>
            <w:r>
              <w:rPr>
                <w:sz w:val="20"/>
              </w:rPr>
              <w:t>手指機能障害</w:t>
            </w:r>
          </w:p>
          <w:p>
            <w:pPr>
              <w:pStyle w:val="TableParagraph"/>
              <w:spacing w:before="5"/>
              <w:ind w:left="30"/>
              <w:rPr>
                <w:sz w:val="20"/>
              </w:rPr>
            </w:pPr>
            <w:r>
              <w:rPr>
                <w:sz w:val="20"/>
              </w:rPr>
              <w:t>（註10）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雙手十指均永久喪失機能者。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雙手兩拇指均永久喪失機能者。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669"/>
              <w:jc w:val="left"/>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一手五指均永久喪失機能者。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一手包含拇指及食指在內，共有四指永久喪失機能者。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jc w:val="left"/>
              <w:rPr>
                <w:sz w:val="20"/>
              </w:rPr>
            </w:pPr>
            <w:r>
              <w:rPr>
                <w:spacing w:val="-2"/>
                <w:w w:val="95"/>
                <w:sz w:val="20"/>
              </w:rPr>
              <w:t>一手拇指及食指永久喪失機能者。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1"/>
              <w:jc w:val="lef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59" w:right="110"/>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8-4-6</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jc w:val="left"/>
              <w:rPr>
                <w:sz w:val="20"/>
              </w:rPr>
            </w:pPr>
            <w:r>
              <w:rPr>
                <w:spacing w:val="-2"/>
                <w:w w:val="95"/>
                <w:sz w:val="20"/>
              </w:rPr>
              <w:t>一手含拇指及食指有三手指以上之機能永久完全喪失者。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jc w:val="lef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59" w:right="110"/>
              <w:rPr>
                <w:sz w:val="20"/>
              </w:rPr>
            </w:pPr>
            <w:r>
              <w:rPr>
                <w:sz w:val="20"/>
              </w:rPr>
              <w:t>20%</w:t>
            </w:r>
          </w:p>
        </w:tc>
      </w:tr>
      <w:tr>
        <w:trPr>
          <w:trHeight w:val="517"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8-4-7</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jc w:val="left"/>
              <w:rPr>
                <w:sz w:val="20"/>
              </w:rPr>
            </w:pPr>
            <w:r>
              <w:rPr>
                <w:spacing w:val="-2"/>
                <w:w w:val="95"/>
                <w:sz w:val="20"/>
              </w:rPr>
              <w:t>一手拇指或食指及其他任何手指，共有三指以上永久喪失機能</w:t>
            </w:r>
          </w:p>
          <w:p>
            <w:pPr>
              <w:pStyle w:val="TableParagraph"/>
              <w:spacing w:line="252" w:lineRule="exact" w:before="3"/>
              <w:ind w:left="22"/>
              <w:jc w:val="left"/>
              <w:rPr>
                <w:sz w:val="20"/>
              </w:rPr>
            </w:pPr>
            <w:r>
              <w:rPr>
                <w:spacing w:val="-3"/>
                <w:w w:val="95"/>
                <w:sz w:val="20"/>
              </w:rPr>
              <w:t>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6"/>
              <w:ind w:left="321"/>
              <w:jc w:val="left"/>
              <w:rPr>
                <w:sz w:val="20"/>
              </w:rPr>
            </w:pPr>
            <w:r>
              <w:rPr>
                <w:sz w:val="20"/>
              </w:rPr>
              <w:t>10</w:t>
            </w:r>
          </w:p>
        </w:tc>
        <w:tc>
          <w:tcPr>
            <w:tcW w:w="1132" w:type="dxa"/>
            <w:tcBorders>
              <w:top w:val="single" w:sz="4" w:space="0" w:color="000000"/>
              <w:left w:val="single" w:sz="4" w:space="0" w:color="000000"/>
              <w:bottom w:val="single" w:sz="4" w:space="0" w:color="000000"/>
            </w:tcBorders>
          </w:tcPr>
          <w:p>
            <w:pPr>
              <w:pStyle w:val="TableParagraph"/>
              <w:spacing w:before="116"/>
              <w:ind w:left="159" w:right="110"/>
              <w:rPr>
                <w:sz w:val="20"/>
              </w:rPr>
            </w:pPr>
            <w:r>
              <w:rPr>
                <w:sz w:val="20"/>
              </w:rPr>
              <w:t>10%</w:t>
            </w:r>
          </w:p>
        </w:tc>
      </w:tr>
      <w:tr>
        <w:trPr>
          <w:trHeight w:val="251" w:hRule="atLeast"/>
        </w:trPr>
        <w:tc>
          <w:tcPr>
            <w:tcW w:w="456" w:type="dxa"/>
            <w:vMerge w:val="restart"/>
            <w:tcBorders>
              <w:top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6"/>
              <w:jc w:val="left"/>
              <w:rPr>
                <w:rFonts w:ascii="Microsoft JhengHei"/>
                <w:b/>
                <w:sz w:val="20"/>
              </w:rPr>
            </w:pPr>
          </w:p>
          <w:p>
            <w:pPr>
              <w:pStyle w:val="TableParagraph"/>
              <w:spacing w:line="244" w:lineRule="auto" w:before="1"/>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14"/>
              </w:rPr>
            </w:pPr>
          </w:p>
          <w:p>
            <w:pPr>
              <w:pStyle w:val="TableParagraph"/>
              <w:ind w:left="48"/>
              <w:jc w:val="left"/>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rPr>
                <w:sz w:val="20"/>
              </w:rPr>
            </w:pPr>
            <w:r>
              <w:rPr>
                <w:sz w:val="20"/>
              </w:rPr>
              <w:t>9-1-1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jc w:val="left"/>
              <w:rPr>
                <w:sz w:val="20"/>
              </w:rPr>
            </w:pPr>
            <w:r>
              <w:rPr>
                <w:spacing w:val="-2"/>
                <w:w w:val="95"/>
                <w:sz w:val="20"/>
              </w:rPr>
              <w:t>兩下肢足踝關節缺失者。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1"/>
              <w:jc w:val="lef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31" w:lineRule="exact"/>
              <w:ind w:left="378"/>
              <w:jc w:val="left"/>
              <w:rPr>
                <w:sz w:val="20"/>
              </w:rPr>
            </w:pPr>
            <w:r>
              <w:rPr>
                <w:sz w:val="20"/>
              </w:rPr>
              <w:t>100%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一下肢髖、膝及足踝關節中，有二大關節以上缺失者。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一下肢足踝關節缺失者。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50%</w:t>
            </w:r>
          </w:p>
        </w:tc>
      </w:tr>
      <w:tr>
        <w:trPr>
          <w:trHeight w:val="500"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47"/>
              <w:jc w:val="left"/>
              <w:rPr>
                <w:sz w:val="20"/>
              </w:rPr>
            </w:pPr>
            <w:r>
              <w:rPr>
                <w:w w:val="95"/>
                <w:sz w:val="20"/>
              </w:rPr>
              <w:t>縮短障害</w:t>
            </w:r>
          </w:p>
          <w:p>
            <w:pPr>
              <w:pStyle w:val="TableParagraph"/>
              <w:spacing w:line="244" w:lineRule="exact" w:before="3"/>
              <w:ind w:left="247"/>
              <w:jc w:val="left"/>
              <w:rPr>
                <w:sz w:val="20"/>
              </w:rPr>
            </w:pPr>
            <w:r>
              <w:rPr>
                <w:w w:val="95"/>
                <w:sz w:val="20"/>
              </w:rPr>
              <w:t>（註11）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9-2-1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before="106"/>
              <w:ind w:left="22"/>
              <w:jc w:val="left"/>
              <w:rPr>
                <w:sz w:val="20"/>
              </w:rPr>
            </w:pPr>
            <w:r>
              <w:rPr>
                <w:spacing w:val="-2"/>
                <w:w w:val="95"/>
                <w:sz w:val="20"/>
              </w:rPr>
              <w:t>一下肢永久縮短五公分以上者。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6"/>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06"/>
              <w:ind w:left="159" w:right="110"/>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2"/>
              <w:rPr>
                <w:sz w:val="20"/>
              </w:rPr>
            </w:pPr>
            <w:r>
              <w:rPr>
                <w:sz w:val="20"/>
              </w:rPr>
              <w:t>足趾缺損障害</w:t>
            </w:r>
          </w:p>
          <w:p>
            <w:pPr>
              <w:pStyle w:val="TableParagraph"/>
              <w:spacing w:line="249" w:lineRule="exact" w:before="3"/>
              <w:ind w:left="30"/>
              <w:rPr>
                <w:sz w:val="20"/>
              </w:rPr>
            </w:pPr>
            <w:r>
              <w:rPr>
                <w:sz w:val="20"/>
              </w:rPr>
              <w:t>（註12）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9-3-1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雙足十趾均缺失者。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9-3-2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一足五趾均缺失者。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7"/>
              <w:jc w:val="left"/>
              <w:rPr>
                <w:rFonts w:ascii="Microsoft JhengHei"/>
                <w:b/>
                <w:sz w:val="20"/>
              </w:rPr>
            </w:pPr>
          </w:p>
          <w:p>
            <w:pPr>
              <w:pStyle w:val="TableParagraph"/>
              <w:ind w:left="32"/>
              <w:rPr>
                <w:sz w:val="20"/>
              </w:rPr>
            </w:pPr>
            <w:r>
              <w:rPr>
                <w:sz w:val="20"/>
              </w:rPr>
              <w:t>下肢機能障害</w:t>
            </w:r>
          </w:p>
          <w:p>
            <w:pPr>
              <w:pStyle w:val="TableParagraph"/>
              <w:spacing w:before="6"/>
              <w:ind w:left="30"/>
              <w:rPr>
                <w:sz w:val="20"/>
              </w:rPr>
            </w:pPr>
            <w:r>
              <w:rPr>
                <w:sz w:val="20"/>
              </w:rPr>
              <w:t>（註13）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兩下肢髖、膝及足踝關節均永久喪失機能者。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90%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兩下肢髖、膝及足踝關節中，各有二大關節永久喪失機能者。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80%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兩下肢髖、膝及足踝關節中，各有一大關節永久喪失機能者。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9-4-4</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一下肢髖、膝及足踝關節均永久喪失機能者。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9-4-5</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一下肢髖、膝及足踝關節中，有二大關節永久喪失機能者。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9-4-6</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一下肢髖、膝及足踝關節中，有一大關節永久喪失機能者。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9-4-7</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兩下肢髖、膝及足踝關節均永久遺存顯著運動障害者。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70%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9-4-8</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jc w:val="left"/>
              <w:rPr>
                <w:sz w:val="20"/>
              </w:rPr>
            </w:pPr>
            <w:r>
              <w:rPr>
                <w:spacing w:val="-2"/>
                <w:w w:val="95"/>
                <w:sz w:val="20"/>
              </w:rPr>
              <w:t>兩下肢髖、膝及足踝關節中，各有二大關節永久遺存顯著運動</w:t>
            </w:r>
          </w:p>
          <w:p>
            <w:pPr>
              <w:pStyle w:val="TableParagraph"/>
              <w:spacing w:line="242" w:lineRule="exact" w:before="6"/>
              <w:ind w:left="22"/>
              <w:jc w:val="left"/>
              <w:rPr>
                <w:sz w:val="20"/>
              </w:rPr>
            </w:pPr>
            <w:r>
              <w:rPr>
                <w:spacing w:val="-3"/>
                <w:w w:val="95"/>
                <w:sz w:val="20"/>
              </w:rPr>
              <w:t>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9"/>
              <w:ind w:left="371"/>
              <w:jc w:val="lef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09"/>
              <w:ind w:left="159" w:right="110"/>
              <w:rPr>
                <w:sz w:val="20"/>
              </w:rPr>
            </w:pPr>
            <w:r>
              <w:rPr>
                <w:sz w:val="20"/>
              </w:rPr>
              <w:t>60%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9-4-9</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jc w:val="left"/>
              <w:rPr>
                <w:sz w:val="20"/>
              </w:rPr>
            </w:pPr>
            <w:r>
              <w:rPr>
                <w:spacing w:val="-2"/>
                <w:w w:val="95"/>
                <w:sz w:val="20"/>
              </w:rPr>
              <w:t>兩下肢髖、膝及足踝關節中，各有一大關節永久遺存顯著運動</w:t>
            </w:r>
          </w:p>
          <w:p>
            <w:pPr>
              <w:pStyle w:val="TableParagraph"/>
              <w:spacing w:line="242" w:lineRule="exact" w:before="5"/>
              <w:ind w:left="22"/>
              <w:jc w:val="left"/>
              <w:rPr>
                <w:sz w:val="20"/>
              </w:rPr>
            </w:pPr>
            <w:r>
              <w:rPr>
                <w:spacing w:val="-3"/>
                <w:w w:val="95"/>
                <w:sz w:val="20"/>
              </w:rPr>
              <w:t>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6"/>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06"/>
              <w:ind w:left="159" w:right="110"/>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rPr>
                <w:sz w:val="20"/>
              </w:rPr>
            </w:pPr>
            <w:r>
              <w:rPr>
                <w:sz w:val="20"/>
              </w:rPr>
              <w:t>9-4-10</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一下肢髖、膝及足踝關節均遺存永久顯著運動障害者。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40%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6" w:right="83"/>
              <w:rPr>
                <w:sz w:val="20"/>
              </w:rPr>
            </w:pPr>
            <w:r>
              <w:rPr>
                <w:sz w:val="20"/>
              </w:rPr>
              <w:t>9-4-11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jc w:val="left"/>
              <w:rPr>
                <w:sz w:val="20"/>
              </w:rPr>
            </w:pPr>
            <w:r>
              <w:rPr>
                <w:spacing w:val="-2"/>
                <w:w w:val="95"/>
                <w:sz w:val="20"/>
              </w:rPr>
              <w:t>一下肢髖、膝及足踝關節中，有二大關節永久遺存顯著運動障</w:t>
            </w:r>
          </w:p>
          <w:p>
            <w:pPr>
              <w:pStyle w:val="TableParagraph"/>
              <w:spacing w:line="242" w:lineRule="exact" w:before="3"/>
              <w:ind w:left="22"/>
              <w:jc w:val="left"/>
              <w:rPr>
                <w:sz w:val="20"/>
              </w:rPr>
            </w:pPr>
            <w:r>
              <w:rPr>
                <w:spacing w:val="-3"/>
                <w:w w:val="95"/>
                <w:sz w:val="20"/>
              </w:rPr>
              <w:t>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9"/>
              <w:ind w:left="371"/>
              <w:jc w:val="lef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09"/>
              <w:ind w:left="159" w:right="110"/>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9-4-12</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兩下肢髖、膝及足踝關節均永久遺存運動障害者。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rPr>
                <w:sz w:val="20"/>
              </w:rPr>
            </w:pPr>
            <w:r>
              <w:rPr>
                <w:sz w:val="20"/>
              </w:rPr>
              <w:t>9-4-13</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jc w:val="left"/>
              <w:rPr>
                <w:sz w:val="20"/>
              </w:rPr>
            </w:pPr>
            <w:r>
              <w:rPr>
                <w:spacing w:val="-2"/>
                <w:w w:val="95"/>
                <w:sz w:val="20"/>
              </w:rPr>
              <w:t>一下肢髖、膝及足踝關節均永久遺存運動障害者。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1"/>
              <w:jc w:val="lef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59" w:right="110"/>
              <w:rPr>
                <w:sz w:val="20"/>
              </w:rPr>
            </w:pPr>
            <w:r>
              <w:rPr>
                <w:sz w:val="20"/>
              </w:rPr>
              <w:t>20%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exact"/>
              <w:ind w:left="32"/>
              <w:rPr>
                <w:sz w:val="20"/>
              </w:rPr>
            </w:pPr>
            <w:r>
              <w:rPr>
                <w:sz w:val="20"/>
              </w:rPr>
              <w:t>足趾機能障害</w:t>
            </w:r>
          </w:p>
          <w:p>
            <w:pPr>
              <w:pStyle w:val="TableParagraph"/>
              <w:spacing w:before="3"/>
              <w:ind w:left="30"/>
              <w:rPr>
                <w:sz w:val="20"/>
              </w:rPr>
            </w:pPr>
            <w:r>
              <w:rPr>
                <w:sz w:val="20"/>
              </w:rPr>
              <w:t>（註14）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9-5-1</w:t>
            </w:r>
          </w:p>
        </w:tc>
        <w:tc>
          <w:tcPr>
            <w:tcW w:w="5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jc w:val="left"/>
              <w:rPr>
                <w:sz w:val="20"/>
              </w:rPr>
            </w:pPr>
            <w:r>
              <w:rPr>
                <w:spacing w:val="-2"/>
                <w:w w:val="95"/>
                <w:sz w:val="20"/>
              </w:rPr>
              <w:t>雙足十趾均永久喪失機能者。</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1"/>
              <w:jc w:val="lef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59" w:right="110"/>
              <w:rPr>
                <w:sz w:val="20"/>
              </w:rPr>
            </w:pPr>
            <w:r>
              <w:rPr>
                <w:sz w:val="20"/>
              </w:rPr>
              <w:t>40%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9-5-2</w:t>
            </w:r>
          </w:p>
        </w:tc>
        <w:tc>
          <w:tcPr>
            <w:tcW w:w="5134" w:type="dxa"/>
            <w:tcBorders>
              <w:top w:val="single" w:sz="4" w:space="0" w:color="000000"/>
              <w:left w:val="single" w:sz="4" w:space="0" w:color="000000"/>
              <w:right w:val="single" w:sz="4" w:space="0" w:color="000000"/>
            </w:tcBorders>
          </w:tcPr>
          <w:p>
            <w:pPr>
              <w:pStyle w:val="TableParagraph"/>
              <w:spacing w:line="228" w:lineRule="exact"/>
              <w:ind w:left="22"/>
              <w:jc w:val="left"/>
              <w:rPr>
                <w:sz w:val="20"/>
              </w:rPr>
            </w:pPr>
            <w:r>
              <w:rPr>
                <w:spacing w:val="-2"/>
                <w:w w:val="95"/>
                <w:sz w:val="20"/>
              </w:rPr>
              <w:t>一足五趾均永久喪失機能者。</w:t>
            </w:r>
          </w:p>
        </w:tc>
        <w:tc>
          <w:tcPr>
            <w:tcW w:w="821" w:type="dxa"/>
            <w:tcBorders>
              <w:top w:val="single" w:sz="4" w:space="0" w:color="000000"/>
              <w:left w:val="single" w:sz="4" w:space="0" w:color="000000"/>
              <w:right w:val="single" w:sz="4" w:space="0" w:color="000000"/>
            </w:tcBorders>
          </w:tcPr>
          <w:p>
            <w:pPr>
              <w:pStyle w:val="TableParagraph"/>
              <w:spacing w:line="228" w:lineRule="exact"/>
              <w:ind w:left="371"/>
              <w:jc w:val="left"/>
              <w:rPr>
                <w:sz w:val="20"/>
              </w:rPr>
            </w:pPr>
            <w:r>
              <w:rPr>
                <w:w w:val="99"/>
                <w:sz w:val="20"/>
              </w:rPr>
              <w:t>9</w:t>
            </w:r>
          </w:p>
        </w:tc>
        <w:tc>
          <w:tcPr>
            <w:tcW w:w="1132" w:type="dxa"/>
            <w:tcBorders>
              <w:top w:val="single" w:sz="4" w:space="0" w:color="000000"/>
              <w:left w:val="single" w:sz="4" w:space="0" w:color="000000"/>
            </w:tcBorders>
          </w:tcPr>
          <w:p>
            <w:pPr>
              <w:pStyle w:val="TableParagraph"/>
              <w:spacing w:line="228" w:lineRule="exact"/>
              <w:ind w:left="159" w:right="110"/>
              <w:rPr>
                <w:sz w:val="20"/>
              </w:rPr>
            </w:pPr>
            <w:r>
              <w:rPr>
                <w:sz w:val="20"/>
              </w:rPr>
              <w:t>20%</w:t>
            </w:r>
          </w:p>
        </w:tc>
      </w:tr>
    </w:tbl>
    <w:p>
      <w:pPr>
        <w:rPr>
          <w:sz w:val="2"/>
          <w:szCs w:val="2"/>
        </w:rPr>
      </w:pPr>
      <w:r>
        <w:rPr/>
        <w:drawing>
          <wp:anchor distT="0" distB="0" distL="0" distR="0" allowOverlap="1" layoutInCell="1" locked="0" behindDoc="1" simplePos="0" relativeHeight="486297088">
            <wp:simplePos x="0" y="0"/>
            <wp:positionH relativeFrom="page">
              <wp:posOffset>2872165</wp:posOffset>
            </wp:positionH>
            <wp:positionV relativeFrom="page">
              <wp:posOffset>3137609</wp:posOffset>
            </wp:positionV>
            <wp:extent cx="1838868" cy="443344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8868" cy="4433441"/>
                    </a:xfrm>
                    <a:prstGeom prst="rect">
                      <a:avLst/>
                    </a:prstGeom>
                  </pic:spPr>
                </pic:pic>
              </a:graphicData>
            </a:graphic>
          </wp:anchor>
        </w:drawing>
      </w:r>
    </w:p>
    <w:p>
      <w:pPr>
        <w:spacing w:after="0"/>
        <w:rPr>
          <w:sz w:val="2"/>
          <w:szCs w:val="2"/>
        </w:rPr>
        <w:sectPr>
          <w:pgSz w:w="11910" w:h="16850"/>
          <w:pgMar w:header="0" w:footer="775" w:top="1420" w:bottom="960" w:left="980" w:right="1000"/>
        </w:sectPr>
      </w:pPr>
    </w:p>
    <w:p>
      <w:pPr>
        <w:spacing w:line="328"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註1：</w:t>
      </w:r>
    </w:p>
    <w:p>
      <w:pPr>
        <w:pStyle w:val="BodyText"/>
        <w:spacing w:line="235" w:lineRule="exact"/>
        <w:ind w:left="152"/>
      </w:pPr>
      <w:r>
        <w:rPr/>
        <w:t>1-1.於審定「神經障害等級」時，須有精神科、神經科、神經外科或復健科專科醫師診斷證明及相關檢驗報告</w:t>
      </w:r>
    </w:p>
    <w:p>
      <w:pPr>
        <w:pStyle w:val="BodyText"/>
        <w:spacing w:line="244" w:lineRule="auto" w:before="3"/>
        <w:ind w:left="436" w:right="131"/>
        <w:jc w:val="both"/>
      </w:pPr>
      <w:r>
        <w:rPr/>
        <w:t>（如簡式智能評估表(MMSE)、失能評估表(modified</w:t>
      </w:r>
      <w:r>
        <w:rPr>
          <w:spacing w:val="10"/>
        </w:rPr>
        <w:t> </w:t>
      </w:r>
      <w:r>
        <w:rPr/>
        <w:t>Rankin</w:t>
      </w:r>
      <w:r>
        <w:rPr>
          <w:spacing w:val="10"/>
        </w:rPr>
        <w:t> </w:t>
      </w:r>
      <w:r>
        <w:rPr/>
        <w:t>Scale</w:t>
      </w:r>
      <w:r>
        <w:rPr>
          <w:spacing w:val="5"/>
        </w:rPr>
        <w:t>, </w:t>
      </w:r>
      <w:r>
        <w:rPr/>
        <w:t>mRS)、臨床失智評估量表(CDR)、神經</w:t>
      </w:r>
      <w:r>
        <w:rPr>
          <w:w w:val="95"/>
        </w:rPr>
        <w:t>電生理檢查報告、神經系統影像檢查報告及相符之診斷檢查報告等）資料為依據，必要時保險人得另行指</w:t>
      </w:r>
      <w:r>
        <w:rPr>
          <w:spacing w:val="111"/>
        </w:rPr>
        <w:t> </w:t>
      </w:r>
      <w:r>
        <w:rPr>
          <w:spacing w:val="112"/>
        </w:rPr>
        <w:t> </w:t>
      </w:r>
      <w:r>
        <w:rPr/>
        <w:t>定專科醫師會同認定。</w:t>
      </w:r>
    </w:p>
    <w:p>
      <w:pPr>
        <w:pStyle w:val="ListParagraph"/>
        <w:numPr>
          <w:ilvl w:val="0"/>
          <w:numId w:val="2"/>
        </w:numPr>
        <w:tabs>
          <w:tab w:pos="655" w:val="left" w:leader="none"/>
        </w:tabs>
        <w:spacing w:line="252" w:lineRule="exact" w:before="0" w:after="0"/>
        <w:ind w:left="654" w:right="0" w:hanging="503"/>
        <w:jc w:val="left"/>
        <w:rPr>
          <w:sz w:val="20"/>
        </w:rPr>
      </w:pPr>
      <w:r>
        <w:rPr>
          <w:w w:val="95"/>
          <w:sz w:val="20"/>
        </w:rPr>
        <w:t>「為維持生命必要之日常生活活動」係指食物攝取、大小便始末、穿脫衣服、起居、步行、入浴等。</w:t>
      </w:r>
    </w:p>
    <w:p>
      <w:pPr>
        <w:pStyle w:val="ListParagraph"/>
        <w:numPr>
          <w:ilvl w:val="0"/>
          <w:numId w:val="2"/>
        </w:numPr>
        <w:tabs>
          <w:tab w:pos="665" w:val="left" w:leader="none"/>
        </w:tabs>
        <w:spacing w:line="242" w:lineRule="auto" w:before="5" w:after="0"/>
        <w:ind w:left="652" w:right="139" w:hanging="500"/>
        <w:jc w:val="both"/>
        <w:rPr>
          <w:sz w:val="20"/>
        </w:rPr>
      </w:pPr>
      <w:r>
        <w:rPr>
          <w:w w:val="95"/>
          <w:sz w:val="20"/>
        </w:rPr>
        <w:t>有失語、失認、失行等之病灶症狀、四肢麻痺、錐體外路症狀、記憶力障害、知覺障害、感情障害、意</w:t>
      </w:r>
      <w:r>
        <w:rPr>
          <w:spacing w:val="93"/>
          <w:sz w:val="20"/>
        </w:rPr>
        <w:t> </w:t>
      </w:r>
      <w:r>
        <w:rPr>
          <w:spacing w:val="94"/>
          <w:sz w:val="20"/>
        </w:rPr>
        <w:t> </w:t>
      </w:r>
      <w:r>
        <w:rPr>
          <w:w w:val="95"/>
          <w:sz w:val="20"/>
        </w:rPr>
        <w:t>欲減退、人格變化等顯著障害；或者麻痺等症狀，雖為輕度，身體能力仍存，但非他人在身邊指示，無</w:t>
      </w:r>
      <w:r>
        <w:rPr>
          <w:spacing w:val="94"/>
          <w:sz w:val="20"/>
        </w:rPr>
        <w:t> </w:t>
      </w:r>
      <w:r>
        <w:rPr>
          <w:spacing w:val="95"/>
          <w:sz w:val="20"/>
        </w:rPr>
        <w:t> </w:t>
      </w:r>
      <w:r>
        <w:rPr>
          <w:sz w:val="20"/>
        </w:rPr>
        <w:t>法遂行其工作者：適用第3級。</w:t>
      </w:r>
    </w:p>
    <w:p>
      <w:pPr>
        <w:pStyle w:val="ListParagraph"/>
        <w:numPr>
          <w:ilvl w:val="0"/>
          <w:numId w:val="2"/>
        </w:numPr>
        <w:tabs>
          <w:tab w:pos="665" w:val="left" w:leader="none"/>
        </w:tabs>
        <w:spacing w:line="242" w:lineRule="auto" w:before="4" w:after="0"/>
        <w:ind w:left="652" w:right="128" w:hanging="500"/>
        <w:jc w:val="both"/>
        <w:rPr>
          <w:sz w:val="20"/>
        </w:rPr>
      </w:pPr>
      <w:r>
        <w:rPr>
          <w:w w:val="95"/>
          <w:sz w:val="20"/>
        </w:rPr>
        <w:t>中樞神經系統障害，例如無知覺障害之錐體路及錐體外路症狀之輕度麻痺，依影像檢查始可證明之輕度</w:t>
      </w:r>
      <w:r>
        <w:rPr>
          <w:spacing w:val="274"/>
          <w:sz w:val="20"/>
        </w:rPr>
        <w:t> </w:t>
      </w:r>
      <w:r>
        <w:rPr>
          <w:sz w:val="20"/>
        </w:rPr>
        <w:t>腦萎縮、腦波異常等屬之，此等症狀須據專科醫師檢查、診斷之結果審定之。</w:t>
      </w:r>
    </w:p>
    <w:p>
      <w:pPr>
        <w:pStyle w:val="ListParagraph"/>
        <w:numPr>
          <w:ilvl w:val="0"/>
          <w:numId w:val="2"/>
        </w:numPr>
        <w:tabs>
          <w:tab w:pos="665" w:val="left" w:leader="none"/>
        </w:tabs>
        <w:spacing w:line="244" w:lineRule="auto" w:before="0" w:after="0"/>
        <w:ind w:left="652" w:right="139" w:hanging="500"/>
        <w:jc w:val="left"/>
        <w:rPr>
          <w:sz w:val="20"/>
        </w:rPr>
      </w:pPr>
      <w:r>
        <w:rPr>
          <w:w w:val="95"/>
          <w:sz w:val="20"/>
        </w:rPr>
        <w:t>中樞神經系統之頹廢症狀如發生於中樞神經系統以外之機能障害，應按其發現部位所定等級定之，如障</w:t>
      </w:r>
      <w:r>
        <w:rPr>
          <w:spacing w:val="278"/>
          <w:sz w:val="20"/>
        </w:rPr>
        <w:t> </w:t>
      </w:r>
      <w:r>
        <w:rPr>
          <w:sz w:val="20"/>
        </w:rPr>
        <w:t>害同時併存時，應綜合其全部症狀擇一等級定之，等級不同者，應按其中較重者定其等級。</w:t>
      </w:r>
    </w:p>
    <w:p>
      <w:pPr>
        <w:pStyle w:val="BodyText"/>
        <w:spacing w:line="242" w:lineRule="auto"/>
        <w:ind w:left="554" w:right="138" w:hanging="402"/>
      </w:pPr>
      <w:r>
        <w:rPr/>
        <w:drawing>
          <wp:anchor distT="0" distB="0" distL="0" distR="0" allowOverlap="1" layoutInCell="1" locked="0" behindDoc="1" simplePos="0" relativeHeight="486297600">
            <wp:simplePos x="0" y="0"/>
            <wp:positionH relativeFrom="page">
              <wp:posOffset>2872165</wp:posOffset>
            </wp:positionH>
            <wp:positionV relativeFrom="paragraph">
              <wp:posOffset>97483</wp:posOffset>
            </wp:positionV>
            <wp:extent cx="1838868" cy="443344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8868" cy="4433441"/>
                    </a:xfrm>
                    <a:prstGeom prst="rect">
                      <a:avLst/>
                    </a:prstGeom>
                  </pic:spPr>
                </pic:pic>
              </a:graphicData>
            </a:graphic>
          </wp:anchor>
        </w:drawing>
      </w:r>
      <w:r>
        <w:rPr>
          <w:w w:val="95"/>
        </w:rPr>
        <w:t>1-2.「平衡機能障害與聽力障害」等級之審定：因頭部損傷引起聽力障害與平衡機能障害同時併存時，須綜合</w:t>
      </w:r>
      <w:r>
        <w:rPr>
          <w:spacing w:val="221"/>
        </w:rPr>
        <w:t> </w:t>
      </w:r>
      <w:r>
        <w:rPr/>
        <w:t>其障害狀況定其等級。</w:t>
      </w:r>
    </w:p>
    <w:p>
      <w:pPr>
        <w:pStyle w:val="BodyText"/>
        <w:spacing w:line="242" w:lineRule="auto" w:before="2"/>
        <w:ind w:left="554" w:right="135" w:hanging="402"/>
        <w:jc w:val="both"/>
      </w:pPr>
      <w:r>
        <w:rPr>
          <w:w w:val="95"/>
        </w:rPr>
        <w:t>1-3.「外傷性癲癇」障害等級之審定：癲癇發作，同時應重視因反復發作致性格變化而終至失智、人格崩壞，</w:t>
      </w:r>
      <w:r>
        <w:rPr>
          <w:spacing w:val="234"/>
        </w:rPr>
        <w:t> </w:t>
      </w:r>
      <w:r>
        <w:rPr>
          <w:w w:val="95"/>
        </w:rPr>
        <w:t>即成癲癇性精神病狀態者，依附註1-1原則審定之。癲癇症狀之固定時期，應以經專科醫師之治療，認為</w:t>
      </w:r>
      <w:r>
        <w:rPr>
          <w:spacing w:val="98"/>
        </w:rPr>
        <w:t> </w:t>
      </w:r>
      <w:r>
        <w:rPr>
          <w:spacing w:val="99"/>
        </w:rPr>
        <w:t> </w:t>
      </w:r>
      <w:r>
        <w:rPr/>
        <w:t>不能期待醫療效果時，及因治療致症狀安定者為準，不論其發作型態，依下列標準審定之：</w:t>
      </w:r>
    </w:p>
    <w:p>
      <w:pPr>
        <w:pStyle w:val="ListParagraph"/>
        <w:numPr>
          <w:ilvl w:val="0"/>
          <w:numId w:val="3"/>
        </w:numPr>
        <w:tabs>
          <w:tab w:pos="655" w:val="left" w:leader="none"/>
        </w:tabs>
        <w:spacing w:line="240" w:lineRule="auto" w:before="4" w:after="0"/>
        <w:ind w:left="654" w:right="0" w:hanging="503"/>
        <w:jc w:val="left"/>
        <w:rPr>
          <w:sz w:val="20"/>
        </w:rPr>
      </w:pPr>
      <w:r>
        <w:rPr>
          <w:w w:val="95"/>
          <w:sz w:val="20"/>
        </w:rPr>
        <w:t>雖經充分治療，每週仍有一次以上發作者：適用第3級。</w:t>
      </w:r>
    </w:p>
    <w:p>
      <w:pPr>
        <w:pStyle w:val="ListParagraph"/>
        <w:numPr>
          <w:ilvl w:val="0"/>
          <w:numId w:val="3"/>
        </w:numPr>
        <w:tabs>
          <w:tab w:pos="655" w:val="left" w:leader="none"/>
        </w:tabs>
        <w:spacing w:line="240" w:lineRule="auto" w:before="3" w:after="0"/>
        <w:ind w:left="654" w:right="0" w:hanging="503"/>
        <w:jc w:val="left"/>
        <w:rPr>
          <w:sz w:val="20"/>
        </w:rPr>
      </w:pPr>
      <w:r>
        <w:rPr>
          <w:w w:val="95"/>
          <w:sz w:val="20"/>
        </w:rPr>
        <w:t>雖經充分治療，每月仍有一次以上發作者：適用第7級。</w:t>
      </w:r>
    </w:p>
    <w:p>
      <w:pPr>
        <w:pStyle w:val="BodyText"/>
        <w:spacing w:line="244" w:lineRule="auto" w:before="3"/>
        <w:ind w:left="453" w:right="138" w:hanging="301"/>
      </w:pPr>
      <w:r>
        <w:rPr>
          <w:w w:val="95"/>
        </w:rPr>
        <w:t>1-4.「眩暈及平衡機能障害」等級之審定：頭部外傷後或因中樞神經系統受損引起之眩暈及平衡機能障害，不</w:t>
      </w:r>
      <w:r>
        <w:rPr>
          <w:spacing w:val="221"/>
        </w:rPr>
        <w:t> </w:t>
      </w:r>
      <w:r>
        <w:rPr/>
        <w:t>單由於內耳障害引起，因小腦、腦幹部、額葉等中樞神經系之障害發現者亦不少，其審定標準如次：</w:t>
      </w:r>
    </w:p>
    <w:p>
      <w:pPr>
        <w:pStyle w:val="ListParagraph"/>
        <w:numPr>
          <w:ilvl w:val="0"/>
          <w:numId w:val="4"/>
        </w:numPr>
        <w:tabs>
          <w:tab w:pos="658" w:val="left" w:leader="none"/>
        </w:tabs>
        <w:spacing w:line="242" w:lineRule="auto" w:before="0" w:after="0"/>
        <w:ind w:left="652" w:right="132" w:hanging="500"/>
        <w:jc w:val="left"/>
        <w:rPr>
          <w:sz w:val="20"/>
        </w:rPr>
      </w:pPr>
      <w:r>
        <w:rPr>
          <w:w w:val="95"/>
          <w:sz w:val="20"/>
        </w:rPr>
        <w:t>為維持生命必要之日常生活活動仍有可能，但因高度平衡機能障害，終身不能從事任何工作者：適用第3</w:t>
      </w:r>
      <w:r>
        <w:rPr>
          <w:spacing w:val="197"/>
          <w:sz w:val="20"/>
        </w:rPr>
        <w:t> </w:t>
      </w:r>
      <w:r>
        <w:rPr>
          <w:sz w:val="20"/>
        </w:rPr>
        <w:t>級。</w:t>
      </w:r>
    </w:p>
    <w:p>
      <w:pPr>
        <w:pStyle w:val="ListParagraph"/>
        <w:numPr>
          <w:ilvl w:val="0"/>
          <w:numId w:val="4"/>
        </w:numPr>
        <w:tabs>
          <w:tab w:pos="655" w:val="left" w:leader="none"/>
        </w:tabs>
        <w:spacing w:line="240" w:lineRule="auto" w:before="1" w:after="0"/>
        <w:ind w:left="654" w:right="0" w:hanging="503"/>
        <w:jc w:val="left"/>
        <w:rPr>
          <w:sz w:val="20"/>
        </w:rPr>
      </w:pPr>
      <w:r>
        <w:rPr>
          <w:w w:val="95"/>
          <w:sz w:val="20"/>
        </w:rPr>
        <w:t>因中等度平衡機能障害、勞動能力較一般平常人顯明低下者：適用第7級。</w:t>
      </w:r>
    </w:p>
    <w:p>
      <w:pPr>
        <w:pStyle w:val="BodyText"/>
        <w:spacing w:line="242" w:lineRule="auto" w:before="3"/>
        <w:ind w:left="554" w:right="138" w:hanging="402"/>
      </w:pPr>
      <w:r>
        <w:rPr>
          <w:w w:val="95"/>
        </w:rPr>
        <w:t>1-5.「外傷性脊髓障害」等級之審定，依其損傷之程度發現四肢等之運動障害、知覺障害、腸管障害、尿路障</w:t>
      </w:r>
      <w:r>
        <w:rPr>
          <w:spacing w:val="221"/>
        </w:rPr>
        <w:t> </w:t>
      </w:r>
      <w:r>
        <w:rPr/>
        <w:t>害、生殖器障害等，依附註1-1之原則，綜合其症狀選用合適等級。</w:t>
      </w:r>
    </w:p>
    <w:p>
      <w:pPr>
        <w:pStyle w:val="BodyText"/>
        <w:spacing w:line="242" w:lineRule="auto" w:before="3"/>
        <w:ind w:left="554" w:right="138" w:hanging="402"/>
      </w:pPr>
      <w:r>
        <w:rPr>
          <w:w w:val="95"/>
        </w:rPr>
        <w:t>1-6.「一氧化碳中毒後遺症」障害等級之審定：一氧化碳中毒後遺症障害之審定，綜合其所遺諸症候，按照附</w:t>
      </w:r>
      <w:r>
        <w:rPr>
          <w:spacing w:val="221"/>
        </w:rPr>
        <w:t> </w:t>
      </w:r>
      <w:r>
        <w:rPr/>
        <w:t>註說明精神、神經障害等級之審定基本原則判斷，定其等級。</w:t>
      </w:r>
    </w:p>
    <w:p>
      <w:pPr>
        <w:pStyle w:val="BodyText"/>
        <w:spacing w:before="4"/>
        <w:rPr>
          <w:sz w:val="15"/>
        </w:rPr>
      </w:pPr>
    </w:p>
    <w:p>
      <w:pPr>
        <w:pStyle w:val="Heading1"/>
        <w:spacing w:before="1"/>
      </w:pPr>
      <w:r>
        <w:rPr/>
        <w:t>註2：</w:t>
      </w:r>
    </w:p>
    <w:p>
      <w:pPr>
        <w:pStyle w:val="BodyText"/>
        <w:spacing w:line="235" w:lineRule="exact"/>
        <w:ind w:left="152"/>
      </w:pPr>
      <w:r>
        <w:rPr/>
        <w:t>2-1.「視力」之測定：</w:t>
      </w:r>
    </w:p>
    <w:p>
      <w:pPr>
        <w:pStyle w:val="ListParagraph"/>
        <w:numPr>
          <w:ilvl w:val="1"/>
          <w:numId w:val="4"/>
        </w:numPr>
        <w:tabs>
          <w:tab w:pos="556" w:val="left" w:leader="none"/>
        </w:tabs>
        <w:spacing w:line="244" w:lineRule="auto" w:before="2" w:after="0"/>
        <w:ind w:left="253" w:right="2571" w:firstLine="0"/>
        <w:jc w:val="left"/>
        <w:rPr>
          <w:sz w:val="20"/>
        </w:rPr>
      </w:pPr>
      <w:r>
        <w:rPr>
          <w:w w:val="95"/>
          <w:sz w:val="20"/>
        </w:rPr>
        <w:t>應用萬國式視力表以矯正後視力為準，但矯正不能者，得以裸眼視力測定之。</w:t>
      </w:r>
      <w:r>
        <w:rPr>
          <w:spacing w:val="1"/>
          <w:w w:val="95"/>
          <w:sz w:val="20"/>
        </w:rPr>
        <w:t> </w:t>
      </w:r>
      <w:r>
        <w:rPr>
          <w:sz w:val="20"/>
        </w:rPr>
        <w:t>(2)視力障害之測定，必要時須通過「測盲(Malingering)」檢查。</w:t>
      </w:r>
    </w:p>
    <w:p>
      <w:pPr>
        <w:pStyle w:val="BodyText"/>
        <w:spacing w:line="242" w:lineRule="auto"/>
        <w:ind w:left="580" w:right="135" w:hanging="428"/>
      </w:pPr>
      <w:r>
        <w:rPr>
          <w:w w:val="95"/>
        </w:rPr>
        <w:t>2-2.「失明」係指視力永久在萬國式視力表0.02以下而言，並包括眼球喪失、摘出、僅能辨明暗或辨眼前一公</w:t>
      </w:r>
      <w:r>
        <w:rPr>
          <w:spacing w:val="224"/>
        </w:rPr>
        <w:t> </w:t>
      </w:r>
      <w:r>
        <w:rPr/>
        <w:t>尺以內手動或辨眼前五公分以內指數者。</w:t>
      </w:r>
    </w:p>
    <w:p>
      <w:pPr>
        <w:pStyle w:val="BodyText"/>
        <w:spacing w:before="2"/>
        <w:ind w:left="152"/>
      </w:pPr>
      <w:r>
        <w:rPr/>
        <w:t>2-3.以自傷害之日起經過六個月的治療為判定原則，但眼球摘出等明顯無法復原之情況，不在此限。</w:t>
      </w:r>
    </w:p>
    <w:p>
      <w:pPr>
        <w:pStyle w:val="BodyText"/>
        <w:spacing w:before="3"/>
        <w:rPr>
          <w:sz w:val="15"/>
        </w:rPr>
      </w:pPr>
    </w:p>
    <w:p>
      <w:pPr>
        <w:pStyle w:val="Heading1"/>
        <w:spacing w:line="348" w:lineRule="exact" w:before="1"/>
      </w:pPr>
      <w:r>
        <w:rPr/>
        <w:t>註3：</w:t>
      </w:r>
    </w:p>
    <w:p>
      <w:pPr>
        <w:pStyle w:val="BodyText"/>
        <w:spacing w:line="236" w:lineRule="exact"/>
        <w:ind w:left="152"/>
      </w:pPr>
      <w:r>
        <w:rPr/>
        <w:t>3-1.兩耳聽覺障害程度不同時，應將優耳之聽覺障害審定之。</w:t>
      </w:r>
    </w:p>
    <w:p>
      <w:pPr>
        <w:pStyle w:val="BodyText"/>
        <w:spacing w:before="3"/>
        <w:ind w:left="152"/>
      </w:pPr>
      <w:r>
        <w:rPr/>
        <w:t>3-2.聽覺障害之測定，需用精密聽力計(Audiometer)行之，其平均聽力喪失率以分貝表示之。</w:t>
      </w:r>
    </w:p>
    <w:p>
      <w:pPr>
        <w:pStyle w:val="BodyText"/>
        <w:spacing w:before="3"/>
        <w:ind w:left="152"/>
      </w:pPr>
      <w:r>
        <w:rPr/>
        <w:t>3-3.內耳損傷引起平衡機能障害之審定，準用神經障害所定等級，按其障害之程度審定之。</w:t>
      </w:r>
    </w:p>
    <w:p>
      <w:pPr>
        <w:pStyle w:val="BodyText"/>
        <w:spacing w:before="6"/>
        <w:rPr>
          <w:sz w:val="15"/>
        </w:rPr>
      </w:pPr>
    </w:p>
    <w:p>
      <w:pPr>
        <w:pStyle w:val="Heading1"/>
        <w:spacing w:before="1"/>
      </w:pPr>
      <w:r>
        <w:rPr/>
        <w:t>註4：</w:t>
      </w:r>
    </w:p>
    <w:p>
      <w:pPr>
        <w:pStyle w:val="BodyText"/>
        <w:spacing w:line="235" w:lineRule="exact"/>
        <w:ind w:left="152"/>
      </w:pPr>
      <w:r>
        <w:rPr/>
        <w:t>4-1.「鼻部缺損」，係指鼻軟骨二分之一以上缺損之程度。</w:t>
      </w:r>
    </w:p>
    <w:p>
      <w:pPr>
        <w:pStyle w:val="BodyText"/>
        <w:spacing w:before="5"/>
        <w:ind w:left="152"/>
      </w:pPr>
      <w:r>
        <w:rPr/>
        <w:t>4-2.「機能永久遺存顯著障害」，係指兩側鼻孔閉塞、鼻呼吸困難、不能矯治，或兩側嗅覺完全喪失者。</w:t>
      </w:r>
    </w:p>
    <w:p>
      <w:pPr>
        <w:pStyle w:val="BodyText"/>
        <w:spacing w:before="4"/>
        <w:rPr>
          <w:sz w:val="15"/>
        </w:rPr>
      </w:pPr>
    </w:p>
    <w:p>
      <w:pPr>
        <w:pStyle w:val="Heading1"/>
        <w:spacing w:line="348" w:lineRule="exact"/>
      </w:pPr>
      <w:r>
        <w:rPr/>
        <w:t>註5：</w:t>
      </w:r>
    </w:p>
    <w:p>
      <w:pPr>
        <w:pStyle w:val="BodyText"/>
        <w:spacing w:line="236" w:lineRule="exact"/>
        <w:ind w:left="152"/>
      </w:pPr>
      <w:r>
        <w:rPr/>
        <w:t>5-1.咀嚼機能發生障害，係專指由於牙齒以外之原因（如頰、舌、軟硬口蓋、顎骨、下顎關節等之障害），所</w:t>
      </w:r>
    </w:p>
    <w:p>
      <w:pPr>
        <w:pStyle w:val="BodyText"/>
        <w:spacing w:line="242" w:lineRule="auto" w:before="3"/>
        <w:ind w:left="554" w:right="139"/>
      </w:pPr>
      <w:r>
        <w:rPr>
          <w:w w:val="95"/>
        </w:rPr>
        <w:t>引起者。食道狹窄、舌異常、咽喉頭支配神經麻痺等引起之吞嚥障害，往往併發咀嚼機能障害，故兩項障</w:t>
      </w:r>
      <w:r>
        <w:rPr>
          <w:spacing w:val="198"/>
        </w:rPr>
        <w:t> </w:t>
      </w:r>
      <w:r>
        <w:rPr/>
        <w:t>害合併定為「咀嚼、吞嚥障害」：</w:t>
      </w:r>
    </w:p>
    <w:p>
      <w:pPr>
        <w:pStyle w:val="ListParagraph"/>
        <w:numPr>
          <w:ilvl w:val="0"/>
          <w:numId w:val="5"/>
        </w:numPr>
        <w:tabs>
          <w:tab w:pos="658" w:val="left" w:leader="none"/>
        </w:tabs>
        <w:spacing w:line="242" w:lineRule="auto" w:before="3" w:after="0"/>
        <w:ind w:left="554" w:right="138" w:hanging="402"/>
        <w:jc w:val="left"/>
        <w:rPr>
          <w:sz w:val="20"/>
        </w:rPr>
      </w:pPr>
      <w:r>
        <w:rPr>
          <w:w w:val="95"/>
          <w:sz w:val="20"/>
        </w:rPr>
        <w:t>「喪失咀嚼、吞嚥之機能」,係指因器質障害或機能障害，以致不能作咀嚼、吞嚥運動，除流質食物外，</w:t>
      </w:r>
      <w:r>
        <w:rPr>
          <w:spacing w:val="191"/>
          <w:sz w:val="20"/>
        </w:rPr>
        <w:t> </w:t>
      </w:r>
      <w:r>
        <w:rPr>
          <w:sz w:val="20"/>
        </w:rPr>
        <w:t>不能攝取或吞嚥者。</w:t>
      </w:r>
    </w:p>
    <w:p>
      <w:pPr>
        <w:spacing w:after="0" w:line="242" w:lineRule="auto"/>
        <w:jc w:val="left"/>
        <w:rPr>
          <w:sz w:val="20"/>
        </w:rPr>
        <w:sectPr>
          <w:pgSz w:w="11910" w:h="16850"/>
          <w:pgMar w:header="0" w:footer="775" w:top="1360" w:bottom="960" w:left="980" w:right="1000"/>
        </w:sectPr>
      </w:pPr>
    </w:p>
    <w:p>
      <w:pPr>
        <w:pStyle w:val="ListParagraph"/>
        <w:numPr>
          <w:ilvl w:val="0"/>
          <w:numId w:val="5"/>
        </w:numPr>
        <w:tabs>
          <w:tab w:pos="658" w:val="left" w:leader="none"/>
        </w:tabs>
        <w:spacing w:line="242" w:lineRule="auto" w:before="47" w:after="0"/>
        <w:ind w:left="554" w:right="138" w:hanging="402"/>
        <w:jc w:val="left"/>
        <w:rPr>
          <w:sz w:val="20"/>
        </w:rPr>
      </w:pPr>
      <w:r>
        <w:rPr>
          <w:w w:val="95"/>
          <w:sz w:val="20"/>
        </w:rPr>
        <w:t>「咀嚼、吞嚥機能遺存顯著障害」,係指不能充分作咀嚼、吞嚥運動，致除粥、糊、或類似之食物以外，</w:t>
      </w:r>
      <w:r>
        <w:rPr>
          <w:spacing w:val="191"/>
          <w:sz w:val="20"/>
        </w:rPr>
        <w:t> </w:t>
      </w:r>
      <w:r>
        <w:rPr>
          <w:sz w:val="20"/>
        </w:rPr>
        <w:t>不能攝取或吞嚥者。</w:t>
      </w:r>
    </w:p>
    <w:p>
      <w:pPr>
        <w:pStyle w:val="BodyText"/>
        <w:spacing w:before="1"/>
        <w:ind w:left="152"/>
      </w:pPr>
      <w:r>
        <w:rPr/>
        <w:t>5-2.言語機能障害，係指由於牙齒損傷以外之原因引起之構音機能障害、發聲機能障害及綴音機能障害等：</w:t>
      </w:r>
    </w:p>
    <w:p>
      <w:pPr>
        <w:pStyle w:val="ListParagraph"/>
        <w:numPr>
          <w:ilvl w:val="0"/>
          <w:numId w:val="6"/>
        </w:numPr>
        <w:tabs>
          <w:tab w:pos="665" w:val="left" w:leader="none"/>
        </w:tabs>
        <w:spacing w:line="242" w:lineRule="auto" w:before="5" w:after="0"/>
        <w:ind w:left="554" w:right="139" w:hanging="402"/>
        <w:jc w:val="left"/>
        <w:rPr>
          <w:sz w:val="20"/>
        </w:rPr>
      </w:pPr>
      <w:r>
        <w:rPr>
          <w:w w:val="95"/>
          <w:sz w:val="20"/>
        </w:rPr>
        <w:t>「喪失言語機能障害」，係指後列構成語言之口唇音、齒舌音、口蓋音、喉頭音等之四種語音機能中，</w:t>
      </w:r>
      <w:r>
        <w:rPr>
          <w:spacing w:val="278"/>
          <w:sz w:val="20"/>
        </w:rPr>
        <w:t> </w:t>
      </w:r>
      <w:r>
        <w:rPr>
          <w:sz w:val="20"/>
        </w:rPr>
        <w:t>有三種以上不能構音者。</w:t>
      </w:r>
    </w:p>
    <w:p>
      <w:pPr>
        <w:pStyle w:val="ListParagraph"/>
        <w:numPr>
          <w:ilvl w:val="0"/>
          <w:numId w:val="6"/>
        </w:numPr>
        <w:tabs>
          <w:tab w:pos="665" w:val="left" w:leader="none"/>
        </w:tabs>
        <w:spacing w:line="244" w:lineRule="auto" w:before="1" w:after="0"/>
        <w:ind w:left="554" w:right="130" w:hanging="402"/>
        <w:jc w:val="left"/>
        <w:rPr>
          <w:sz w:val="20"/>
        </w:rPr>
      </w:pPr>
      <w:r>
        <w:rPr>
          <w:w w:val="95"/>
          <w:sz w:val="20"/>
        </w:rPr>
        <w:t>「言語機能遺存顯著障害」，係指後列構成語言之口唇音、齒舌音、口蓋音、喉頭音等之四種語言機能</w:t>
      </w:r>
      <w:r>
        <w:rPr>
          <w:spacing w:val="274"/>
          <w:sz w:val="20"/>
        </w:rPr>
        <w:t> </w:t>
      </w:r>
      <w:r>
        <w:rPr>
          <w:sz w:val="20"/>
        </w:rPr>
        <w:t>中，有二種以上不能構音者。</w:t>
      </w:r>
    </w:p>
    <w:p>
      <w:pPr>
        <w:pStyle w:val="BodyText"/>
        <w:spacing w:line="242" w:lineRule="auto"/>
        <w:ind w:left="351" w:right="6359"/>
      </w:pPr>
      <w:r>
        <w:rPr/>
        <w:t>A.雙唇音：ㄅㄆㄇ(發音部位雙唇者)</w:t>
      </w:r>
      <w:r>
        <w:rPr>
          <w:spacing w:val="-97"/>
        </w:rPr>
        <w:t> </w:t>
      </w:r>
      <w:r>
        <w:rPr/>
        <w:t>B.唇齒音：ㄈ(發音部位唇齒)</w:t>
      </w:r>
    </w:p>
    <w:p>
      <w:pPr>
        <w:pStyle w:val="BodyText"/>
        <w:spacing w:line="242" w:lineRule="auto" w:before="1"/>
        <w:ind w:left="351" w:right="5771"/>
      </w:pPr>
      <w:r>
        <w:rPr/>
        <w:t>C.舌尖音：ㄉㄊㄋㄌ(發音部位舌尖與牙齦)</w:t>
      </w:r>
      <w:r>
        <w:rPr>
          <w:spacing w:val="-97"/>
        </w:rPr>
        <w:t> </w:t>
      </w:r>
      <w:r>
        <w:rPr/>
        <w:t>D.舌根音：ㄍㄎㄏ(發音部位舌根與軟顎)</w:t>
      </w:r>
      <w:r>
        <w:rPr>
          <w:spacing w:val="1"/>
        </w:rPr>
        <w:t> </w:t>
      </w:r>
      <w:r>
        <w:rPr/>
        <w:t>E.舌面音：ㄐㄑㄒ(發音部位舌面與硬顎)</w:t>
      </w:r>
    </w:p>
    <w:p>
      <w:pPr>
        <w:pStyle w:val="BodyText"/>
        <w:spacing w:line="242" w:lineRule="auto" w:before="4"/>
        <w:ind w:left="351" w:right="5559"/>
      </w:pPr>
      <w:r>
        <w:rPr/>
        <w:drawing>
          <wp:anchor distT="0" distB="0" distL="0" distR="0" allowOverlap="1" layoutInCell="1" locked="0" behindDoc="1" simplePos="0" relativeHeight="486298112">
            <wp:simplePos x="0" y="0"/>
            <wp:positionH relativeFrom="page">
              <wp:posOffset>2872165</wp:posOffset>
            </wp:positionH>
            <wp:positionV relativeFrom="paragraph">
              <wp:posOffset>264615</wp:posOffset>
            </wp:positionV>
            <wp:extent cx="1838868" cy="443344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8868" cy="4433441"/>
                    </a:xfrm>
                    <a:prstGeom prst="rect">
                      <a:avLst/>
                    </a:prstGeom>
                  </pic:spPr>
                </pic:pic>
              </a:graphicData>
            </a:graphic>
          </wp:anchor>
        </w:drawing>
      </w:r>
      <w:r>
        <w:rPr/>
        <w:t>F.舌尖後音：ㄓㄔㄕㄖ(發音部位舌尖與硬顎)</w:t>
      </w:r>
      <w:r>
        <w:rPr>
          <w:spacing w:val="-97"/>
        </w:rPr>
        <w:t> </w:t>
      </w:r>
      <w:r>
        <w:rPr/>
        <w:t>G.舌尖前音：ㄗㄘㄙ(發音部位舌尖與上牙齦)</w:t>
      </w:r>
    </w:p>
    <w:p>
      <w:pPr>
        <w:pStyle w:val="BodyText"/>
        <w:spacing w:line="244" w:lineRule="auto" w:before="1"/>
        <w:ind w:left="554" w:right="138" w:hanging="402"/>
      </w:pPr>
      <w:r>
        <w:rPr>
          <w:w w:val="95"/>
        </w:rPr>
        <w:t>5-3.因綴音機能遺存顯著障害，祇以言語表示對方不能通曉其意思者，準用「言語機能遺存顯著障害」所定等</w:t>
      </w:r>
      <w:r>
        <w:rPr>
          <w:spacing w:val="221"/>
        </w:rPr>
        <w:t> </w:t>
      </w:r>
      <w:r>
        <w:rPr/>
        <w:t>級。</w:t>
      </w:r>
    </w:p>
    <w:p>
      <w:pPr>
        <w:pStyle w:val="BodyText"/>
        <w:spacing w:before="12"/>
        <w:rPr>
          <w:sz w:val="14"/>
        </w:rPr>
      </w:pPr>
    </w:p>
    <w:p>
      <w:pPr>
        <w:pStyle w:val="Heading1"/>
        <w:spacing w:line="348" w:lineRule="exact"/>
      </w:pPr>
      <w:r>
        <w:rPr/>
        <w:t>註6：</w:t>
      </w:r>
    </w:p>
    <w:p>
      <w:pPr>
        <w:pStyle w:val="BodyText"/>
        <w:spacing w:line="236" w:lineRule="exact"/>
        <w:ind w:left="152"/>
      </w:pPr>
      <w:r>
        <w:rPr/>
        <w:t>6-1.胸腹部臟器：</w:t>
      </w:r>
    </w:p>
    <w:p>
      <w:pPr>
        <w:pStyle w:val="ListParagraph"/>
        <w:numPr>
          <w:ilvl w:val="0"/>
          <w:numId w:val="7"/>
        </w:numPr>
        <w:tabs>
          <w:tab w:pos="655" w:val="left" w:leader="none"/>
        </w:tabs>
        <w:spacing w:line="240" w:lineRule="auto" w:before="3" w:after="0"/>
        <w:ind w:left="654" w:right="0" w:hanging="503"/>
        <w:jc w:val="left"/>
        <w:rPr>
          <w:sz w:val="20"/>
        </w:rPr>
      </w:pPr>
      <w:r>
        <w:rPr>
          <w:w w:val="95"/>
          <w:sz w:val="20"/>
        </w:rPr>
        <w:t>胸部臟器，係指心臟、心囊、主動脈、氣管、支氣管、肺臟、胸膜及食道。</w:t>
      </w:r>
    </w:p>
    <w:p>
      <w:pPr>
        <w:pStyle w:val="ListParagraph"/>
        <w:numPr>
          <w:ilvl w:val="0"/>
          <w:numId w:val="7"/>
        </w:numPr>
        <w:tabs>
          <w:tab w:pos="655" w:val="left" w:leader="none"/>
        </w:tabs>
        <w:spacing w:line="271" w:lineRule="exact" w:before="3" w:after="0"/>
        <w:ind w:left="654" w:right="0" w:hanging="503"/>
        <w:jc w:val="left"/>
        <w:rPr>
          <w:sz w:val="20"/>
        </w:rPr>
      </w:pPr>
      <w:r>
        <w:rPr>
          <w:w w:val="95"/>
          <w:sz w:val="20"/>
        </w:rPr>
        <w:t>腹部臟器，係指胃、肝臟、膽囊、胰臟、小腸、大腸、腸間膜</w:t>
      </w:r>
      <w:r>
        <w:rPr>
          <w:rFonts w:ascii="MingLiU-ExtB" w:eastAsia="MingLiU-ExtB"/>
          <w:w w:val="95"/>
          <w:sz w:val="20"/>
        </w:rPr>
        <w:t>、</w:t>
      </w:r>
      <w:r>
        <w:rPr>
          <w:w w:val="95"/>
          <w:sz w:val="20"/>
        </w:rPr>
        <w:t>脾臟及腎上腺。</w:t>
      </w:r>
    </w:p>
    <w:p>
      <w:pPr>
        <w:pStyle w:val="ListParagraph"/>
        <w:numPr>
          <w:ilvl w:val="0"/>
          <w:numId w:val="7"/>
        </w:numPr>
        <w:tabs>
          <w:tab w:pos="655" w:val="left" w:leader="none"/>
        </w:tabs>
        <w:spacing w:line="247" w:lineRule="exact" w:before="0" w:after="0"/>
        <w:ind w:left="654" w:right="0" w:hanging="503"/>
        <w:jc w:val="left"/>
        <w:rPr>
          <w:sz w:val="20"/>
        </w:rPr>
      </w:pPr>
      <w:r>
        <w:rPr>
          <w:w w:val="95"/>
          <w:sz w:val="20"/>
        </w:rPr>
        <w:t>泌尿器官，係指腎臟、輸尿管、膀胱及尿道。</w:t>
      </w:r>
    </w:p>
    <w:p>
      <w:pPr>
        <w:pStyle w:val="ListParagraph"/>
        <w:numPr>
          <w:ilvl w:val="0"/>
          <w:numId w:val="7"/>
        </w:numPr>
        <w:tabs>
          <w:tab w:pos="655" w:val="left" w:leader="none"/>
        </w:tabs>
        <w:spacing w:line="240" w:lineRule="auto" w:before="3" w:after="0"/>
        <w:ind w:left="654" w:right="0" w:hanging="503"/>
        <w:jc w:val="left"/>
        <w:rPr>
          <w:sz w:val="20"/>
        </w:rPr>
      </w:pPr>
      <w:r>
        <w:rPr>
          <w:w w:val="95"/>
          <w:sz w:val="20"/>
        </w:rPr>
        <w:t>生殖器官，係指內生殖器及外生殖器。</w:t>
      </w:r>
    </w:p>
    <w:p>
      <w:pPr>
        <w:pStyle w:val="BodyText"/>
        <w:spacing w:line="244" w:lineRule="auto" w:before="3"/>
        <w:ind w:left="753" w:right="138" w:hanging="601"/>
      </w:pPr>
      <w:r>
        <w:rPr>
          <w:w w:val="95"/>
        </w:rPr>
        <w:t>6-2.1.任一主要臟器切除二分之一以上者之主要臟器係指心臟、肺臟、食道、胃、肝臟、胰臟、小腸、大腸、</w:t>
      </w:r>
      <w:r>
        <w:rPr>
          <w:spacing w:val="221"/>
        </w:rPr>
        <w:t> </w:t>
      </w:r>
      <w:r>
        <w:rPr/>
        <w:t>腎臟、腎上腺、輸尿管、膀胱及尿道。</w:t>
      </w:r>
    </w:p>
    <w:p>
      <w:pPr>
        <w:pStyle w:val="BodyText"/>
        <w:spacing w:line="254" w:lineRule="exact"/>
        <w:ind w:left="554"/>
      </w:pPr>
      <w:r>
        <w:rPr/>
        <w:t>2.前述「二分之一以上」之認定標準於對稱器官以切除一側，肺臟以切除二葉為準。</w:t>
      </w:r>
    </w:p>
    <w:p>
      <w:pPr>
        <w:pStyle w:val="BodyText"/>
        <w:spacing w:line="244" w:lineRule="auto" w:before="3"/>
        <w:ind w:left="554" w:right="132" w:hanging="402"/>
      </w:pPr>
      <w:r>
        <w:rPr>
          <w:w w:val="95"/>
        </w:rPr>
        <w:t>6-3.胸腹部臟器障害等級之審定：胸腹部臟器機能遺存障害，須將症狀綜合衡量，永久影響其日常生活活動之</w:t>
      </w:r>
      <w:r>
        <w:rPr>
          <w:spacing w:val="227"/>
        </w:rPr>
        <w:t> </w:t>
      </w:r>
      <w:r>
        <w:rPr/>
        <w:t>狀況及需他人扶助之情形，比照神經障害等級審定基本原則、綜合審定其等級。</w:t>
      </w:r>
    </w:p>
    <w:p>
      <w:pPr>
        <w:pStyle w:val="BodyText"/>
        <w:spacing w:line="242" w:lineRule="auto"/>
        <w:ind w:left="554" w:right="133" w:hanging="402"/>
      </w:pPr>
      <w:r>
        <w:rPr>
          <w:w w:val="95"/>
        </w:rPr>
        <w:t>6-4.膀胱機能完全喪失，係指必須永久性自腹表排尿或長期導尿者(包括永久性迴腸導管、寇克氏囊與輸尿管</w:t>
      </w:r>
      <w:r>
        <w:rPr>
          <w:spacing w:val="104"/>
        </w:rPr>
        <w:t> </w:t>
      </w:r>
      <w:r>
        <w:rPr>
          <w:spacing w:val="105"/>
        </w:rPr>
        <w:t> </w:t>
      </w:r>
      <w:r>
        <w:rPr/>
        <w:t>造口術)。</w:t>
      </w:r>
    </w:p>
    <w:p>
      <w:pPr>
        <w:pStyle w:val="BodyText"/>
        <w:spacing w:before="2"/>
        <w:rPr>
          <w:sz w:val="15"/>
        </w:rPr>
      </w:pPr>
    </w:p>
    <w:p>
      <w:pPr>
        <w:pStyle w:val="Heading1"/>
        <w:spacing w:before="1"/>
      </w:pPr>
      <w:r>
        <w:rPr/>
        <w:t>註7：</w:t>
      </w:r>
    </w:p>
    <w:p>
      <w:pPr>
        <w:pStyle w:val="BodyText"/>
        <w:spacing w:line="235" w:lineRule="exact"/>
        <w:ind w:left="152"/>
      </w:pPr>
      <w:r>
        <w:rPr/>
        <w:t>7-1.脊柱遺存障害者，若併存神經障害時，應綜合其全部症狀擇一等級定之，等級不同者，應按其中較重者定</w:t>
      </w:r>
    </w:p>
    <w:p>
      <w:pPr>
        <w:pStyle w:val="BodyText"/>
        <w:spacing w:before="5"/>
        <w:ind w:left="554"/>
      </w:pPr>
      <w:r>
        <w:rPr/>
        <w:t>其等級。</w:t>
      </w:r>
    </w:p>
    <w:p>
      <w:pPr>
        <w:pStyle w:val="BodyText"/>
        <w:spacing w:line="269" w:lineRule="exact" w:before="3"/>
        <w:ind w:left="152"/>
      </w:pPr>
      <w:r>
        <w:rPr/>
        <w:t>7-2.脊柱運動障害須經</w:t>
      </w:r>
      <w:r>
        <w:rPr>
          <w:rFonts w:ascii="MingLiU-ExtB" w:eastAsia="MingLiU-ExtB"/>
        </w:rPr>
        <w:t>X</w:t>
      </w:r>
      <w:r>
        <w:rPr/>
        <w:t>光照片檢查始可診斷，如經診斷有明顯骨折、脫位或變形者，應依下列規定審定：</w:t>
      </w:r>
    </w:p>
    <w:p>
      <w:pPr>
        <w:pStyle w:val="ListParagraph"/>
        <w:numPr>
          <w:ilvl w:val="0"/>
          <w:numId w:val="8"/>
        </w:numPr>
        <w:tabs>
          <w:tab w:pos="665" w:val="left" w:leader="none"/>
        </w:tabs>
        <w:spacing w:line="244" w:lineRule="auto" w:before="0" w:after="0"/>
        <w:ind w:left="652" w:right="128" w:hanging="500"/>
        <w:jc w:val="left"/>
        <w:rPr>
          <w:sz w:val="20"/>
        </w:rPr>
      </w:pPr>
      <w:r>
        <w:rPr>
          <w:w w:val="95"/>
          <w:sz w:val="20"/>
        </w:rPr>
        <w:t>「遺存顯著運動障害」，係指脊柱連續固定四個椎體及三個椎間盤（含）以上，且喪失生理運動範圍二</w:t>
      </w:r>
      <w:r>
        <w:rPr>
          <w:spacing w:val="274"/>
          <w:sz w:val="20"/>
        </w:rPr>
        <w:t> </w:t>
      </w:r>
      <w:r>
        <w:rPr>
          <w:sz w:val="20"/>
        </w:rPr>
        <w:t>分之一以上者。</w:t>
      </w:r>
    </w:p>
    <w:p>
      <w:pPr>
        <w:pStyle w:val="ListParagraph"/>
        <w:numPr>
          <w:ilvl w:val="0"/>
          <w:numId w:val="8"/>
        </w:numPr>
        <w:tabs>
          <w:tab w:pos="665" w:val="left" w:leader="none"/>
        </w:tabs>
        <w:spacing w:line="242" w:lineRule="auto" w:before="0" w:after="0"/>
        <w:ind w:left="652" w:right="139" w:hanging="500"/>
        <w:jc w:val="left"/>
        <w:rPr>
          <w:sz w:val="20"/>
        </w:rPr>
      </w:pPr>
      <w:r>
        <w:rPr>
          <w:w w:val="95"/>
          <w:sz w:val="20"/>
        </w:rPr>
        <w:t>「遺存運動障害」，係指脊柱連續固定四個椎體及三個椎間盤（含）以上，且喪失生理運動範圍三分之</w:t>
      </w:r>
      <w:r>
        <w:rPr>
          <w:spacing w:val="278"/>
          <w:sz w:val="20"/>
        </w:rPr>
        <w:t> </w:t>
      </w:r>
      <w:r>
        <w:rPr>
          <w:sz w:val="20"/>
        </w:rPr>
        <w:t>一以上者。</w:t>
      </w:r>
    </w:p>
    <w:p>
      <w:pPr>
        <w:pStyle w:val="ListParagraph"/>
        <w:numPr>
          <w:ilvl w:val="0"/>
          <w:numId w:val="8"/>
        </w:numPr>
        <w:tabs>
          <w:tab w:pos="655" w:val="left" w:leader="none"/>
        </w:tabs>
        <w:spacing w:line="240" w:lineRule="auto" w:before="0" w:after="0"/>
        <w:ind w:left="654" w:right="0" w:hanging="503"/>
        <w:jc w:val="left"/>
        <w:rPr>
          <w:sz w:val="20"/>
        </w:rPr>
      </w:pPr>
      <w:r>
        <w:rPr>
          <w:w w:val="95"/>
          <w:sz w:val="20"/>
        </w:rPr>
        <w:t>脊柱運動限制不明顯或脊柱固定三個椎體及二個椎間盤（含）以下者，不在給付範圍。</w:t>
      </w:r>
    </w:p>
    <w:p>
      <w:pPr>
        <w:pStyle w:val="BodyText"/>
        <w:spacing w:before="7"/>
        <w:rPr>
          <w:sz w:val="14"/>
        </w:rPr>
      </w:pPr>
    </w:p>
    <w:p>
      <w:pPr>
        <w:pStyle w:val="Heading1"/>
        <w:spacing w:line="348" w:lineRule="exact" w:before="1"/>
      </w:pPr>
      <w:r>
        <w:rPr/>
        <w:t>註8：</w:t>
      </w:r>
    </w:p>
    <w:p>
      <w:pPr>
        <w:pStyle w:val="BodyText"/>
        <w:spacing w:line="236" w:lineRule="exact"/>
        <w:ind w:left="152"/>
      </w:pPr>
      <w:r>
        <w:rPr/>
        <w:t>8-1.「手指缺失」係指：</w:t>
      </w:r>
    </w:p>
    <w:p>
      <w:pPr>
        <w:pStyle w:val="ListParagraph"/>
        <w:numPr>
          <w:ilvl w:val="0"/>
          <w:numId w:val="9"/>
        </w:numPr>
        <w:tabs>
          <w:tab w:pos="655" w:val="left" w:leader="none"/>
        </w:tabs>
        <w:spacing w:line="240" w:lineRule="auto" w:before="3" w:after="0"/>
        <w:ind w:left="654" w:right="0" w:hanging="503"/>
        <w:jc w:val="left"/>
        <w:rPr>
          <w:sz w:val="20"/>
        </w:rPr>
      </w:pPr>
      <w:r>
        <w:rPr>
          <w:w w:val="95"/>
          <w:sz w:val="20"/>
        </w:rPr>
        <w:t>在拇指者，係由指節間關節切斷者。</w:t>
      </w:r>
    </w:p>
    <w:p>
      <w:pPr>
        <w:pStyle w:val="ListParagraph"/>
        <w:numPr>
          <w:ilvl w:val="0"/>
          <w:numId w:val="9"/>
        </w:numPr>
        <w:tabs>
          <w:tab w:pos="655" w:val="left" w:leader="none"/>
        </w:tabs>
        <w:spacing w:line="240" w:lineRule="auto" w:before="3" w:after="0"/>
        <w:ind w:left="654" w:right="0" w:hanging="503"/>
        <w:jc w:val="left"/>
        <w:rPr>
          <w:sz w:val="20"/>
        </w:rPr>
      </w:pPr>
      <w:r>
        <w:rPr>
          <w:w w:val="95"/>
          <w:sz w:val="20"/>
        </w:rPr>
        <w:t>其他各指，係指由近位指節間關節切斷者。</w:t>
      </w:r>
    </w:p>
    <w:p>
      <w:pPr>
        <w:pStyle w:val="BodyText"/>
        <w:spacing w:before="5"/>
        <w:ind w:left="152"/>
      </w:pPr>
      <w:r>
        <w:rPr/>
        <w:t>8-2.若經接指手術後機能仍永久完全喪失者，視為缺失。足趾亦同。</w:t>
      </w:r>
    </w:p>
    <w:p>
      <w:pPr>
        <w:pStyle w:val="BodyText"/>
        <w:spacing w:line="242" w:lineRule="auto" w:before="3"/>
        <w:ind w:left="554" w:right="135" w:hanging="402"/>
      </w:pPr>
      <w:r>
        <w:rPr>
          <w:w w:val="95"/>
        </w:rPr>
        <w:t>8-3.截取拇趾接合於拇指時，若拇指原本之缺失已符合失能標準，接合後機能雖完全正常，拇指之部份仍視為</w:t>
      </w:r>
      <w:r>
        <w:rPr>
          <w:spacing w:val="224"/>
        </w:rPr>
        <w:t> </w:t>
      </w:r>
      <w:r>
        <w:rPr/>
        <w:t>缺失，而拇趾之自截部份不予計入。</w:t>
      </w:r>
    </w:p>
    <w:p>
      <w:pPr>
        <w:spacing w:after="0" w:line="242" w:lineRule="auto"/>
        <w:sectPr>
          <w:pgSz w:w="11910" w:h="16850"/>
          <w:pgMar w:header="0" w:footer="775" w:top="1360" w:bottom="1040" w:left="980" w:right="1000"/>
        </w:sectPr>
      </w:pPr>
    </w:p>
    <w:p>
      <w:pPr>
        <w:pStyle w:val="Heading1"/>
        <w:spacing w:line="328" w:lineRule="exact"/>
      </w:pPr>
      <w:r>
        <w:rPr/>
        <w:t>註9：</w:t>
      </w:r>
    </w:p>
    <w:p>
      <w:pPr>
        <w:pStyle w:val="BodyText"/>
        <w:spacing w:line="235" w:lineRule="exact"/>
        <w:ind w:left="152"/>
      </w:pPr>
      <w:r>
        <w:rPr/>
        <w:t>9-1.「一上肢肩、肘及腕關節永久喪失機能」，係指一上肢完全廢用，如下列情況者：</w:t>
      </w:r>
    </w:p>
    <w:p>
      <w:pPr>
        <w:pStyle w:val="ListParagraph"/>
        <w:numPr>
          <w:ilvl w:val="0"/>
          <w:numId w:val="10"/>
        </w:numPr>
        <w:tabs>
          <w:tab w:pos="655" w:val="left" w:leader="none"/>
        </w:tabs>
        <w:spacing w:line="240" w:lineRule="auto" w:before="3" w:after="0"/>
        <w:ind w:left="654" w:right="0" w:hanging="503"/>
        <w:jc w:val="left"/>
        <w:rPr>
          <w:sz w:val="20"/>
        </w:rPr>
      </w:pPr>
      <w:r>
        <w:rPr>
          <w:w w:val="95"/>
          <w:sz w:val="20"/>
        </w:rPr>
        <w:t>一上肢肩、肘及腕關節完全強直或完全麻痺，及該手五指均永久喪失機能者。</w:t>
      </w:r>
    </w:p>
    <w:p>
      <w:pPr>
        <w:pStyle w:val="ListParagraph"/>
        <w:numPr>
          <w:ilvl w:val="0"/>
          <w:numId w:val="10"/>
        </w:numPr>
        <w:tabs>
          <w:tab w:pos="655" w:val="left" w:leader="none"/>
        </w:tabs>
        <w:spacing w:line="240" w:lineRule="auto" w:before="5" w:after="0"/>
        <w:ind w:left="654" w:right="0" w:hanging="503"/>
        <w:jc w:val="left"/>
        <w:rPr>
          <w:sz w:val="20"/>
        </w:rPr>
      </w:pPr>
      <w:r>
        <w:rPr>
          <w:w w:val="95"/>
          <w:sz w:val="20"/>
        </w:rPr>
        <w:t>一上肢肩、肘及腕關節完全強直或完全麻痺者。</w:t>
      </w:r>
    </w:p>
    <w:p>
      <w:pPr>
        <w:pStyle w:val="BodyText"/>
        <w:spacing w:line="242" w:lineRule="auto" w:before="3"/>
        <w:ind w:left="554" w:right="142" w:hanging="402"/>
      </w:pPr>
      <w:r>
        <w:rPr>
          <w:w w:val="95"/>
        </w:rPr>
        <w:t>9-2.「一上肢肩、肘及腕關節永久遺存顯著運動障害」，係指一上肢各關節遺存顯著運動障害，如下列情況</w:t>
      </w:r>
      <w:r>
        <w:rPr>
          <w:spacing w:val="153"/>
        </w:rPr>
        <w:t> </w:t>
      </w:r>
      <w:r>
        <w:rPr>
          <w:spacing w:val="154"/>
        </w:rPr>
        <w:t> </w:t>
      </w:r>
      <w:r>
        <w:rPr/>
        <w:t>者：</w:t>
      </w:r>
    </w:p>
    <w:p>
      <w:pPr>
        <w:pStyle w:val="ListParagraph"/>
        <w:numPr>
          <w:ilvl w:val="0"/>
          <w:numId w:val="11"/>
        </w:numPr>
        <w:tabs>
          <w:tab w:pos="655" w:val="left" w:leader="none"/>
        </w:tabs>
        <w:spacing w:line="240" w:lineRule="auto" w:before="3" w:after="0"/>
        <w:ind w:left="654" w:right="0" w:hanging="503"/>
        <w:jc w:val="left"/>
        <w:rPr>
          <w:sz w:val="20"/>
        </w:rPr>
      </w:pPr>
      <w:r>
        <w:rPr>
          <w:w w:val="95"/>
          <w:sz w:val="20"/>
        </w:rPr>
        <w:t>一上肢肩、肘及腕關節均永久遺存顯著運動障害，及該手五指均永久喪失機能者。</w:t>
      </w:r>
    </w:p>
    <w:p>
      <w:pPr>
        <w:pStyle w:val="ListParagraph"/>
        <w:numPr>
          <w:ilvl w:val="0"/>
          <w:numId w:val="11"/>
        </w:numPr>
        <w:tabs>
          <w:tab w:pos="655" w:val="left" w:leader="none"/>
        </w:tabs>
        <w:spacing w:line="240" w:lineRule="auto" w:before="3" w:after="0"/>
        <w:ind w:left="654" w:right="0" w:hanging="503"/>
        <w:jc w:val="left"/>
        <w:rPr>
          <w:sz w:val="20"/>
        </w:rPr>
      </w:pPr>
      <w:r>
        <w:rPr>
          <w:w w:val="95"/>
          <w:sz w:val="20"/>
        </w:rPr>
        <w:t>一上肢肩、肘及腕關節均永久遺存顯著運動障害者。</w:t>
      </w:r>
    </w:p>
    <w:p>
      <w:pPr>
        <w:pStyle w:val="BodyText"/>
        <w:spacing w:before="3"/>
        <w:ind w:left="152"/>
      </w:pPr>
      <w:r>
        <w:rPr/>
        <w:t>9-3.以生理運動範圍，作審定關節機能障害之標準，規定如下：</w:t>
      </w:r>
    </w:p>
    <w:p>
      <w:pPr>
        <w:pStyle w:val="ListParagraph"/>
        <w:numPr>
          <w:ilvl w:val="0"/>
          <w:numId w:val="12"/>
        </w:numPr>
        <w:tabs>
          <w:tab w:pos="655" w:val="left" w:leader="none"/>
        </w:tabs>
        <w:spacing w:line="240" w:lineRule="auto" w:before="5" w:after="0"/>
        <w:ind w:left="654" w:right="0" w:hanging="503"/>
        <w:jc w:val="left"/>
        <w:rPr>
          <w:sz w:val="20"/>
        </w:rPr>
      </w:pPr>
      <w:r>
        <w:rPr>
          <w:w w:val="95"/>
          <w:sz w:val="20"/>
        </w:rPr>
        <w:t>「喪失機能」，係指關節完全強直或完全麻痺狀態者。</w:t>
      </w:r>
    </w:p>
    <w:p>
      <w:pPr>
        <w:pStyle w:val="ListParagraph"/>
        <w:numPr>
          <w:ilvl w:val="0"/>
          <w:numId w:val="12"/>
        </w:numPr>
        <w:tabs>
          <w:tab w:pos="655" w:val="left" w:leader="none"/>
        </w:tabs>
        <w:spacing w:line="240" w:lineRule="auto" w:before="3" w:after="0"/>
        <w:ind w:left="654" w:right="0" w:hanging="503"/>
        <w:jc w:val="left"/>
        <w:rPr>
          <w:sz w:val="20"/>
        </w:rPr>
      </w:pPr>
      <w:r>
        <w:rPr>
          <w:w w:val="95"/>
          <w:sz w:val="20"/>
        </w:rPr>
        <w:t>「顯著運動障害」，係指喪失生理運動範圍二分之一以上者。</w:t>
      </w:r>
    </w:p>
    <w:p>
      <w:pPr>
        <w:pStyle w:val="ListParagraph"/>
        <w:numPr>
          <w:ilvl w:val="0"/>
          <w:numId w:val="12"/>
        </w:numPr>
        <w:tabs>
          <w:tab w:pos="655" w:val="left" w:leader="none"/>
        </w:tabs>
        <w:spacing w:line="244" w:lineRule="auto" w:before="3" w:after="0"/>
        <w:ind w:left="152" w:right="4274" w:firstLine="0"/>
        <w:jc w:val="left"/>
        <w:rPr>
          <w:sz w:val="20"/>
        </w:rPr>
      </w:pPr>
      <w:r>
        <w:rPr>
          <w:w w:val="95"/>
          <w:sz w:val="20"/>
        </w:rPr>
        <w:t>「運動障害」，係指喪失生理運動範圍三分之一以上者。</w:t>
      </w:r>
      <w:r>
        <w:rPr>
          <w:sz w:val="20"/>
        </w:rPr>
        <w:t>9-4.運動限制之測定：</w:t>
      </w:r>
    </w:p>
    <w:p>
      <w:pPr>
        <w:pStyle w:val="ListParagraph"/>
        <w:numPr>
          <w:ilvl w:val="0"/>
          <w:numId w:val="13"/>
        </w:numPr>
        <w:tabs>
          <w:tab w:pos="665" w:val="left" w:leader="none"/>
        </w:tabs>
        <w:spacing w:line="242" w:lineRule="auto" w:before="0" w:after="0"/>
        <w:ind w:left="652" w:right="134" w:hanging="500"/>
        <w:jc w:val="left"/>
        <w:rPr>
          <w:sz w:val="20"/>
        </w:rPr>
      </w:pPr>
      <w:r>
        <w:rPr/>
        <w:drawing>
          <wp:anchor distT="0" distB="0" distL="0" distR="0" allowOverlap="1" layoutInCell="1" locked="0" behindDoc="1" simplePos="0" relativeHeight="486298624">
            <wp:simplePos x="0" y="0"/>
            <wp:positionH relativeFrom="page">
              <wp:posOffset>2872165</wp:posOffset>
            </wp:positionH>
            <wp:positionV relativeFrom="paragraph">
              <wp:posOffset>97483</wp:posOffset>
            </wp:positionV>
            <wp:extent cx="1838868" cy="4433441"/>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8868" cy="4433441"/>
                    </a:xfrm>
                    <a:prstGeom prst="rect">
                      <a:avLst/>
                    </a:prstGeom>
                  </pic:spPr>
                </pic:pic>
              </a:graphicData>
            </a:graphic>
          </wp:anchor>
        </w:drawing>
      </w:r>
      <w:r>
        <w:rPr>
          <w:w w:val="95"/>
          <w:sz w:val="20"/>
        </w:rPr>
        <w:t>以各關節之生理運動範圍為基準。機能(運動)障害原因及程度明顯時，採用主動運動之運動範圍，如障</w:t>
      </w:r>
      <w:r>
        <w:rPr>
          <w:spacing w:val="91"/>
          <w:sz w:val="20"/>
        </w:rPr>
        <w:t> </w:t>
      </w:r>
      <w:r>
        <w:rPr>
          <w:spacing w:val="92"/>
          <w:sz w:val="20"/>
        </w:rPr>
        <w:t> </w:t>
      </w:r>
      <w:r>
        <w:rPr>
          <w:sz w:val="20"/>
        </w:rPr>
        <w:t>害程度不明確時，則須由被動運動之可能運動範圍參考決定之。</w:t>
      </w:r>
    </w:p>
    <w:p>
      <w:pPr>
        <w:pStyle w:val="ListParagraph"/>
        <w:numPr>
          <w:ilvl w:val="0"/>
          <w:numId w:val="13"/>
        </w:numPr>
        <w:tabs>
          <w:tab w:pos="655" w:val="left" w:leader="none"/>
        </w:tabs>
        <w:spacing w:line="242" w:lineRule="auto" w:before="2" w:after="0"/>
        <w:ind w:left="152" w:right="3674" w:firstLine="0"/>
        <w:jc w:val="left"/>
        <w:rPr>
          <w:sz w:val="20"/>
        </w:rPr>
      </w:pPr>
      <w:r>
        <w:rPr>
          <w:w w:val="95"/>
          <w:sz w:val="20"/>
        </w:rPr>
        <w:t>經石膏固定患部者，應考慮其癒後恢復之程度，作適宜之決定。</w:t>
      </w:r>
      <w:r>
        <w:rPr>
          <w:sz w:val="20"/>
        </w:rPr>
        <w:t>9-5.上下肢關節名稱及生理運動範圍如說明圖表。</w:t>
      </w:r>
    </w:p>
    <w:p>
      <w:pPr>
        <w:pStyle w:val="BodyText"/>
        <w:spacing w:before="4"/>
        <w:rPr>
          <w:sz w:val="15"/>
        </w:rPr>
      </w:pPr>
    </w:p>
    <w:p>
      <w:pPr>
        <w:pStyle w:val="Heading1"/>
      </w:pPr>
      <w:r>
        <w:rPr/>
        <w:t>註10：</w:t>
      </w:r>
    </w:p>
    <w:p>
      <w:pPr>
        <w:pStyle w:val="BodyText"/>
        <w:spacing w:line="235" w:lineRule="exact"/>
        <w:ind w:left="152"/>
      </w:pPr>
      <w:r>
        <w:rPr/>
        <w:t>10-1.「手指永久喪失機能」係指：</w:t>
      </w:r>
    </w:p>
    <w:p>
      <w:pPr>
        <w:pStyle w:val="ListParagraph"/>
        <w:numPr>
          <w:ilvl w:val="0"/>
          <w:numId w:val="14"/>
        </w:numPr>
        <w:tabs>
          <w:tab w:pos="655" w:val="left" w:leader="none"/>
        </w:tabs>
        <w:spacing w:line="240" w:lineRule="auto" w:before="3" w:after="0"/>
        <w:ind w:left="654" w:right="0" w:hanging="503"/>
        <w:jc w:val="left"/>
        <w:rPr>
          <w:sz w:val="20"/>
        </w:rPr>
      </w:pPr>
      <w:r>
        <w:rPr>
          <w:w w:val="95"/>
          <w:sz w:val="20"/>
        </w:rPr>
        <w:t>在拇指，中手指節關節或指節間關節，喪失生理運動範圍二分之一以上者。</w:t>
      </w:r>
    </w:p>
    <w:p>
      <w:pPr>
        <w:pStyle w:val="ListParagraph"/>
        <w:numPr>
          <w:ilvl w:val="0"/>
          <w:numId w:val="14"/>
        </w:numPr>
        <w:tabs>
          <w:tab w:pos="655" w:val="left" w:leader="none"/>
        </w:tabs>
        <w:spacing w:line="240" w:lineRule="auto" w:before="6" w:after="0"/>
        <w:ind w:left="654" w:right="0" w:hanging="503"/>
        <w:jc w:val="left"/>
        <w:rPr>
          <w:sz w:val="20"/>
        </w:rPr>
      </w:pPr>
      <w:r>
        <w:rPr>
          <w:w w:val="95"/>
          <w:sz w:val="20"/>
        </w:rPr>
        <w:t>在其他各指，中手指節關節，或近位指節間關節，喪失生理運動範圍二分之一以上者。</w:t>
      </w:r>
    </w:p>
    <w:p>
      <w:pPr>
        <w:pStyle w:val="ListParagraph"/>
        <w:numPr>
          <w:ilvl w:val="0"/>
          <w:numId w:val="14"/>
        </w:numPr>
        <w:tabs>
          <w:tab w:pos="655" w:val="left" w:leader="none"/>
        </w:tabs>
        <w:spacing w:line="240" w:lineRule="auto" w:before="3" w:after="0"/>
        <w:ind w:left="654" w:right="0" w:hanging="503"/>
        <w:jc w:val="left"/>
        <w:rPr>
          <w:sz w:val="20"/>
        </w:rPr>
      </w:pPr>
      <w:r>
        <w:rPr>
          <w:w w:val="95"/>
          <w:sz w:val="20"/>
        </w:rPr>
        <w:t>拇指或其他各指之末節切斷達二分之一以上者。</w:t>
      </w:r>
    </w:p>
    <w:p>
      <w:pPr>
        <w:pStyle w:val="BodyText"/>
        <w:spacing w:before="6"/>
        <w:rPr>
          <w:sz w:val="15"/>
        </w:rPr>
      </w:pPr>
    </w:p>
    <w:p>
      <w:pPr>
        <w:pStyle w:val="Heading1"/>
      </w:pPr>
      <w:r>
        <w:rPr/>
        <w:t>註11：</w:t>
      </w:r>
    </w:p>
    <w:p>
      <w:pPr>
        <w:pStyle w:val="BodyText"/>
        <w:spacing w:line="235" w:lineRule="exact"/>
        <w:ind w:left="152"/>
      </w:pPr>
      <w:r>
        <w:rPr/>
        <w:t>11-1.下肢縮短之測定，自患側之腸骨前上棘與內踝下端之長度，與健側下肢比較測定其短縮程度。</w:t>
      </w:r>
    </w:p>
    <w:p>
      <w:pPr>
        <w:pStyle w:val="BodyText"/>
        <w:spacing w:before="6"/>
        <w:rPr>
          <w:sz w:val="15"/>
        </w:rPr>
      </w:pPr>
    </w:p>
    <w:p>
      <w:pPr>
        <w:pStyle w:val="Heading1"/>
      </w:pPr>
      <w:r>
        <w:rPr/>
        <w:t>註12：</w:t>
      </w:r>
    </w:p>
    <w:p>
      <w:pPr>
        <w:pStyle w:val="BodyText"/>
        <w:spacing w:line="235" w:lineRule="exact"/>
        <w:ind w:left="152"/>
      </w:pPr>
      <w:r>
        <w:rPr/>
        <w:t>12-1.「足趾缺失」係指：自中足趾關節切斷而足趾全部缺損者。</w:t>
      </w:r>
    </w:p>
    <w:p>
      <w:pPr>
        <w:pStyle w:val="BodyText"/>
        <w:spacing w:before="7"/>
        <w:rPr>
          <w:sz w:val="15"/>
        </w:rPr>
      </w:pPr>
    </w:p>
    <w:p>
      <w:pPr>
        <w:pStyle w:val="Heading1"/>
      </w:pPr>
      <w:r>
        <w:rPr/>
        <w:t>註13：</w:t>
      </w:r>
    </w:p>
    <w:p>
      <w:pPr>
        <w:pStyle w:val="BodyText"/>
        <w:spacing w:line="235" w:lineRule="exact"/>
        <w:ind w:left="152"/>
      </w:pPr>
      <w:r>
        <w:rPr/>
        <w:t>13-1.「一下肢髖、膝及足踝關節永久喪失機能」，係指一下肢完全廢用，如下列情況者：</w:t>
      </w:r>
    </w:p>
    <w:p>
      <w:pPr>
        <w:pStyle w:val="ListParagraph"/>
        <w:numPr>
          <w:ilvl w:val="0"/>
          <w:numId w:val="15"/>
        </w:numPr>
        <w:tabs>
          <w:tab w:pos="655" w:val="left" w:leader="none"/>
        </w:tabs>
        <w:spacing w:line="240" w:lineRule="auto" w:before="3" w:after="0"/>
        <w:ind w:left="654" w:right="0" w:hanging="503"/>
        <w:jc w:val="left"/>
        <w:rPr>
          <w:sz w:val="20"/>
        </w:rPr>
      </w:pPr>
      <w:r>
        <w:rPr>
          <w:w w:val="95"/>
          <w:sz w:val="20"/>
        </w:rPr>
        <w:t>一下肢三大關節均完全強直或完全麻痺，以及一足五趾均喪失機能者。</w:t>
      </w:r>
    </w:p>
    <w:p>
      <w:pPr>
        <w:pStyle w:val="ListParagraph"/>
        <w:numPr>
          <w:ilvl w:val="0"/>
          <w:numId w:val="15"/>
        </w:numPr>
        <w:tabs>
          <w:tab w:pos="655" w:val="left" w:leader="none"/>
        </w:tabs>
        <w:spacing w:line="240" w:lineRule="auto" w:before="5" w:after="0"/>
        <w:ind w:left="654" w:right="0" w:hanging="503"/>
        <w:jc w:val="left"/>
        <w:rPr>
          <w:sz w:val="20"/>
        </w:rPr>
      </w:pPr>
      <w:r>
        <w:rPr>
          <w:w w:val="95"/>
          <w:sz w:val="20"/>
        </w:rPr>
        <w:t>一下肢三大關節均完全強直或完全麻痺者。</w:t>
      </w:r>
    </w:p>
    <w:p>
      <w:pPr>
        <w:pStyle w:val="BodyText"/>
        <w:spacing w:before="3"/>
        <w:ind w:left="152"/>
      </w:pPr>
      <w:r>
        <w:rPr/>
        <w:t>13-2.下肢之機能障害「喪失機能」、「顯著運動障害」或「運動障害」之審定，參照上肢之各該項規定。</w:t>
      </w:r>
    </w:p>
    <w:p>
      <w:pPr>
        <w:pStyle w:val="BodyText"/>
        <w:spacing w:before="6"/>
        <w:rPr>
          <w:sz w:val="15"/>
        </w:rPr>
      </w:pPr>
    </w:p>
    <w:p>
      <w:pPr>
        <w:pStyle w:val="Heading1"/>
        <w:spacing w:before="1"/>
      </w:pPr>
      <w:r>
        <w:rPr/>
        <w:t>註14：</w:t>
      </w:r>
    </w:p>
    <w:p>
      <w:pPr>
        <w:pStyle w:val="BodyText"/>
        <w:spacing w:line="235" w:lineRule="exact"/>
        <w:ind w:left="152"/>
      </w:pPr>
      <w:r>
        <w:rPr/>
        <w:t>14-1.「足趾永久喪失機能者」係指符合下列情況者：</w:t>
      </w:r>
    </w:p>
    <w:p>
      <w:pPr>
        <w:pStyle w:val="ListParagraph"/>
        <w:numPr>
          <w:ilvl w:val="0"/>
          <w:numId w:val="16"/>
        </w:numPr>
        <w:tabs>
          <w:tab w:pos="665" w:val="left" w:leader="none"/>
        </w:tabs>
        <w:spacing w:line="244" w:lineRule="auto" w:before="3" w:after="0"/>
        <w:ind w:left="652" w:right="139" w:hanging="500"/>
        <w:jc w:val="left"/>
        <w:rPr>
          <w:sz w:val="20"/>
        </w:rPr>
      </w:pPr>
      <w:r>
        <w:rPr>
          <w:w w:val="95"/>
          <w:sz w:val="20"/>
        </w:rPr>
        <w:t>第一趾末切斷二分之一以上者，或中足趾關節，或趾關節之運動可能範圍，喪失生理運動範圍二分之一</w:t>
      </w:r>
      <w:r>
        <w:rPr>
          <w:spacing w:val="278"/>
          <w:sz w:val="20"/>
        </w:rPr>
        <w:t> </w:t>
      </w:r>
      <w:r>
        <w:rPr>
          <w:sz w:val="20"/>
        </w:rPr>
        <w:t>以上者。</w:t>
      </w:r>
    </w:p>
    <w:p>
      <w:pPr>
        <w:pStyle w:val="ListParagraph"/>
        <w:numPr>
          <w:ilvl w:val="0"/>
          <w:numId w:val="16"/>
        </w:numPr>
        <w:tabs>
          <w:tab w:pos="655" w:val="left" w:leader="none"/>
        </w:tabs>
        <w:spacing w:line="254" w:lineRule="exact" w:before="0" w:after="0"/>
        <w:ind w:left="654" w:right="0" w:hanging="503"/>
        <w:jc w:val="left"/>
        <w:rPr>
          <w:sz w:val="20"/>
        </w:rPr>
      </w:pPr>
      <w:r>
        <w:rPr>
          <w:w w:val="95"/>
          <w:sz w:val="20"/>
        </w:rPr>
        <w:t>在第二趾，自末關節以上切斷者，或中足趾關節或第一趾關節喪失生理運動範圍二分之一上者。</w:t>
      </w:r>
    </w:p>
    <w:p>
      <w:pPr>
        <w:pStyle w:val="ListParagraph"/>
        <w:numPr>
          <w:ilvl w:val="0"/>
          <w:numId w:val="16"/>
        </w:numPr>
        <w:tabs>
          <w:tab w:pos="655" w:val="left" w:leader="none"/>
        </w:tabs>
        <w:spacing w:line="240" w:lineRule="auto" w:before="2" w:after="0"/>
        <w:ind w:left="654" w:right="0" w:hanging="503"/>
        <w:jc w:val="left"/>
        <w:rPr>
          <w:sz w:val="20"/>
        </w:rPr>
      </w:pPr>
      <w:r>
        <w:rPr>
          <w:w w:val="95"/>
          <w:sz w:val="20"/>
        </w:rPr>
        <w:t>在第三、四、五各趾，係指末關節以上切斷或中足趾關節及第一趾關節均完全強直者。</w:t>
      </w:r>
    </w:p>
    <w:p>
      <w:pPr>
        <w:pStyle w:val="BodyText"/>
        <w:spacing w:before="7"/>
        <w:rPr>
          <w:sz w:val="15"/>
        </w:rPr>
      </w:pPr>
    </w:p>
    <w:p>
      <w:pPr>
        <w:pStyle w:val="Heading1"/>
      </w:pPr>
      <w:r>
        <w:rPr/>
        <w:t>註15：</w:t>
      </w:r>
    </w:p>
    <w:p>
      <w:pPr>
        <w:pStyle w:val="BodyText"/>
        <w:spacing w:line="235" w:lineRule="exact"/>
        <w:ind w:left="152"/>
      </w:pPr>
      <w:r>
        <w:rPr/>
        <w:t>15-1.機能永久喪失及遺存各級障害之判定，以被保險人於意外傷害事故發生之日起，並經六個月治療後症狀</w:t>
      </w:r>
    </w:p>
    <w:p>
      <w:pPr>
        <w:pStyle w:val="BodyText"/>
        <w:spacing w:before="6"/>
        <w:ind w:left="652"/>
      </w:pPr>
      <w:r>
        <w:rPr/>
        <w:t>固定，再行治療仍不能期待治療效果的結果為基準判定。但立即可判定者不在此限。</w:t>
      </w:r>
    </w:p>
    <w:p>
      <w:pPr>
        <w:spacing w:after="0"/>
        <w:sectPr>
          <w:pgSz w:w="11910" w:h="16850"/>
          <w:pgMar w:header="0" w:footer="775" w:top="1360" w:bottom="1040" w:left="980" w:right="1000"/>
        </w:sectPr>
      </w:pPr>
    </w:p>
    <w:p>
      <w:pPr>
        <w:pStyle w:val="BodyText"/>
        <w:ind w:left="336"/>
      </w:pPr>
      <w:r>
        <w:rPr/>
        <w:drawing>
          <wp:inline distT="0" distB="0" distL="0" distR="0">
            <wp:extent cx="5713959" cy="2179320"/>
            <wp:effectExtent l="0" t="0" r="0" b="0"/>
            <wp:docPr id="19"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5713959" cy="2179320"/>
                    </a:xfrm>
                    <a:prstGeom prst="rect">
                      <a:avLst/>
                    </a:prstGeom>
                  </pic:spPr>
                </pic:pic>
              </a:graphicData>
            </a:graphic>
          </wp:inline>
        </w:drawing>
      </w:r>
      <w:r>
        <w:rPr/>
      </w:r>
    </w:p>
    <w:p>
      <w:pPr>
        <w:pStyle w:val="BodyText"/>
        <w:spacing w:before="10"/>
        <w:rPr>
          <w:sz w:val="13"/>
        </w:rPr>
      </w:pPr>
    </w:p>
    <w:p>
      <w:pPr>
        <w:pStyle w:val="BodyText"/>
        <w:spacing w:line="242" w:lineRule="auto" w:before="60"/>
        <w:ind w:left="152" w:right="6772"/>
      </w:pPr>
      <w:r>
        <w:rPr/>
        <w:drawing>
          <wp:anchor distT="0" distB="0" distL="0" distR="0" allowOverlap="1" layoutInCell="1" locked="0" behindDoc="1" simplePos="0" relativeHeight="486299136">
            <wp:simplePos x="0" y="0"/>
            <wp:positionH relativeFrom="page">
              <wp:posOffset>2872165</wp:posOffset>
            </wp:positionH>
            <wp:positionV relativeFrom="paragraph">
              <wp:posOffset>-107113</wp:posOffset>
            </wp:positionV>
            <wp:extent cx="1838868" cy="4433441"/>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8868" cy="4433441"/>
                    </a:xfrm>
                    <a:prstGeom prst="rect">
                      <a:avLst/>
                    </a:prstGeom>
                  </pic:spPr>
                </pic:pic>
              </a:graphicData>
            </a:graphic>
          </wp:anchor>
        </w:drawing>
      </w:r>
      <w:r>
        <w:rPr>
          <w:spacing w:val="-1"/>
        </w:rPr>
        <w:t>上、下肢關節生理運動範圍一覽表</w:t>
      </w:r>
      <w:r>
        <w:rPr/>
        <w:t>上肢：</w:t>
      </w:r>
    </w:p>
    <w:p>
      <w:pPr>
        <w:pStyle w:val="BodyText"/>
        <w:spacing w:before="8"/>
        <w:rPr>
          <w:sz w:val="13"/>
        </w:rPr>
      </w:pPr>
    </w:p>
    <w:tbl>
      <w:tblPr>
        <w:tblW w:w="0" w:type="auto"/>
        <w:jc w:val="left"/>
        <w:tblInd w:w="8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2"/>
        <w:gridCol w:w="2365"/>
      </w:tblGrid>
      <w:tr>
        <w:trPr>
          <w:trHeight w:val="649" w:hRule="atLeast"/>
        </w:trPr>
        <w:tc>
          <w:tcPr>
            <w:tcW w:w="1334" w:type="dxa"/>
            <w:tcBorders>
              <w:bottom w:val="single" w:sz="6" w:space="0" w:color="000000"/>
              <w:right w:val="single" w:sz="6" w:space="0" w:color="000000"/>
            </w:tcBorders>
          </w:tcPr>
          <w:p>
            <w:pPr>
              <w:pStyle w:val="TableParagraph"/>
              <w:spacing w:before="4"/>
              <w:jc w:val="left"/>
              <w:rPr>
                <w:sz w:val="14"/>
              </w:rPr>
            </w:pPr>
          </w:p>
          <w:p>
            <w:pPr>
              <w:pStyle w:val="TableParagraph"/>
              <w:ind w:left="265"/>
              <w:jc w:val="left"/>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54"/>
              <w:ind w:left="616" w:right="586"/>
              <w:rPr>
                <w:sz w:val="20"/>
              </w:rPr>
            </w:pPr>
            <w:r>
              <w:rPr>
                <w:w w:val="95"/>
                <w:sz w:val="20"/>
              </w:rPr>
              <w:t>前舉</w:t>
            </w:r>
          </w:p>
          <w:p>
            <w:pPr>
              <w:pStyle w:val="TableParagraph"/>
              <w:spacing w:before="5"/>
              <w:ind w:left="615" w:right="589"/>
              <w:rPr>
                <w:sz w:val="20"/>
              </w:rPr>
            </w:pPr>
            <w:r>
              <w:rPr>
                <w:sz w:val="20"/>
              </w:rPr>
              <w:t>(正常180度)</w:t>
            </w:r>
          </w:p>
        </w:tc>
        <w:tc>
          <w:tcPr>
            <w:tcW w:w="2362" w:type="dxa"/>
            <w:tcBorders>
              <w:left w:val="single" w:sz="6" w:space="0" w:color="000000"/>
              <w:bottom w:val="single" w:sz="6" w:space="0" w:color="000000"/>
              <w:right w:val="single" w:sz="6" w:space="0" w:color="000000"/>
            </w:tcBorders>
          </w:tcPr>
          <w:p>
            <w:pPr>
              <w:pStyle w:val="TableParagraph"/>
              <w:spacing w:before="54"/>
              <w:ind w:left="616" w:right="587"/>
              <w:rPr>
                <w:sz w:val="20"/>
              </w:rPr>
            </w:pPr>
            <w:r>
              <w:rPr>
                <w:w w:val="95"/>
                <w:sz w:val="20"/>
              </w:rPr>
              <w:t>後舉</w:t>
            </w:r>
          </w:p>
          <w:p>
            <w:pPr>
              <w:pStyle w:val="TableParagraph"/>
              <w:spacing w:before="5"/>
              <w:ind w:left="616" w:right="588"/>
              <w:rPr>
                <w:sz w:val="20"/>
              </w:rPr>
            </w:pPr>
            <w:r>
              <w:rPr>
                <w:sz w:val="20"/>
              </w:rPr>
              <w:t>(正常60度)</w:t>
            </w:r>
          </w:p>
        </w:tc>
        <w:tc>
          <w:tcPr>
            <w:tcW w:w="2365" w:type="dxa"/>
            <w:tcBorders>
              <w:left w:val="single" w:sz="6" w:space="0" w:color="000000"/>
              <w:bottom w:val="single" w:sz="6" w:space="0" w:color="000000"/>
            </w:tcBorders>
          </w:tcPr>
          <w:p>
            <w:pPr>
              <w:pStyle w:val="TableParagraph"/>
              <w:spacing w:before="54"/>
              <w:ind w:left="516" w:right="481"/>
              <w:rPr>
                <w:sz w:val="20"/>
              </w:rPr>
            </w:pPr>
            <w:r>
              <w:rPr>
                <w:sz w:val="20"/>
              </w:rPr>
              <w:t>關節活動度</w:t>
            </w:r>
          </w:p>
          <w:p>
            <w:pPr>
              <w:pStyle w:val="TableParagraph"/>
              <w:spacing w:before="5"/>
              <w:ind w:left="517" w:right="481"/>
              <w:rPr>
                <w:sz w:val="20"/>
              </w:rPr>
            </w:pPr>
            <w:r>
              <w:rPr>
                <w:sz w:val="20"/>
              </w:rPr>
              <w:t>（正常240度）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6"/>
              <w:rPr>
                <w:sz w:val="20"/>
              </w:rPr>
            </w:pPr>
            <w:r>
              <w:rPr>
                <w:w w:val="95"/>
                <w:sz w:val="20"/>
              </w:rPr>
              <w:t>前舉</w:t>
            </w:r>
          </w:p>
          <w:p>
            <w:pPr>
              <w:pStyle w:val="TableParagraph"/>
              <w:spacing w:before="5"/>
              <w:ind w:left="615" w:right="589"/>
              <w:rPr>
                <w:sz w:val="20"/>
              </w:rPr>
            </w:pPr>
            <w:r>
              <w:rPr>
                <w:sz w:val="20"/>
              </w:rPr>
              <w:t>(正常180度)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7"/>
              <w:rPr>
                <w:sz w:val="20"/>
              </w:rPr>
            </w:pPr>
            <w:r>
              <w:rPr>
                <w:w w:val="95"/>
                <w:sz w:val="20"/>
              </w:rPr>
              <w:t>後舉</w:t>
            </w:r>
          </w:p>
          <w:p>
            <w:pPr>
              <w:pStyle w:val="TableParagraph"/>
              <w:spacing w:before="5"/>
              <w:ind w:left="616" w:right="588"/>
              <w:rPr>
                <w:sz w:val="20"/>
              </w:rPr>
            </w:pPr>
            <w:r>
              <w:rPr>
                <w:sz w:val="20"/>
              </w:rPr>
              <w:t>(正常60度)</w:t>
            </w:r>
          </w:p>
        </w:tc>
        <w:tc>
          <w:tcPr>
            <w:tcW w:w="2365" w:type="dxa"/>
            <w:tcBorders>
              <w:top w:val="single" w:sz="6" w:space="0" w:color="000000"/>
              <w:left w:val="single" w:sz="6" w:space="0" w:color="000000"/>
              <w:bottom w:val="single" w:sz="6" w:space="0" w:color="000000"/>
            </w:tcBorders>
          </w:tcPr>
          <w:p>
            <w:pPr>
              <w:pStyle w:val="TableParagraph"/>
              <w:spacing w:before="61"/>
              <w:ind w:left="516" w:right="481"/>
              <w:rPr>
                <w:sz w:val="20"/>
              </w:rPr>
            </w:pPr>
            <w:r>
              <w:rPr>
                <w:sz w:val="20"/>
              </w:rPr>
              <w:t>關節活動度</w:t>
            </w:r>
          </w:p>
          <w:p>
            <w:pPr>
              <w:pStyle w:val="TableParagraph"/>
              <w:spacing w:before="5"/>
              <w:ind w:left="517" w:right="481"/>
              <w:rPr>
                <w:sz w:val="20"/>
              </w:rPr>
            </w:pPr>
            <w:r>
              <w:rPr>
                <w:sz w:val="20"/>
              </w:rPr>
              <w:t>（正常240度）</w:t>
            </w:r>
          </w:p>
        </w:tc>
      </w:tr>
      <w:tr>
        <w:trPr>
          <w:trHeight w:val="666"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6" w:right="586"/>
              <w:rPr>
                <w:sz w:val="20"/>
              </w:rPr>
            </w:pPr>
            <w:r>
              <w:rPr>
                <w:w w:val="95"/>
                <w:sz w:val="20"/>
              </w:rPr>
              <w:t>屈曲</w:t>
            </w:r>
          </w:p>
          <w:p>
            <w:pPr>
              <w:pStyle w:val="TableParagraph"/>
              <w:spacing w:before="3"/>
              <w:ind w:left="615" w:right="589"/>
              <w:rPr>
                <w:sz w:val="20"/>
              </w:rPr>
            </w:pPr>
            <w:r>
              <w:rPr>
                <w:sz w:val="20"/>
              </w:rPr>
              <w:t>(正常145度)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6" w:right="587"/>
              <w:rPr>
                <w:sz w:val="20"/>
              </w:rPr>
            </w:pPr>
            <w:r>
              <w:rPr>
                <w:w w:val="95"/>
                <w:sz w:val="20"/>
              </w:rPr>
              <w:t>伸展</w:t>
            </w:r>
          </w:p>
          <w:p>
            <w:pPr>
              <w:pStyle w:val="TableParagraph"/>
              <w:spacing w:before="3"/>
              <w:ind w:left="616" w:right="588"/>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3"/>
              <w:ind w:left="516" w:right="481"/>
              <w:rPr>
                <w:sz w:val="20"/>
              </w:rPr>
            </w:pPr>
            <w:r>
              <w:rPr>
                <w:sz w:val="20"/>
              </w:rPr>
              <w:t>關節活動度</w:t>
            </w:r>
          </w:p>
          <w:p>
            <w:pPr>
              <w:pStyle w:val="TableParagraph"/>
              <w:spacing w:before="3"/>
              <w:ind w:left="517" w:right="481"/>
              <w:rPr>
                <w:sz w:val="20"/>
              </w:rPr>
            </w:pPr>
            <w:r>
              <w:rPr>
                <w:sz w:val="20"/>
              </w:rPr>
              <w:t>（正常145度）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65"/>
              <w:jc w:val="left"/>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6"/>
              <w:rPr>
                <w:sz w:val="20"/>
              </w:rPr>
            </w:pPr>
            <w:r>
              <w:rPr>
                <w:w w:val="95"/>
                <w:sz w:val="20"/>
              </w:rPr>
              <w:t>屈曲</w:t>
            </w:r>
          </w:p>
          <w:p>
            <w:pPr>
              <w:pStyle w:val="TableParagraph"/>
              <w:spacing w:before="3"/>
              <w:ind w:left="615" w:right="589"/>
              <w:rPr>
                <w:sz w:val="20"/>
              </w:rPr>
            </w:pPr>
            <w:r>
              <w:rPr>
                <w:sz w:val="20"/>
              </w:rPr>
              <w:t>(正常145度)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7"/>
              <w:rPr>
                <w:sz w:val="20"/>
              </w:rPr>
            </w:pPr>
            <w:r>
              <w:rPr>
                <w:w w:val="95"/>
                <w:sz w:val="20"/>
              </w:rPr>
              <w:t>伸展</w:t>
            </w:r>
          </w:p>
          <w:p>
            <w:pPr>
              <w:pStyle w:val="TableParagraph"/>
              <w:spacing w:before="3"/>
              <w:ind w:left="616" w:right="588"/>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1"/>
              <w:ind w:left="516" w:right="481"/>
              <w:rPr>
                <w:sz w:val="20"/>
              </w:rPr>
            </w:pPr>
            <w:r>
              <w:rPr>
                <w:sz w:val="20"/>
              </w:rPr>
              <w:t>關節活動度</w:t>
            </w:r>
          </w:p>
          <w:p>
            <w:pPr>
              <w:pStyle w:val="TableParagraph"/>
              <w:spacing w:before="3"/>
              <w:ind w:left="517" w:right="481"/>
              <w:rPr>
                <w:sz w:val="20"/>
              </w:rPr>
            </w:pPr>
            <w:r>
              <w:rPr>
                <w:sz w:val="20"/>
              </w:rPr>
              <w:t>（正常145度）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6"/>
              <w:rPr>
                <w:sz w:val="20"/>
              </w:rPr>
            </w:pPr>
            <w:r>
              <w:rPr>
                <w:w w:val="95"/>
                <w:sz w:val="20"/>
              </w:rPr>
              <w:t>掌屈</w:t>
            </w:r>
          </w:p>
          <w:p>
            <w:pPr>
              <w:pStyle w:val="TableParagraph"/>
              <w:spacing w:before="6"/>
              <w:ind w:left="616" w:right="588"/>
              <w:rPr>
                <w:sz w:val="20"/>
              </w:rPr>
            </w:pPr>
            <w:r>
              <w:rPr>
                <w:sz w:val="20"/>
              </w:rPr>
              <w:t>(正常80度)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7"/>
              <w:rPr>
                <w:sz w:val="20"/>
              </w:rPr>
            </w:pPr>
            <w:r>
              <w:rPr>
                <w:w w:val="95"/>
                <w:sz w:val="20"/>
              </w:rPr>
              <w:t>背屈</w:t>
            </w:r>
          </w:p>
          <w:p>
            <w:pPr>
              <w:pStyle w:val="TableParagraph"/>
              <w:spacing w:before="6"/>
              <w:ind w:left="616" w:right="588"/>
              <w:rPr>
                <w:sz w:val="20"/>
              </w:rPr>
            </w:pPr>
            <w:r>
              <w:rPr>
                <w:sz w:val="20"/>
              </w:rPr>
              <w:t>(正常70度)</w:t>
            </w:r>
          </w:p>
        </w:tc>
        <w:tc>
          <w:tcPr>
            <w:tcW w:w="2365" w:type="dxa"/>
            <w:tcBorders>
              <w:top w:val="single" w:sz="6" w:space="0" w:color="000000"/>
              <w:left w:val="single" w:sz="6" w:space="0" w:color="000000"/>
              <w:bottom w:val="single" w:sz="6" w:space="0" w:color="000000"/>
            </w:tcBorders>
          </w:tcPr>
          <w:p>
            <w:pPr>
              <w:pStyle w:val="TableParagraph"/>
              <w:spacing w:before="61"/>
              <w:ind w:left="516" w:right="481"/>
              <w:rPr>
                <w:sz w:val="20"/>
              </w:rPr>
            </w:pPr>
            <w:r>
              <w:rPr>
                <w:sz w:val="20"/>
              </w:rPr>
              <w:t>關節活動度</w:t>
            </w:r>
          </w:p>
          <w:p>
            <w:pPr>
              <w:pStyle w:val="TableParagraph"/>
              <w:spacing w:before="6"/>
              <w:ind w:left="517" w:right="481"/>
              <w:rPr>
                <w:sz w:val="20"/>
              </w:rPr>
            </w:pPr>
            <w:r>
              <w:rPr>
                <w:sz w:val="20"/>
              </w:rPr>
              <w:t>（正常150度）</w:t>
            </w:r>
          </w:p>
        </w:tc>
      </w:tr>
      <w:tr>
        <w:trPr>
          <w:trHeight w:val="663" w:hRule="atLeast"/>
        </w:trPr>
        <w:tc>
          <w:tcPr>
            <w:tcW w:w="1334" w:type="dxa"/>
            <w:tcBorders>
              <w:top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3"/>
              <w:ind w:left="616" w:right="586"/>
              <w:rPr>
                <w:sz w:val="20"/>
              </w:rPr>
            </w:pPr>
            <w:r>
              <w:rPr>
                <w:w w:val="95"/>
                <w:sz w:val="20"/>
              </w:rPr>
              <w:t>掌屈</w:t>
            </w:r>
          </w:p>
          <w:p>
            <w:pPr>
              <w:pStyle w:val="TableParagraph"/>
              <w:spacing w:before="3"/>
              <w:ind w:left="616" w:right="588"/>
              <w:rPr>
                <w:sz w:val="20"/>
              </w:rPr>
            </w:pPr>
            <w:r>
              <w:rPr>
                <w:sz w:val="20"/>
              </w:rPr>
              <w:t>(正常80度)</w:t>
            </w:r>
          </w:p>
        </w:tc>
        <w:tc>
          <w:tcPr>
            <w:tcW w:w="2362" w:type="dxa"/>
            <w:tcBorders>
              <w:top w:val="single" w:sz="6" w:space="0" w:color="000000"/>
              <w:left w:val="single" w:sz="6" w:space="0" w:color="000000"/>
              <w:right w:val="single" w:sz="6" w:space="0" w:color="000000"/>
            </w:tcBorders>
          </w:tcPr>
          <w:p>
            <w:pPr>
              <w:pStyle w:val="TableParagraph"/>
              <w:spacing w:before="63"/>
              <w:ind w:left="616" w:right="587"/>
              <w:rPr>
                <w:sz w:val="20"/>
              </w:rPr>
            </w:pPr>
            <w:r>
              <w:rPr>
                <w:w w:val="95"/>
                <w:sz w:val="20"/>
              </w:rPr>
              <w:t>背屈</w:t>
            </w:r>
          </w:p>
          <w:p>
            <w:pPr>
              <w:pStyle w:val="TableParagraph"/>
              <w:spacing w:before="3"/>
              <w:ind w:left="616" w:right="588"/>
              <w:rPr>
                <w:sz w:val="20"/>
              </w:rPr>
            </w:pPr>
            <w:r>
              <w:rPr>
                <w:sz w:val="20"/>
              </w:rPr>
              <w:t>(正常70度)</w:t>
            </w:r>
          </w:p>
        </w:tc>
        <w:tc>
          <w:tcPr>
            <w:tcW w:w="2365" w:type="dxa"/>
            <w:tcBorders>
              <w:top w:val="single" w:sz="6" w:space="0" w:color="000000"/>
              <w:left w:val="single" w:sz="6" w:space="0" w:color="000000"/>
            </w:tcBorders>
          </w:tcPr>
          <w:p>
            <w:pPr>
              <w:pStyle w:val="TableParagraph"/>
              <w:spacing w:before="63"/>
              <w:ind w:left="516" w:right="481"/>
              <w:rPr>
                <w:sz w:val="20"/>
              </w:rPr>
            </w:pPr>
            <w:r>
              <w:rPr>
                <w:sz w:val="20"/>
              </w:rPr>
              <w:t>關節活動度</w:t>
            </w:r>
          </w:p>
          <w:p>
            <w:pPr>
              <w:pStyle w:val="TableParagraph"/>
              <w:spacing w:before="3"/>
              <w:ind w:left="517" w:right="481"/>
              <w:rPr>
                <w:sz w:val="20"/>
              </w:rPr>
            </w:pPr>
            <w:r>
              <w:rPr>
                <w:sz w:val="20"/>
              </w:rPr>
              <w:t>（正常150度）</w:t>
            </w:r>
          </w:p>
        </w:tc>
      </w:tr>
    </w:tbl>
    <w:p>
      <w:pPr>
        <w:pStyle w:val="BodyText"/>
        <w:spacing w:before="140" w:after="17"/>
        <w:ind w:left="152"/>
      </w:pPr>
      <w:r>
        <w:rPr>
          <w:w w:val="95"/>
        </w:rPr>
        <w:t>下肢：</w:t>
      </w:r>
    </w:p>
    <w:tbl>
      <w:tblPr>
        <w:tblW w:w="0" w:type="auto"/>
        <w:jc w:val="left"/>
        <w:tblInd w:w="8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49" w:hRule="atLeast"/>
        </w:trPr>
        <w:tc>
          <w:tcPr>
            <w:tcW w:w="1277" w:type="dxa"/>
            <w:tcBorders>
              <w:bottom w:val="single" w:sz="6" w:space="0" w:color="000000"/>
              <w:right w:val="single" w:sz="6" w:space="0" w:color="000000"/>
            </w:tcBorders>
          </w:tcPr>
          <w:p>
            <w:pPr>
              <w:pStyle w:val="TableParagraph"/>
              <w:spacing w:before="4"/>
              <w:jc w:val="left"/>
              <w:rPr>
                <w:sz w:val="14"/>
              </w:rPr>
            </w:pPr>
          </w:p>
          <w:p>
            <w:pPr>
              <w:pStyle w:val="TableParagraph"/>
              <w:ind w:left="218" w:right="195"/>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54"/>
              <w:ind w:left="616" w:right="583"/>
              <w:rPr>
                <w:sz w:val="20"/>
              </w:rPr>
            </w:pPr>
            <w:r>
              <w:rPr>
                <w:w w:val="95"/>
                <w:sz w:val="20"/>
              </w:rPr>
              <w:t>屈曲</w:t>
            </w:r>
          </w:p>
          <w:p>
            <w:pPr>
              <w:pStyle w:val="TableParagraph"/>
              <w:spacing w:before="2"/>
              <w:ind w:left="616" w:right="587"/>
              <w:rPr>
                <w:sz w:val="20"/>
              </w:rPr>
            </w:pPr>
            <w:r>
              <w:rPr>
                <w:sz w:val="20"/>
              </w:rPr>
              <w:t>(正常125度)</w:t>
            </w:r>
          </w:p>
        </w:tc>
        <w:tc>
          <w:tcPr>
            <w:tcW w:w="2362" w:type="dxa"/>
            <w:tcBorders>
              <w:left w:val="single" w:sz="6" w:space="0" w:color="000000"/>
              <w:bottom w:val="single" w:sz="6" w:space="0" w:color="000000"/>
              <w:right w:val="single" w:sz="6" w:space="0" w:color="000000"/>
            </w:tcBorders>
          </w:tcPr>
          <w:p>
            <w:pPr>
              <w:pStyle w:val="TableParagraph"/>
              <w:spacing w:before="54"/>
              <w:ind w:left="616" w:right="579"/>
              <w:rPr>
                <w:sz w:val="20"/>
              </w:rPr>
            </w:pPr>
            <w:r>
              <w:rPr>
                <w:w w:val="95"/>
                <w:sz w:val="20"/>
              </w:rPr>
              <w:t>伸展</w:t>
            </w:r>
          </w:p>
          <w:p>
            <w:pPr>
              <w:pStyle w:val="TableParagraph"/>
              <w:spacing w:before="2"/>
              <w:ind w:left="616" w:right="579"/>
              <w:rPr>
                <w:sz w:val="20"/>
              </w:rPr>
            </w:pPr>
            <w:r>
              <w:rPr>
                <w:sz w:val="20"/>
              </w:rPr>
              <w:t>(正常10度)</w:t>
            </w:r>
          </w:p>
        </w:tc>
        <w:tc>
          <w:tcPr>
            <w:tcW w:w="2365" w:type="dxa"/>
            <w:tcBorders>
              <w:left w:val="single" w:sz="6" w:space="0" w:color="000000"/>
              <w:bottom w:val="single" w:sz="6" w:space="0" w:color="000000"/>
            </w:tcBorders>
          </w:tcPr>
          <w:p>
            <w:pPr>
              <w:pStyle w:val="TableParagraph"/>
              <w:spacing w:before="54"/>
              <w:ind w:left="519" w:right="480"/>
              <w:rPr>
                <w:sz w:val="20"/>
              </w:rPr>
            </w:pPr>
            <w:r>
              <w:rPr>
                <w:sz w:val="20"/>
              </w:rPr>
              <w:t>關節活動度</w:t>
            </w:r>
          </w:p>
          <w:p>
            <w:pPr>
              <w:pStyle w:val="TableParagraph"/>
              <w:spacing w:before="2"/>
              <w:ind w:left="519" w:right="480"/>
              <w:rPr>
                <w:sz w:val="20"/>
              </w:rPr>
            </w:pPr>
            <w:r>
              <w:rPr>
                <w:sz w:val="20"/>
              </w:rPr>
              <w:t>（正常135度）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3"/>
              <w:rPr>
                <w:sz w:val="20"/>
              </w:rPr>
            </w:pPr>
            <w:r>
              <w:rPr>
                <w:w w:val="95"/>
                <w:sz w:val="20"/>
              </w:rPr>
              <w:t>屈曲</w:t>
            </w:r>
          </w:p>
          <w:p>
            <w:pPr>
              <w:pStyle w:val="TableParagraph"/>
              <w:spacing w:before="5"/>
              <w:ind w:left="616" w:right="587"/>
              <w:rPr>
                <w:sz w:val="20"/>
              </w:rPr>
            </w:pPr>
            <w:r>
              <w:rPr>
                <w:sz w:val="20"/>
              </w:rPr>
              <w:t>(正常125度)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79"/>
              <w:rPr>
                <w:sz w:val="20"/>
              </w:rPr>
            </w:pPr>
            <w:r>
              <w:rPr>
                <w:w w:val="95"/>
                <w:sz w:val="20"/>
              </w:rPr>
              <w:t>伸展</w:t>
            </w:r>
          </w:p>
          <w:p>
            <w:pPr>
              <w:pStyle w:val="TableParagraph"/>
              <w:spacing w:before="5"/>
              <w:ind w:left="616" w:right="579"/>
              <w:rPr>
                <w:sz w:val="20"/>
              </w:rPr>
            </w:pPr>
            <w:r>
              <w:rPr>
                <w:sz w:val="20"/>
              </w:rPr>
              <w:t>(正常10度)</w:t>
            </w:r>
          </w:p>
        </w:tc>
        <w:tc>
          <w:tcPr>
            <w:tcW w:w="2365" w:type="dxa"/>
            <w:tcBorders>
              <w:top w:val="single" w:sz="6" w:space="0" w:color="000000"/>
              <w:left w:val="single" w:sz="6" w:space="0" w:color="000000"/>
              <w:bottom w:val="single" w:sz="6" w:space="0" w:color="000000"/>
            </w:tcBorders>
          </w:tcPr>
          <w:p>
            <w:pPr>
              <w:pStyle w:val="TableParagraph"/>
              <w:spacing w:before="61"/>
              <w:ind w:left="519" w:right="480"/>
              <w:rPr>
                <w:sz w:val="20"/>
              </w:rPr>
            </w:pPr>
            <w:r>
              <w:rPr>
                <w:sz w:val="20"/>
              </w:rPr>
              <w:t>關節活動度</w:t>
            </w:r>
          </w:p>
          <w:p>
            <w:pPr>
              <w:pStyle w:val="TableParagraph"/>
              <w:spacing w:before="5"/>
              <w:ind w:left="519" w:right="480"/>
              <w:rPr>
                <w:sz w:val="20"/>
              </w:rPr>
            </w:pPr>
            <w:r>
              <w:rPr>
                <w:sz w:val="20"/>
              </w:rPr>
              <w:t>（正常135度）</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6" w:right="583"/>
              <w:rPr>
                <w:sz w:val="20"/>
              </w:rPr>
            </w:pPr>
            <w:r>
              <w:rPr>
                <w:w w:val="95"/>
                <w:sz w:val="20"/>
              </w:rPr>
              <w:t>屈曲</w:t>
            </w:r>
          </w:p>
          <w:p>
            <w:pPr>
              <w:pStyle w:val="TableParagraph"/>
              <w:spacing w:before="3"/>
              <w:ind w:left="616" w:right="587"/>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6" w:right="579"/>
              <w:rPr>
                <w:sz w:val="20"/>
              </w:rPr>
            </w:pPr>
            <w:r>
              <w:rPr>
                <w:w w:val="95"/>
                <w:sz w:val="20"/>
              </w:rPr>
              <w:t>伸展</w:t>
            </w:r>
          </w:p>
          <w:p>
            <w:pPr>
              <w:pStyle w:val="TableParagraph"/>
              <w:spacing w:before="3"/>
              <w:ind w:left="616" w:right="579"/>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3"/>
              <w:ind w:left="519" w:right="480"/>
              <w:rPr>
                <w:sz w:val="20"/>
              </w:rPr>
            </w:pPr>
            <w:r>
              <w:rPr>
                <w:sz w:val="20"/>
              </w:rPr>
              <w:t>關節活動度</w:t>
            </w:r>
          </w:p>
          <w:p>
            <w:pPr>
              <w:pStyle w:val="TableParagraph"/>
              <w:spacing w:before="3"/>
              <w:ind w:left="519" w:right="480"/>
              <w:rPr>
                <w:sz w:val="20"/>
              </w:rPr>
            </w:pPr>
            <w:r>
              <w:rPr>
                <w:sz w:val="20"/>
              </w:rPr>
              <w:t>（正常140度）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2"/>
              <w:jc w:val="left"/>
              <w:rPr>
                <w:sz w:val="14"/>
              </w:rPr>
            </w:pPr>
          </w:p>
          <w:p>
            <w:pPr>
              <w:pStyle w:val="TableParagraph"/>
              <w:ind w:left="218" w:right="195"/>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2"/>
              <w:ind w:left="616" w:right="583"/>
              <w:rPr>
                <w:sz w:val="20"/>
              </w:rPr>
            </w:pPr>
            <w:r>
              <w:rPr>
                <w:w w:val="95"/>
                <w:sz w:val="20"/>
              </w:rPr>
              <w:t>屈曲</w:t>
            </w:r>
          </w:p>
          <w:p>
            <w:pPr>
              <w:pStyle w:val="TableParagraph"/>
              <w:spacing w:before="3"/>
              <w:ind w:left="616" w:right="587"/>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2"/>
              <w:ind w:left="616" w:right="579"/>
              <w:rPr>
                <w:sz w:val="20"/>
              </w:rPr>
            </w:pPr>
            <w:r>
              <w:rPr>
                <w:w w:val="95"/>
                <w:sz w:val="20"/>
              </w:rPr>
              <w:t>伸展</w:t>
            </w:r>
          </w:p>
          <w:p>
            <w:pPr>
              <w:pStyle w:val="TableParagraph"/>
              <w:spacing w:before="3"/>
              <w:ind w:left="616" w:right="579"/>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2"/>
              <w:ind w:left="519" w:right="480"/>
              <w:rPr>
                <w:sz w:val="20"/>
              </w:rPr>
            </w:pPr>
            <w:r>
              <w:rPr>
                <w:sz w:val="20"/>
              </w:rPr>
              <w:t>關節活動度</w:t>
            </w:r>
          </w:p>
          <w:p>
            <w:pPr>
              <w:pStyle w:val="TableParagraph"/>
              <w:spacing w:before="3"/>
              <w:ind w:left="519" w:right="480"/>
              <w:rPr>
                <w:sz w:val="20"/>
              </w:rPr>
            </w:pPr>
            <w:r>
              <w:rPr>
                <w:sz w:val="20"/>
              </w:rPr>
              <w:t>（正常140度）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83"/>
              <w:rPr>
                <w:sz w:val="20"/>
              </w:rPr>
            </w:pPr>
            <w:r>
              <w:rPr>
                <w:w w:val="95"/>
                <w:sz w:val="20"/>
              </w:rPr>
              <w:t>蹠曲</w:t>
            </w:r>
          </w:p>
          <w:p>
            <w:pPr>
              <w:pStyle w:val="TableParagraph"/>
              <w:spacing w:before="5"/>
              <w:ind w:left="616" w:right="584"/>
              <w:rPr>
                <w:sz w:val="20"/>
              </w:rPr>
            </w:pPr>
            <w:r>
              <w:rPr>
                <w:sz w:val="20"/>
              </w:rPr>
              <w:t>(正常45度)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6" w:right="579"/>
              <w:rPr>
                <w:sz w:val="20"/>
              </w:rPr>
            </w:pPr>
            <w:r>
              <w:rPr>
                <w:w w:val="95"/>
                <w:sz w:val="20"/>
              </w:rPr>
              <w:t>背屈</w:t>
            </w:r>
          </w:p>
          <w:p>
            <w:pPr>
              <w:pStyle w:val="TableParagraph"/>
              <w:spacing w:before="5"/>
              <w:ind w:left="616" w:right="579"/>
              <w:rPr>
                <w:sz w:val="20"/>
              </w:rPr>
            </w:pPr>
            <w:r>
              <w:rPr>
                <w:sz w:val="20"/>
              </w:rPr>
              <w:t>(正常20度)</w:t>
            </w:r>
          </w:p>
        </w:tc>
        <w:tc>
          <w:tcPr>
            <w:tcW w:w="2365" w:type="dxa"/>
            <w:tcBorders>
              <w:top w:val="single" w:sz="6" w:space="0" w:color="000000"/>
              <w:left w:val="single" w:sz="6" w:space="0" w:color="000000"/>
              <w:bottom w:val="single" w:sz="6" w:space="0" w:color="000000"/>
            </w:tcBorders>
          </w:tcPr>
          <w:p>
            <w:pPr>
              <w:pStyle w:val="TableParagraph"/>
              <w:spacing w:before="61"/>
              <w:ind w:right="649"/>
              <w:jc w:val="right"/>
              <w:rPr>
                <w:sz w:val="20"/>
              </w:rPr>
            </w:pPr>
            <w:r>
              <w:rPr>
                <w:sz w:val="20"/>
              </w:rPr>
              <w:t>關節活動度</w:t>
            </w:r>
          </w:p>
          <w:p>
            <w:pPr>
              <w:pStyle w:val="TableParagraph"/>
              <w:spacing w:before="5"/>
              <w:ind w:right="550"/>
              <w:jc w:val="right"/>
              <w:rPr>
                <w:sz w:val="20"/>
              </w:rPr>
            </w:pPr>
            <w:r>
              <w:rPr>
                <w:sz w:val="20"/>
              </w:rPr>
              <w:t>（正常65度）</w:t>
            </w:r>
          </w:p>
        </w:tc>
      </w:tr>
      <w:tr>
        <w:trPr>
          <w:trHeight w:val="663" w:hRule="atLeast"/>
        </w:trPr>
        <w:tc>
          <w:tcPr>
            <w:tcW w:w="1277" w:type="dxa"/>
            <w:tcBorders>
              <w:top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63"/>
              <w:ind w:left="616" w:right="583"/>
              <w:rPr>
                <w:sz w:val="20"/>
              </w:rPr>
            </w:pPr>
            <w:r>
              <w:rPr>
                <w:w w:val="95"/>
                <w:sz w:val="20"/>
              </w:rPr>
              <w:t>蹠曲</w:t>
            </w:r>
          </w:p>
          <w:p>
            <w:pPr>
              <w:pStyle w:val="TableParagraph"/>
              <w:spacing w:before="3"/>
              <w:ind w:left="616" w:right="584"/>
              <w:rPr>
                <w:sz w:val="20"/>
              </w:rPr>
            </w:pPr>
            <w:r>
              <w:rPr>
                <w:sz w:val="20"/>
              </w:rPr>
              <w:t>(正常45度)</w:t>
            </w:r>
          </w:p>
        </w:tc>
        <w:tc>
          <w:tcPr>
            <w:tcW w:w="2362" w:type="dxa"/>
            <w:tcBorders>
              <w:top w:val="single" w:sz="6" w:space="0" w:color="000000"/>
              <w:left w:val="single" w:sz="6" w:space="0" w:color="000000"/>
              <w:right w:val="single" w:sz="6" w:space="0" w:color="000000"/>
            </w:tcBorders>
          </w:tcPr>
          <w:p>
            <w:pPr>
              <w:pStyle w:val="TableParagraph"/>
              <w:spacing w:before="63"/>
              <w:ind w:left="616" w:right="579"/>
              <w:rPr>
                <w:sz w:val="20"/>
              </w:rPr>
            </w:pPr>
            <w:r>
              <w:rPr>
                <w:w w:val="95"/>
                <w:sz w:val="20"/>
              </w:rPr>
              <w:t>背屈</w:t>
            </w:r>
          </w:p>
          <w:p>
            <w:pPr>
              <w:pStyle w:val="TableParagraph"/>
              <w:spacing w:before="3"/>
              <w:ind w:left="616" w:right="579"/>
              <w:rPr>
                <w:sz w:val="20"/>
              </w:rPr>
            </w:pPr>
            <w:r>
              <w:rPr>
                <w:sz w:val="20"/>
              </w:rPr>
              <w:t>(正常20度)</w:t>
            </w:r>
          </w:p>
        </w:tc>
        <w:tc>
          <w:tcPr>
            <w:tcW w:w="2365" w:type="dxa"/>
            <w:tcBorders>
              <w:top w:val="single" w:sz="6" w:space="0" w:color="000000"/>
              <w:left w:val="single" w:sz="6" w:space="0" w:color="000000"/>
            </w:tcBorders>
          </w:tcPr>
          <w:p>
            <w:pPr>
              <w:pStyle w:val="TableParagraph"/>
              <w:spacing w:before="63"/>
              <w:ind w:right="649"/>
              <w:jc w:val="right"/>
              <w:rPr>
                <w:sz w:val="20"/>
              </w:rPr>
            </w:pPr>
            <w:r>
              <w:rPr>
                <w:sz w:val="20"/>
              </w:rPr>
              <w:t>關節活動度</w:t>
            </w:r>
          </w:p>
          <w:p>
            <w:pPr>
              <w:pStyle w:val="TableParagraph"/>
              <w:spacing w:before="3"/>
              <w:ind w:right="550"/>
              <w:jc w:val="right"/>
              <w:rPr>
                <w:sz w:val="20"/>
              </w:rPr>
            </w:pPr>
            <w:r>
              <w:rPr>
                <w:sz w:val="20"/>
              </w:rPr>
              <w:t>（正常65度）</w:t>
            </w:r>
          </w:p>
        </w:tc>
      </w:tr>
    </w:tbl>
    <w:p>
      <w:pPr>
        <w:pStyle w:val="BodyText"/>
        <w:spacing w:before="12"/>
        <w:rPr>
          <w:sz w:val="14"/>
        </w:rPr>
      </w:pPr>
    </w:p>
    <w:p>
      <w:pPr>
        <w:pStyle w:val="BodyText"/>
        <w:spacing w:line="244" w:lineRule="auto" w:before="59"/>
        <w:ind w:left="152" w:right="174"/>
      </w:pPr>
      <w:r>
        <w:rPr>
          <w:w w:val="95"/>
        </w:rPr>
        <w:t>若被保險人可證明其另一正常側之肢體關節活動度大於上述表定關節活動度時，則依其正常側之肢體關節活動</w:t>
      </w:r>
      <w:r>
        <w:rPr>
          <w:spacing w:val="185"/>
        </w:rPr>
        <w:t> </w:t>
      </w:r>
      <w:r>
        <w:rPr/>
        <w:t>度作為生理運動範圍之測定標準。</w:t>
      </w:r>
    </w:p>
    <w:p>
      <w:pPr>
        <w:spacing w:after="0" w:line="244" w:lineRule="auto"/>
        <w:sectPr>
          <w:pgSz w:w="11910" w:h="16850"/>
          <w:pgMar w:header="0" w:footer="775" w:top="1500" w:bottom="1040" w:left="980" w:right="1000"/>
        </w:sectPr>
      </w:pPr>
    </w:p>
    <w:p>
      <w:pPr>
        <w:pStyle w:val="BodyText"/>
        <w:spacing w:before="47"/>
        <w:ind w:left="152"/>
      </w:pPr>
      <w:r>
        <w:rPr/>
        <w:t>附件：短期費率表</w:t>
      </w:r>
    </w:p>
    <w:p>
      <w:pPr>
        <w:pStyle w:val="BodyText"/>
        <w:spacing w:before="3" w:after="14"/>
        <w:ind w:left="152"/>
      </w:pPr>
      <w:r>
        <w:rPr>
          <w:w w:val="95"/>
        </w:rPr>
        <w:t>一、一個月以上短期費率</w:t>
      </w: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0"/>
        <w:gridCol w:w="681"/>
        <w:gridCol w:w="679"/>
        <w:gridCol w:w="680"/>
        <w:gridCol w:w="682"/>
        <w:gridCol w:w="680"/>
        <w:gridCol w:w="680"/>
        <w:gridCol w:w="683"/>
        <w:gridCol w:w="680"/>
        <w:gridCol w:w="680"/>
        <w:gridCol w:w="682"/>
        <w:gridCol w:w="680"/>
        <w:gridCol w:w="679"/>
      </w:tblGrid>
      <w:tr>
        <w:trPr>
          <w:trHeight w:val="567" w:hRule="atLeast"/>
        </w:trPr>
        <w:tc>
          <w:tcPr>
            <w:tcW w:w="1200" w:type="dxa"/>
            <w:tcBorders>
              <w:bottom w:val="single" w:sz="4" w:space="0" w:color="000000"/>
              <w:right w:val="single" w:sz="4" w:space="0" w:color="000000"/>
            </w:tcBorders>
            <w:shd w:val="clear" w:color="auto" w:fill="E6E6E6"/>
          </w:tcPr>
          <w:p>
            <w:pPr>
              <w:pStyle w:val="TableParagraph"/>
              <w:spacing w:before="145"/>
              <w:ind w:left="400"/>
              <w:jc w:val="left"/>
              <w:rPr>
                <w:sz w:val="20"/>
              </w:rPr>
            </w:pPr>
            <w:r>
              <w:rPr>
                <w:w w:val="95"/>
                <w:sz w:val="20"/>
              </w:rPr>
              <w:t>月數</w:t>
            </w:r>
          </w:p>
        </w:tc>
        <w:tc>
          <w:tcPr>
            <w:tcW w:w="681" w:type="dxa"/>
            <w:tcBorders>
              <w:left w:val="single" w:sz="4" w:space="0" w:color="000000"/>
              <w:bottom w:val="single" w:sz="4" w:space="0" w:color="000000"/>
              <w:right w:val="single" w:sz="4" w:space="0" w:color="000000"/>
            </w:tcBorders>
            <w:shd w:val="clear" w:color="auto" w:fill="E6E6E6"/>
          </w:tcPr>
          <w:p>
            <w:pPr>
              <w:pStyle w:val="TableParagraph"/>
              <w:spacing w:before="145"/>
              <w:ind w:left="29"/>
              <w:rPr>
                <w:sz w:val="20"/>
              </w:rPr>
            </w:pPr>
            <w:r>
              <w:rPr>
                <w:w w:val="99"/>
                <w:sz w:val="20"/>
              </w:rPr>
              <w:t>1</w:t>
            </w:r>
          </w:p>
        </w:tc>
        <w:tc>
          <w:tcPr>
            <w:tcW w:w="679" w:type="dxa"/>
            <w:tcBorders>
              <w:left w:val="single" w:sz="4" w:space="0" w:color="000000"/>
              <w:bottom w:val="single" w:sz="4" w:space="0" w:color="000000"/>
              <w:right w:val="single" w:sz="4" w:space="0" w:color="000000"/>
            </w:tcBorders>
            <w:shd w:val="clear" w:color="auto" w:fill="E6E6E6"/>
          </w:tcPr>
          <w:p>
            <w:pPr>
              <w:pStyle w:val="TableParagraph"/>
              <w:spacing w:before="145"/>
              <w:ind w:left="300"/>
              <w:jc w:val="left"/>
              <w:rPr>
                <w:sz w:val="20"/>
              </w:rPr>
            </w:pPr>
            <w:r>
              <w:rPr>
                <w:w w:val="99"/>
                <w:sz w:val="20"/>
              </w:rPr>
              <w:t>2</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right="267"/>
              <w:jc w:val="right"/>
              <w:rPr>
                <w:sz w:val="20"/>
              </w:rPr>
            </w:pPr>
            <w:r>
              <w:rPr>
                <w:w w:val="99"/>
                <w:sz w:val="20"/>
              </w:rPr>
              <w:t>3</w:t>
            </w:r>
          </w:p>
        </w:tc>
        <w:tc>
          <w:tcPr>
            <w:tcW w:w="682" w:type="dxa"/>
            <w:tcBorders>
              <w:left w:val="single" w:sz="4" w:space="0" w:color="000000"/>
              <w:bottom w:val="single" w:sz="4" w:space="0" w:color="000000"/>
              <w:right w:val="single" w:sz="4" w:space="0" w:color="000000"/>
            </w:tcBorders>
            <w:shd w:val="clear" w:color="auto" w:fill="E6E6E6"/>
          </w:tcPr>
          <w:p>
            <w:pPr>
              <w:pStyle w:val="TableParagraph"/>
              <w:spacing w:before="145"/>
              <w:ind w:left="300"/>
              <w:jc w:val="left"/>
              <w:rPr>
                <w:sz w:val="20"/>
              </w:rPr>
            </w:pPr>
            <w:r>
              <w:rPr>
                <w:w w:val="99"/>
                <w:sz w:val="20"/>
              </w:rPr>
              <w:t>4</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left="30"/>
              <w:rPr>
                <w:sz w:val="20"/>
              </w:rPr>
            </w:pPr>
            <w:r>
              <w:rPr>
                <w:w w:val="99"/>
                <w:sz w:val="20"/>
              </w:rPr>
              <w:t>5</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left="28"/>
              <w:rPr>
                <w:sz w:val="20"/>
              </w:rPr>
            </w:pPr>
            <w:r>
              <w:rPr>
                <w:w w:val="99"/>
                <w:sz w:val="20"/>
              </w:rPr>
              <w:t>6</w:t>
            </w:r>
          </w:p>
        </w:tc>
        <w:tc>
          <w:tcPr>
            <w:tcW w:w="683" w:type="dxa"/>
            <w:tcBorders>
              <w:left w:val="single" w:sz="4" w:space="0" w:color="000000"/>
              <w:bottom w:val="single" w:sz="4" w:space="0" w:color="000000"/>
              <w:right w:val="single" w:sz="4" w:space="0" w:color="000000"/>
            </w:tcBorders>
            <w:shd w:val="clear" w:color="auto" w:fill="E6E6E6"/>
          </w:tcPr>
          <w:p>
            <w:pPr>
              <w:pStyle w:val="TableParagraph"/>
              <w:spacing w:before="145"/>
              <w:ind w:left="24"/>
              <w:rPr>
                <w:sz w:val="20"/>
              </w:rPr>
            </w:pPr>
            <w:r>
              <w:rPr>
                <w:w w:val="99"/>
                <w:sz w:val="20"/>
              </w:rPr>
              <w:t>7</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left="297"/>
              <w:jc w:val="left"/>
              <w:rPr>
                <w:sz w:val="20"/>
              </w:rPr>
            </w:pPr>
            <w:r>
              <w:rPr>
                <w:w w:val="99"/>
                <w:sz w:val="20"/>
              </w:rPr>
              <w:t>8</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left="23"/>
              <w:rPr>
                <w:sz w:val="20"/>
              </w:rPr>
            </w:pPr>
            <w:r>
              <w:rPr>
                <w:w w:val="99"/>
                <w:sz w:val="20"/>
              </w:rPr>
              <w:t>9</w:t>
            </w:r>
          </w:p>
        </w:tc>
        <w:tc>
          <w:tcPr>
            <w:tcW w:w="682" w:type="dxa"/>
            <w:tcBorders>
              <w:left w:val="single" w:sz="4" w:space="0" w:color="000000"/>
              <w:bottom w:val="single" w:sz="4" w:space="0" w:color="000000"/>
              <w:right w:val="single" w:sz="4" w:space="0" w:color="000000"/>
            </w:tcBorders>
            <w:shd w:val="clear" w:color="auto" w:fill="E6E6E6"/>
          </w:tcPr>
          <w:p>
            <w:pPr>
              <w:pStyle w:val="TableParagraph"/>
              <w:spacing w:before="145"/>
              <w:ind w:left="226" w:right="205"/>
              <w:rPr>
                <w:sz w:val="20"/>
              </w:rPr>
            </w:pPr>
            <w:r>
              <w:rPr>
                <w:sz w:val="20"/>
              </w:rPr>
              <w:t>10</w:t>
            </w:r>
          </w:p>
        </w:tc>
        <w:tc>
          <w:tcPr>
            <w:tcW w:w="680" w:type="dxa"/>
            <w:tcBorders>
              <w:left w:val="single" w:sz="4" w:space="0" w:color="000000"/>
              <w:bottom w:val="single" w:sz="4" w:space="0" w:color="000000"/>
              <w:right w:val="single" w:sz="4" w:space="0" w:color="000000"/>
            </w:tcBorders>
            <w:shd w:val="clear" w:color="auto" w:fill="E6E6E6"/>
          </w:tcPr>
          <w:p>
            <w:pPr>
              <w:pStyle w:val="TableParagraph"/>
              <w:spacing w:before="145"/>
              <w:ind w:left="172" w:right="150"/>
              <w:rPr>
                <w:sz w:val="20"/>
              </w:rPr>
            </w:pPr>
            <w:r>
              <w:rPr>
                <w:sz w:val="20"/>
              </w:rPr>
              <w:t>11</w:t>
            </w:r>
          </w:p>
        </w:tc>
        <w:tc>
          <w:tcPr>
            <w:tcW w:w="679" w:type="dxa"/>
            <w:tcBorders>
              <w:left w:val="single" w:sz="4" w:space="0" w:color="000000"/>
              <w:bottom w:val="single" w:sz="4" w:space="0" w:color="000000"/>
            </w:tcBorders>
            <w:shd w:val="clear" w:color="auto" w:fill="E6E6E6"/>
          </w:tcPr>
          <w:p>
            <w:pPr>
              <w:pStyle w:val="TableParagraph"/>
              <w:spacing w:before="145"/>
              <w:ind w:left="176" w:right="143"/>
              <w:rPr>
                <w:sz w:val="20"/>
              </w:rPr>
            </w:pPr>
            <w:r>
              <w:rPr>
                <w:sz w:val="20"/>
              </w:rPr>
              <w:t>12</w:t>
            </w:r>
          </w:p>
        </w:tc>
      </w:tr>
      <w:tr>
        <w:trPr>
          <w:trHeight w:val="568" w:hRule="atLeast"/>
        </w:trPr>
        <w:tc>
          <w:tcPr>
            <w:tcW w:w="1200" w:type="dxa"/>
            <w:tcBorders>
              <w:top w:val="single" w:sz="4" w:space="0" w:color="000000"/>
              <w:bottom w:val="single" w:sz="4" w:space="0" w:color="000000"/>
              <w:right w:val="single" w:sz="4" w:space="0" w:color="000000"/>
            </w:tcBorders>
          </w:tcPr>
          <w:p>
            <w:pPr>
              <w:pStyle w:val="TableParagraph"/>
              <w:spacing w:line="244" w:lineRule="auto" w:before="13"/>
              <w:ind w:left="350" w:right="77" w:hanging="251"/>
              <w:jc w:val="left"/>
              <w:rPr>
                <w:sz w:val="20"/>
              </w:rPr>
            </w:pPr>
            <w:r>
              <w:rPr>
                <w:spacing w:val="-1"/>
                <w:sz w:val="20"/>
              </w:rPr>
              <w:t>對年繳保費</w:t>
            </w:r>
            <w:r>
              <w:rPr>
                <w:sz w:val="20"/>
              </w:rPr>
              <w:t>比(%)</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143"/>
              <w:ind w:left="230" w:right="200"/>
              <w:rPr>
                <w:sz w:val="20"/>
              </w:rPr>
            </w:pPr>
            <w:r>
              <w:rPr>
                <w:sz w:val="20"/>
              </w:rPr>
              <w:t>15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143"/>
              <w:ind w:left="250"/>
              <w:jc w:val="left"/>
              <w:rPr>
                <w:sz w:val="20"/>
              </w:rPr>
            </w:pPr>
            <w:r>
              <w:rPr>
                <w:sz w:val="20"/>
              </w:rPr>
              <w:t>25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right="215"/>
              <w:jc w:val="right"/>
              <w:rPr>
                <w:sz w:val="20"/>
              </w:rPr>
            </w:pPr>
            <w:r>
              <w:rPr>
                <w:sz w:val="20"/>
              </w:rPr>
              <w:t>35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43"/>
              <w:ind w:left="250"/>
              <w:jc w:val="left"/>
              <w:rPr>
                <w:sz w:val="20"/>
              </w:rPr>
            </w:pPr>
            <w:r>
              <w:rPr>
                <w:sz w:val="20"/>
              </w:rPr>
              <w:t>45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80" w:right="149"/>
              <w:rPr>
                <w:sz w:val="20"/>
              </w:rPr>
            </w:pPr>
            <w:r>
              <w:rPr>
                <w:sz w:val="20"/>
              </w:rPr>
              <w:t>55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80" w:right="150"/>
              <w:rPr>
                <w:sz w:val="20"/>
              </w:rPr>
            </w:pPr>
            <w:r>
              <w:rPr>
                <w:sz w:val="20"/>
              </w:rPr>
              <w:t>65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43"/>
              <w:ind w:left="229" w:right="204"/>
              <w:rPr>
                <w:sz w:val="20"/>
              </w:rPr>
            </w:pPr>
            <w:r>
              <w:rPr>
                <w:sz w:val="20"/>
              </w:rPr>
              <w:t>75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247"/>
              <w:jc w:val="left"/>
              <w:rPr>
                <w:sz w:val="20"/>
              </w:rPr>
            </w:pPr>
            <w:r>
              <w:rPr>
                <w:sz w:val="20"/>
              </w:rPr>
              <w:t>80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74" w:right="150"/>
              <w:rPr>
                <w:sz w:val="20"/>
              </w:rPr>
            </w:pPr>
            <w:r>
              <w:rPr>
                <w:sz w:val="20"/>
              </w:rPr>
              <w:t>85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43"/>
              <w:ind w:left="226" w:right="205"/>
              <w:rPr>
                <w:sz w:val="20"/>
              </w:rPr>
            </w:pPr>
            <w:r>
              <w:rPr>
                <w:sz w:val="20"/>
              </w:rPr>
              <w:t>90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72" w:right="150"/>
              <w:rPr>
                <w:sz w:val="20"/>
              </w:rPr>
            </w:pPr>
            <w:r>
              <w:rPr>
                <w:sz w:val="20"/>
              </w:rPr>
              <w:t>95</w:t>
            </w:r>
          </w:p>
        </w:tc>
        <w:tc>
          <w:tcPr>
            <w:tcW w:w="679" w:type="dxa"/>
            <w:tcBorders>
              <w:top w:val="single" w:sz="4" w:space="0" w:color="000000"/>
              <w:left w:val="single" w:sz="4" w:space="0" w:color="000000"/>
              <w:bottom w:val="single" w:sz="4" w:space="0" w:color="000000"/>
            </w:tcBorders>
          </w:tcPr>
          <w:p>
            <w:pPr>
              <w:pStyle w:val="TableParagraph"/>
              <w:spacing w:before="143"/>
              <w:ind w:left="176" w:right="143"/>
              <w:rPr>
                <w:sz w:val="20"/>
              </w:rPr>
            </w:pPr>
            <w:r>
              <w:rPr>
                <w:sz w:val="20"/>
              </w:rPr>
              <w:t>100</w:t>
            </w:r>
          </w:p>
        </w:tc>
      </w:tr>
      <w:tr>
        <w:trPr>
          <w:trHeight w:val="565" w:hRule="atLeast"/>
        </w:trPr>
        <w:tc>
          <w:tcPr>
            <w:tcW w:w="1200" w:type="dxa"/>
            <w:tcBorders>
              <w:top w:val="single" w:sz="4" w:space="0" w:color="000000"/>
              <w:bottom w:val="single" w:sz="4" w:space="0" w:color="000000"/>
              <w:right w:val="single" w:sz="4" w:space="0" w:color="000000"/>
            </w:tcBorders>
          </w:tcPr>
          <w:p>
            <w:pPr>
              <w:pStyle w:val="TableParagraph"/>
              <w:spacing w:line="242" w:lineRule="auto" w:before="13"/>
              <w:ind w:left="249" w:right="77" w:hanging="150"/>
              <w:jc w:val="left"/>
              <w:rPr>
                <w:sz w:val="20"/>
              </w:rPr>
            </w:pPr>
            <w:r>
              <w:rPr>
                <w:spacing w:val="-1"/>
                <w:sz w:val="20"/>
              </w:rPr>
              <w:t>對半年繳保</w:t>
            </w:r>
            <w:r>
              <w:rPr>
                <w:sz w:val="20"/>
              </w:rPr>
              <w:t>費比(%)</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143"/>
              <w:ind w:left="230" w:right="200"/>
              <w:rPr>
                <w:sz w:val="20"/>
              </w:rPr>
            </w:pPr>
            <w:r>
              <w:rPr>
                <w:sz w:val="20"/>
              </w:rPr>
              <w:t>30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143"/>
              <w:ind w:left="250"/>
              <w:jc w:val="left"/>
              <w:rPr>
                <w:sz w:val="20"/>
              </w:rPr>
            </w:pPr>
            <w:r>
              <w:rPr>
                <w:sz w:val="20"/>
              </w:rPr>
              <w:t>50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right="215"/>
              <w:jc w:val="right"/>
              <w:rPr>
                <w:sz w:val="20"/>
              </w:rPr>
            </w:pPr>
            <w:r>
              <w:rPr>
                <w:sz w:val="20"/>
              </w:rPr>
              <w:t>65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43"/>
              <w:ind w:left="250"/>
              <w:jc w:val="left"/>
              <w:rPr>
                <w:sz w:val="20"/>
              </w:rPr>
            </w:pPr>
            <w:r>
              <w:rPr>
                <w:sz w:val="20"/>
              </w:rPr>
              <w:t>80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80" w:right="149"/>
              <w:rPr>
                <w:sz w:val="20"/>
              </w:rPr>
            </w:pPr>
            <w:r>
              <w:rPr>
                <w:sz w:val="20"/>
              </w:rPr>
              <w:t>90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left="180" w:right="150"/>
              <w:rPr>
                <w:sz w:val="20"/>
              </w:rPr>
            </w:pPr>
            <w:r>
              <w:rPr>
                <w:sz w:val="20"/>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sz w:val="18"/>
              </w:rPr>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sz w:val="18"/>
              </w:rPr>
            </w:pPr>
          </w:p>
        </w:tc>
        <w:tc>
          <w:tcPr>
            <w:tcW w:w="679" w:type="dxa"/>
            <w:tcBorders>
              <w:top w:val="single" w:sz="4" w:space="0" w:color="000000"/>
              <w:left w:val="single" w:sz="4" w:space="0" w:color="000000"/>
              <w:bottom w:val="single" w:sz="4" w:space="0" w:color="000000"/>
            </w:tcBorders>
          </w:tcPr>
          <w:p>
            <w:pPr>
              <w:pStyle w:val="TableParagraph"/>
              <w:jc w:val="left"/>
              <w:rPr>
                <w:rFonts w:ascii="Times New Roman"/>
                <w:sz w:val="18"/>
              </w:rPr>
            </w:pPr>
          </w:p>
        </w:tc>
      </w:tr>
      <w:tr>
        <w:trPr>
          <w:trHeight w:val="565" w:hRule="atLeast"/>
        </w:trPr>
        <w:tc>
          <w:tcPr>
            <w:tcW w:w="1200" w:type="dxa"/>
            <w:tcBorders>
              <w:top w:val="single" w:sz="4" w:space="0" w:color="000000"/>
              <w:right w:val="single" w:sz="4" w:space="0" w:color="000000"/>
            </w:tcBorders>
          </w:tcPr>
          <w:p>
            <w:pPr>
              <w:pStyle w:val="TableParagraph"/>
              <w:spacing w:line="242" w:lineRule="auto" w:before="13"/>
              <w:ind w:left="350" w:right="77" w:hanging="251"/>
              <w:jc w:val="left"/>
              <w:rPr>
                <w:sz w:val="20"/>
              </w:rPr>
            </w:pPr>
            <w:r>
              <w:rPr>
                <w:spacing w:val="-1"/>
                <w:sz w:val="20"/>
              </w:rPr>
              <w:t>對季繳保費</w:t>
            </w:r>
            <w:r>
              <w:rPr>
                <w:sz w:val="20"/>
              </w:rPr>
              <w:t>比(%)</w:t>
            </w:r>
          </w:p>
        </w:tc>
        <w:tc>
          <w:tcPr>
            <w:tcW w:w="681" w:type="dxa"/>
            <w:tcBorders>
              <w:top w:val="single" w:sz="4" w:space="0" w:color="000000"/>
              <w:left w:val="single" w:sz="4" w:space="0" w:color="000000"/>
              <w:right w:val="single" w:sz="4" w:space="0" w:color="000000"/>
            </w:tcBorders>
          </w:tcPr>
          <w:p>
            <w:pPr>
              <w:pStyle w:val="TableParagraph"/>
              <w:spacing w:before="143"/>
              <w:ind w:left="230" w:right="200"/>
              <w:rPr>
                <w:sz w:val="20"/>
              </w:rPr>
            </w:pPr>
            <w:r>
              <w:rPr>
                <w:sz w:val="20"/>
              </w:rPr>
              <w:t>55</w:t>
            </w:r>
          </w:p>
        </w:tc>
        <w:tc>
          <w:tcPr>
            <w:tcW w:w="679" w:type="dxa"/>
            <w:tcBorders>
              <w:top w:val="single" w:sz="4" w:space="0" w:color="000000"/>
              <w:left w:val="single" w:sz="4" w:space="0" w:color="000000"/>
              <w:right w:val="single" w:sz="4" w:space="0" w:color="000000"/>
            </w:tcBorders>
          </w:tcPr>
          <w:p>
            <w:pPr>
              <w:pStyle w:val="TableParagraph"/>
              <w:spacing w:before="143"/>
              <w:ind w:left="250"/>
              <w:jc w:val="left"/>
              <w:rPr>
                <w:sz w:val="20"/>
              </w:rPr>
            </w:pPr>
            <w:r>
              <w:rPr>
                <w:sz w:val="20"/>
              </w:rPr>
              <w:t>85</w:t>
            </w:r>
          </w:p>
        </w:tc>
        <w:tc>
          <w:tcPr>
            <w:tcW w:w="680" w:type="dxa"/>
            <w:tcBorders>
              <w:top w:val="single" w:sz="4" w:space="0" w:color="000000"/>
              <w:left w:val="single" w:sz="4" w:space="0" w:color="000000"/>
              <w:right w:val="single" w:sz="4" w:space="0" w:color="000000"/>
            </w:tcBorders>
          </w:tcPr>
          <w:p>
            <w:pPr>
              <w:pStyle w:val="TableParagraph"/>
              <w:spacing w:before="143"/>
              <w:ind w:right="165"/>
              <w:jc w:val="right"/>
              <w:rPr>
                <w:sz w:val="20"/>
              </w:rPr>
            </w:pPr>
            <w:r>
              <w:rPr>
                <w:sz w:val="20"/>
              </w:rPr>
              <w:t>100</w:t>
            </w:r>
          </w:p>
        </w:tc>
        <w:tc>
          <w:tcPr>
            <w:tcW w:w="682"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3"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2"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80" w:type="dxa"/>
            <w:tcBorders>
              <w:top w:val="single" w:sz="4" w:space="0" w:color="000000"/>
              <w:left w:val="single" w:sz="4" w:space="0" w:color="000000"/>
              <w:right w:val="single" w:sz="4" w:space="0" w:color="000000"/>
            </w:tcBorders>
          </w:tcPr>
          <w:p>
            <w:pPr>
              <w:pStyle w:val="TableParagraph"/>
              <w:jc w:val="left"/>
              <w:rPr>
                <w:rFonts w:ascii="Times New Roman"/>
                <w:sz w:val="18"/>
              </w:rPr>
            </w:pPr>
          </w:p>
        </w:tc>
        <w:tc>
          <w:tcPr>
            <w:tcW w:w="679" w:type="dxa"/>
            <w:tcBorders>
              <w:top w:val="single" w:sz="4" w:space="0" w:color="000000"/>
              <w:left w:val="single" w:sz="4" w:space="0" w:color="000000"/>
            </w:tcBorders>
          </w:tcPr>
          <w:p>
            <w:pPr>
              <w:pStyle w:val="TableParagraph"/>
              <w:jc w:val="left"/>
              <w:rPr>
                <w:rFonts w:ascii="Times New Roman"/>
                <w:sz w:val="18"/>
              </w:rPr>
            </w:pPr>
          </w:p>
        </w:tc>
      </w:tr>
    </w:tbl>
    <w:p>
      <w:pPr>
        <w:pStyle w:val="BodyText"/>
        <w:spacing w:before="7"/>
        <w:rPr>
          <w:sz w:val="19"/>
        </w:rPr>
      </w:pPr>
    </w:p>
    <w:p>
      <w:pPr>
        <w:pStyle w:val="BodyText"/>
        <w:spacing w:after="17"/>
        <w:ind w:left="152"/>
      </w:pPr>
      <w:r>
        <w:rPr/>
        <w:drawing>
          <wp:anchor distT="0" distB="0" distL="0" distR="0" allowOverlap="1" layoutInCell="1" locked="0" behindDoc="1" simplePos="0" relativeHeight="486299648">
            <wp:simplePos x="0" y="0"/>
            <wp:positionH relativeFrom="page">
              <wp:posOffset>2872165</wp:posOffset>
            </wp:positionH>
            <wp:positionV relativeFrom="paragraph">
              <wp:posOffset>251408</wp:posOffset>
            </wp:positionV>
            <wp:extent cx="1838868" cy="4433441"/>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838868" cy="4433441"/>
                    </a:xfrm>
                    <a:prstGeom prst="rect">
                      <a:avLst/>
                    </a:prstGeom>
                  </pic:spPr>
                </pic:pic>
              </a:graphicData>
            </a:graphic>
          </wp:anchor>
        </w:drawing>
      </w:r>
      <w:r>
        <w:rPr>
          <w:w w:val="95"/>
        </w:rPr>
        <w:t>二、未滿一個月短期費率</w:t>
      </w: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29"/>
        <w:gridCol w:w="545"/>
        <w:gridCol w:w="543"/>
        <w:gridCol w:w="545"/>
        <w:gridCol w:w="546"/>
        <w:gridCol w:w="543"/>
        <w:gridCol w:w="545"/>
        <w:gridCol w:w="545"/>
        <w:gridCol w:w="543"/>
        <w:gridCol w:w="545"/>
        <w:gridCol w:w="545"/>
        <w:gridCol w:w="543"/>
        <w:gridCol w:w="545"/>
        <w:gridCol w:w="546"/>
        <w:gridCol w:w="543"/>
        <w:gridCol w:w="545"/>
      </w:tblGrid>
      <w:tr>
        <w:trPr>
          <w:trHeight w:val="535" w:hRule="atLeast"/>
        </w:trPr>
        <w:tc>
          <w:tcPr>
            <w:tcW w:w="1229" w:type="dxa"/>
            <w:tcBorders>
              <w:bottom w:val="single" w:sz="4" w:space="0" w:color="000000"/>
              <w:right w:val="single" w:sz="4" w:space="0" w:color="000000"/>
            </w:tcBorders>
            <w:shd w:val="clear" w:color="auto" w:fill="E6E6E6"/>
          </w:tcPr>
          <w:p>
            <w:pPr>
              <w:pStyle w:val="TableParagraph"/>
              <w:spacing w:before="126"/>
              <w:ind w:left="404" w:right="385"/>
              <w:rPr>
                <w:sz w:val="20"/>
              </w:rPr>
            </w:pPr>
            <w:r>
              <w:rPr>
                <w:w w:val="95"/>
                <w:sz w:val="20"/>
              </w:rPr>
              <w:t>日數</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left="25"/>
              <w:rPr>
                <w:sz w:val="20"/>
              </w:rPr>
            </w:pPr>
            <w:r>
              <w:rPr>
                <w:w w:val="99"/>
                <w:sz w:val="20"/>
              </w:rPr>
              <w:t>1</w:t>
            </w:r>
          </w:p>
        </w:tc>
        <w:tc>
          <w:tcPr>
            <w:tcW w:w="543" w:type="dxa"/>
            <w:tcBorders>
              <w:left w:val="single" w:sz="4" w:space="0" w:color="000000"/>
              <w:bottom w:val="single" w:sz="4" w:space="0" w:color="000000"/>
              <w:right w:val="single" w:sz="4" w:space="0" w:color="000000"/>
            </w:tcBorders>
            <w:shd w:val="clear" w:color="auto" w:fill="E6E6E6"/>
          </w:tcPr>
          <w:p>
            <w:pPr>
              <w:pStyle w:val="TableParagraph"/>
              <w:spacing w:before="126"/>
              <w:ind w:left="27"/>
              <w:rPr>
                <w:sz w:val="20"/>
              </w:rPr>
            </w:pPr>
            <w:r>
              <w:rPr>
                <w:w w:val="99"/>
                <w:sz w:val="20"/>
              </w:rPr>
              <w:t>2</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left="23"/>
              <w:rPr>
                <w:sz w:val="20"/>
              </w:rPr>
            </w:pPr>
            <w:r>
              <w:rPr>
                <w:w w:val="99"/>
                <w:sz w:val="20"/>
              </w:rPr>
              <w:t>3</w:t>
            </w:r>
          </w:p>
        </w:tc>
        <w:tc>
          <w:tcPr>
            <w:tcW w:w="546" w:type="dxa"/>
            <w:tcBorders>
              <w:left w:val="single" w:sz="4" w:space="0" w:color="000000"/>
              <w:bottom w:val="single" w:sz="4" w:space="0" w:color="000000"/>
              <w:right w:val="single" w:sz="4" w:space="0" w:color="000000"/>
            </w:tcBorders>
            <w:shd w:val="clear" w:color="auto" w:fill="E6E6E6"/>
          </w:tcPr>
          <w:p>
            <w:pPr>
              <w:pStyle w:val="TableParagraph"/>
              <w:spacing w:before="126"/>
              <w:ind w:left="23"/>
              <w:rPr>
                <w:sz w:val="20"/>
              </w:rPr>
            </w:pPr>
            <w:r>
              <w:rPr>
                <w:w w:val="99"/>
                <w:sz w:val="20"/>
              </w:rPr>
              <w:t>4</w:t>
            </w:r>
          </w:p>
        </w:tc>
        <w:tc>
          <w:tcPr>
            <w:tcW w:w="543" w:type="dxa"/>
            <w:tcBorders>
              <w:left w:val="single" w:sz="4" w:space="0" w:color="000000"/>
              <w:bottom w:val="single" w:sz="4" w:space="0" w:color="000000"/>
              <w:right w:val="single" w:sz="4" w:space="0" w:color="000000"/>
            </w:tcBorders>
            <w:shd w:val="clear" w:color="auto" w:fill="E6E6E6"/>
          </w:tcPr>
          <w:p>
            <w:pPr>
              <w:pStyle w:val="TableParagraph"/>
              <w:spacing w:before="126"/>
              <w:ind w:left="24"/>
              <w:rPr>
                <w:sz w:val="20"/>
              </w:rPr>
            </w:pPr>
            <w:r>
              <w:rPr>
                <w:w w:val="99"/>
                <w:sz w:val="20"/>
              </w:rPr>
              <w:t>5</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left="21"/>
              <w:rPr>
                <w:sz w:val="20"/>
              </w:rPr>
            </w:pPr>
            <w:r>
              <w:rPr>
                <w:w w:val="99"/>
                <w:sz w:val="20"/>
              </w:rPr>
              <w:t>6</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left="20"/>
              <w:rPr>
                <w:sz w:val="20"/>
              </w:rPr>
            </w:pPr>
            <w:r>
              <w:rPr>
                <w:w w:val="99"/>
                <w:sz w:val="20"/>
              </w:rPr>
              <w:t>7</w:t>
            </w:r>
          </w:p>
        </w:tc>
        <w:tc>
          <w:tcPr>
            <w:tcW w:w="543" w:type="dxa"/>
            <w:tcBorders>
              <w:left w:val="single" w:sz="4" w:space="0" w:color="000000"/>
              <w:bottom w:val="single" w:sz="4" w:space="0" w:color="000000"/>
              <w:right w:val="single" w:sz="6" w:space="0" w:color="000000"/>
            </w:tcBorders>
            <w:shd w:val="clear" w:color="auto" w:fill="E6E6E6"/>
          </w:tcPr>
          <w:p>
            <w:pPr>
              <w:pStyle w:val="TableParagraph"/>
              <w:spacing w:before="126"/>
              <w:ind w:left="24"/>
              <w:rPr>
                <w:sz w:val="20"/>
              </w:rPr>
            </w:pPr>
            <w:r>
              <w:rPr>
                <w:w w:val="99"/>
                <w:sz w:val="20"/>
              </w:rPr>
              <w:t>8</w:t>
            </w:r>
          </w:p>
        </w:tc>
        <w:tc>
          <w:tcPr>
            <w:tcW w:w="545" w:type="dxa"/>
            <w:tcBorders>
              <w:left w:val="single" w:sz="6" w:space="0" w:color="000000"/>
              <w:bottom w:val="single" w:sz="4" w:space="0" w:color="000000"/>
              <w:right w:val="single" w:sz="4" w:space="0" w:color="000000"/>
            </w:tcBorders>
            <w:shd w:val="clear" w:color="auto" w:fill="E6E6E6"/>
          </w:tcPr>
          <w:p>
            <w:pPr>
              <w:pStyle w:val="TableParagraph"/>
              <w:spacing w:before="126"/>
              <w:ind w:left="17"/>
              <w:rPr>
                <w:sz w:val="20"/>
              </w:rPr>
            </w:pPr>
            <w:r>
              <w:rPr>
                <w:w w:val="99"/>
                <w:sz w:val="20"/>
              </w:rPr>
              <w:t>9</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left="57" w:right="32"/>
              <w:rPr>
                <w:sz w:val="20"/>
              </w:rPr>
            </w:pPr>
            <w:r>
              <w:rPr>
                <w:sz w:val="20"/>
              </w:rPr>
              <w:t>10</w:t>
            </w:r>
          </w:p>
        </w:tc>
        <w:tc>
          <w:tcPr>
            <w:tcW w:w="543" w:type="dxa"/>
            <w:tcBorders>
              <w:left w:val="single" w:sz="4" w:space="0" w:color="000000"/>
              <w:bottom w:val="single" w:sz="4" w:space="0" w:color="000000"/>
              <w:right w:val="single" w:sz="4" w:space="0" w:color="000000"/>
            </w:tcBorders>
            <w:shd w:val="clear" w:color="auto" w:fill="E6E6E6"/>
          </w:tcPr>
          <w:p>
            <w:pPr>
              <w:pStyle w:val="TableParagraph"/>
              <w:spacing w:before="126"/>
              <w:ind w:left="58" w:right="31"/>
              <w:rPr>
                <w:sz w:val="20"/>
              </w:rPr>
            </w:pPr>
            <w:r>
              <w:rPr>
                <w:sz w:val="20"/>
              </w:rPr>
              <w:t>11</w:t>
            </w:r>
          </w:p>
        </w:tc>
        <w:tc>
          <w:tcPr>
            <w:tcW w:w="545" w:type="dxa"/>
            <w:tcBorders>
              <w:left w:val="single" w:sz="4" w:space="0" w:color="000000"/>
              <w:bottom w:val="single" w:sz="4" w:space="0" w:color="000000"/>
              <w:right w:val="single" w:sz="4" w:space="0" w:color="000000"/>
            </w:tcBorders>
            <w:shd w:val="clear" w:color="auto" w:fill="E6E6E6"/>
          </w:tcPr>
          <w:p>
            <w:pPr>
              <w:pStyle w:val="TableParagraph"/>
              <w:spacing w:before="126"/>
              <w:ind w:right="152"/>
              <w:jc w:val="right"/>
              <w:rPr>
                <w:sz w:val="20"/>
              </w:rPr>
            </w:pPr>
            <w:r>
              <w:rPr>
                <w:sz w:val="20"/>
              </w:rPr>
              <w:t>12</w:t>
            </w:r>
          </w:p>
        </w:tc>
        <w:tc>
          <w:tcPr>
            <w:tcW w:w="546" w:type="dxa"/>
            <w:tcBorders>
              <w:left w:val="single" w:sz="4" w:space="0" w:color="000000"/>
              <w:bottom w:val="single" w:sz="4" w:space="0" w:color="000000"/>
              <w:right w:val="single" w:sz="4" w:space="0" w:color="000000"/>
            </w:tcBorders>
            <w:shd w:val="clear" w:color="auto" w:fill="E6E6E6"/>
          </w:tcPr>
          <w:p>
            <w:pPr>
              <w:pStyle w:val="TableParagraph"/>
              <w:spacing w:before="126"/>
              <w:ind w:left="178"/>
              <w:jc w:val="left"/>
              <w:rPr>
                <w:sz w:val="20"/>
              </w:rPr>
            </w:pPr>
            <w:r>
              <w:rPr>
                <w:sz w:val="20"/>
              </w:rPr>
              <w:t>13</w:t>
            </w:r>
          </w:p>
        </w:tc>
        <w:tc>
          <w:tcPr>
            <w:tcW w:w="543" w:type="dxa"/>
            <w:tcBorders>
              <w:left w:val="single" w:sz="4" w:space="0" w:color="000000"/>
              <w:bottom w:val="single" w:sz="4" w:space="0" w:color="000000"/>
              <w:right w:val="single" w:sz="4" w:space="0" w:color="000000"/>
            </w:tcBorders>
            <w:shd w:val="clear" w:color="auto" w:fill="E6E6E6"/>
          </w:tcPr>
          <w:p>
            <w:pPr>
              <w:pStyle w:val="TableParagraph"/>
              <w:spacing w:before="126"/>
              <w:ind w:left="55" w:right="31"/>
              <w:rPr>
                <w:sz w:val="20"/>
              </w:rPr>
            </w:pPr>
            <w:r>
              <w:rPr>
                <w:sz w:val="20"/>
              </w:rPr>
              <w:t>14</w:t>
            </w:r>
          </w:p>
        </w:tc>
        <w:tc>
          <w:tcPr>
            <w:tcW w:w="545" w:type="dxa"/>
            <w:tcBorders>
              <w:left w:val="single" w:sz="4" w:space="0" w:color="000000"/>
              <w:bottom w:val="single" w:sz="4" w:space="0" w:color="000000"/>
            </w:tcBorders>
            <w:shd w:val="clear" w:color="auto" w:fill="E6E6E6"/>
          </w:tcPr>
          <w:p>
            <w:pPr>
              <w:pStyle w:val="TableParagraph"/>
              <w:spacing w:before="126"/>
              <w:ind w:left="58" w:right="27"/>
              <w:rPr>
                <w:sz w:val="20"/>
              </w:rPr>
            </w:pPr>
            <w:r>
              <w:rPr>
                <w:sz w:val="20"/>
              </w:rPr>
              <w:t>15</w:t>
            </w:r>
          </w:p>
        </w:tc>
      </w:tr>
      <w:tr>
        <w:trPr>
          <w:trHeight w:val="520" w:hRule="atLeast"/>
        </w:trPr>
        <w:tc>
          <w:tcPr>
            <w:tcW w:w="1229" w:type="dxa"/>
            <w:tcBorders>
              <w:top w:val="single" w:sz="4" w:space="0" w:color="000000"/>
              <w:bottom w:val="single" w:sz="4" w:space="0" w:color="000000"/>
              <w:right w:val="single" w:sz="4" w:space="0" w:color="000000"/>
            </w:tcBorders>
          </w:tcPr>
          <w:p>
            <w:pPr>
              <w:pStyle w:val="TableParagraph"/>
              <w:spacing w:line="246" w:lineRule="exact"/>
              <w:ind w:left="212"/>
              <w:jc w:val="left"/>
              <w:rPr>
                <w:sz w:val="20"/>
              </w:rPr>
            </w:pPr>
            <w:r>
              <w:rPr>
                <w:sz w:val="20"/>
              </w:rPr>
              <w:t>對年繳保</w:t>
            </w:r>
          </w:p>
          <w:p>
            <w:pPr>
              <w:pStyle w:val="TableParagraph"/>
              <w:spacing w:line="252" w:lineRule="exact" w:before="3"/>
              <w:ind w:left="263"/>
              <w:jc w:val="left"/>
              <w:rPr>
                <w:sz w:val="20"/>
              </w:rPr>
            </w:pPr>
            <w:r>
              <w:rPr>
                <w:sz w:val="20"/>
              </w:rPr>
              <w:t>費比(%)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60" w:right="29"/>
              <w:rPr>
                <w:sz w:val="20"/>
              </w:rPr>
            </w:pPr>
            <w:r>
              <w:rPr>
                <w:sz w:val="20"/>
              </w:rPr>
              <w:t>5.0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right="96"/>
              <w:jc w:val="right"/>
              <w:rPr>
                <w:sz w:val="20"/>
              </w:rPr>
            </w:pPr>
            <w:r>
              <w:rPr>
                <w:sz w:val="20"/>
              </w:rPr>
              <w:t>5.3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131"/>
              <w:jc w:val="left"/>
              <w:rPr>
                <w:sz w:val="20"/>
              </w:rPr>
            </w:pPr>
            <w:r>
              <w:rPr>
                <w:sz w:val="20"/>
              </w:rPr>
              <w:t>5.7</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62" w:right="33"/>
              <w:rPr>
                <w:sz w:val="20"/>
              </w:rPr>
            </w:pPr>
            <w:r>
              <w:rPr>
                <w:sz w:val="20"/>
              </w:rPr>
              <w:t>6.0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28"/>
              <w:rPr>
                <w:sz w:val="20"/>
              </w:rPr>
            </w:pPr>
            <w:r>
              <w:rPr>
                <w:sz w:val="20"/>
              </w:rPr>
              <w:t>6.4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9" w:right="32"/>
              <w:rPr>
                <w:sz w:val="20"/>
              </w:rPr>
            </w:pPr>
            <w:r>
              <w:rPr>
                <w:sz w:val="20"/>
              </w:rPr>
              <w:t>6.7</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102"/>
              <w:jc w:val="right"/>
              <w:rPr>
                <w:sz w:val="20"/>
              </w:rPr>
            </w:pPr>
            <w:r>
              <w:rPr>
                <w:sz w:val="20"/>
              </w:rPr>
              <w:t>7.1</w:t>
            </w:r>
          </w:p>
        </w:tc>
        <w:tc>
          <w:tcPr>
            <w:tcW w:w="543" w:type="dxa"/>
            <w:tcBorders>
              <w:top w:val="single" w:sz="4" w:space="0" w:color="000000"/>
              <w:left w:val="single" w:sz="4" w:space="0" w:color="000000"/>
              <w:bottom w:val="single" w:sz="4" w:space="0" w:color="000000"/>
              <w:right w:val="single" w:sz="6" w:space="0" w:color="000000"/>
            </w:tcBorders>
          </w:tcPr>
          <w:p>
            <w:pPr>
              <w:pStyle w:val="TableParagraph"/>
              <w:spacing w:before="119"/>
              <w:ind w:left="129"/>
              <w:jc w:val="left"/>
              <w:rPr>
                <w:sz w:val="20"/>
              </w:rPr>
            </w:pPr>
            <w:r>
              <w:rPr>
                <w:sz w:val="20"/>
              </w:rPr>
              <w:t>7.4</w:t>
            </w:r>
          </w:p>
        </w:tc>
        <w:tc>
          <w:tcPr>
            <w:tcW w:w="545" w:type="dxa"/>
            <w:tcBorders>
              <w:top w:val="single" w:sz="4" w:space="0" w:color="000000"/>
              <w:left w:val="single" w:sz="6" w:space="0" w:color="000000"/>
              <w:bottom w:val="single" w:sz="4" w:space="0" w:color="000000"/>
              <w:right w:val="single" w:sz="4" w:space="0" w:color="000000"/>
            </w:tcBorders>
          </w:tcPr>
          <w:p>
            <w:pPr>
              <w:pStyle w:val="TableParagraph"/>
              <w:spacing w:before="119"/>
              <w:ind w:left="57" w:right="34"/>
              <w:rPr>
                <w:sz w:val="20"/>
              </w:rPr>
            </w:pPr>
            <w:r>
              <w:rPr>
                <w:sz w:val="20"/>
              </w:rPr>
              <w:t>7.8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7" w:right="32"/>
              <w:rPr>
                <w:sz w:val="20"/>
              </w:rPr>
            </w:pPr>
            <w:r>
              <w:rPr>
                <w:sz w:val="20"/>
              </w:rPr>
              <w:t>8.1</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31"/>
              <w:rPr>
                <w:sz w:val="20"/>
              </w:rPr>
            </w:pPr>
            <w:r>
              <w:rPr>
                <w:sz w:val="20"/>
              </w:rPr>
              <w:t>8.4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102"/>
              <w:jc w:val="right"/>
              <w:rPr>
                <w:sz w:val="20"/>
              </w:rPr>
            </w:pPr>
            <w:r>
              <w:rPr>
                <w:sz w:val="20"/>
              </w:rPr>
              <w:t>8.8</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128"/>
              <w:jc w:val="left"/>
              <w:rPr>
                <w:sz w:val="20"/>
              </w:rPr>
            </w:pPr>
            <w:r>
              <w:rPr>
                <w:sz w:val="20"/>
              </w:rPr>
              <w:t>9.1</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5" w:right="31"/>
              <w:rPr>
                <w:sz w:val="20"/>
              </w:rPr>
            </w:pPr>
            <w:r>
              <w:rPr>
                <w:sz w:val="20"/>
              </w:rPr>
              <w:t>9.5</w:t>
            </w:r>
          </w:p>
        </w:tc>
        <w:tc>
          <w:tcPr>
            <w:tcW w:w="545" w:type="dxa"/>
            <w:tcBorders>
              <w:top w:val="single" w:sz="4" w:space="0" w:color="000000"/>
              <w:left w:val="single" w:sz="4" w:space="0" w:color="000000"/>
              <w:bottom w:val="single" w:sz="4" w:space="0" w:color="000000"/>
            </w:tcBorders>
          </w:tcPr>
          <w:p>
            <w:pPr>
              <w:pStyle w:val="TableParagraph"/>
              <w:spacing w:before="119"/>
              <w:ind w:left="58" w:right="27"/>
              <w:rPr>
                <w:sz w:val="20"/>
              </w:rPr>
            </w:pPr>
            <w:r>
              <w:rPr>
                <w:sz w:val="20"/>
              </w:rPr>
              <w:t>9.8</w:t>
            </w:r>
          </w:p>
        </w:tc>
      </w:tr>
      <w:tr>
        <w:trPr>
          <w:trHeight w:val="518" w:hRule="atLeast"/>
        </w:trPr>
        <w:tc>
          <w:tcPr>
            <w:tcW w:w="1229" w:type="dxa"/>
            <w:tcBorders>
              <w:top w:val="single" w:sz="4" w:space="0" w:color="000000"/>
              <w:bottom w:val="single" w:sz="4" w:space="0" w:color="000000"/>
              <w:right w:val="single" w:sz="4" w:space="0" w:color="000000"/>
            </w:tcBorders>
          </w:tcPr>
          <w:p>
            <w:pPr>
              <w:pStyle w:val="TableParagraph"/>
              <w:spacing w:line="246" w:lineRule="exact"/>
              <w:ind w:left="212"/>
              <w:jc w:val="left"/>
              <w:rPr>
                <w:sz w:val="20"/>
              </w:rPr>
            </w:pPr>
            <w:r>
              <w:rPr>
                <w:sz w:val="20"/>
              </w:rPr>
              <w:t>對半年繳</w:t>
            </w:r>
          </w:p>
          <w:p>
            <w:pPr>
              <w:pStyle w:val="TableParagraph"/>
              <w:spacing w:line="249" w:lineRule="exact" w:before="3"/>
              <w:ind w:left="162"/>
              <w:jc w:val="left"/>
              <w:rPr>
                <w:sz w:val="20"/>
              </w:rPr>
            </w:pPr>
            <w:r>
              <w:rPr>
                <w:sz w:val="20"/>
              </w:rPr>
              <w:t>保費比(%)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60" w:right="29"/>
              <w:rPr>
                <w:sz w:val="20"/>
              </w:rPr>
            </w:pPr>
            <w:r>
              <w:rPr>
                <w:sz w:val="20"/>
              </w:rPr>
              <w:t>10.0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right="46"/>
              <w:jc w:val="right"/>
              <w:rPr>
                <w:sz w:val="20"/>
              </w:rPr>
            </w:pPr>
            <w:r>
              <w:rPr>
                <w:sz w:val="20"/>
              </w:rPr>
              <w:t>10.7</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80"/>
              <w:jc w:val="left"/>
              <w:rPr>
                <w:sz w:val="20"/>
              </w:rPr>
            </w:pPr>
            <w:r>
              <w:rPr>
                <w:sz w:val="20"/>
              </w:rPr>
              <w:t>11.4</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62" w:right="33"/>
              <w:rPr>
                <w:sz w:val="20"/>
              </w:rPr>
            </w:pPr>
            <w:r>
              <w:rPr>
                <w:sz w:val="20"/>
              </w:rPr>
              <w:t>12.1</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28"/>
              <w:rPr>
                <w:sz w:val="20"/>
              </w:rPr>
            </w:pPr>
            <w:r>
              <w:rPr>
                <w:sz w:val="20"/>
              </w:rPr>
              <w:t>12.8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9" w:right="32"/>
              <w:rPr>
                <w:sz w:val="20"/>
              </w:rPr>
            </w:pPr>
            <w:r>
              <w:rPr>
                <w:sz w:val="20"/>
              </w:rPr>
              <w:t>13.4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0"/>
              <w:jc w:val="right"/>
              <w:rPr>
                <w:sz w:val="20"/>
              </w:rPr>
            </w:pPr>
            <w:r>
              <w:rPr>
                <w:sz w:val="20"/>
              </w:rPr>
              <w:t>14.1</w:t>
            </w:r>
          </w:p>
        </w:tc>
        <w:tc>
          <w:tcPr>
            <w:tcW w:w="543" w:type="dxa"/>
            <w:tcBorders>
              <w:top w:val="single" w:sz="4" w:space="0" w:color="000000"/>
              <w:left w:val="single" w:sz="4" w:space="0" w:color="000000"/>
              <w:bottom w:val="single" w:sz="4" w:space="0" w:color="000000"/>
              <w:right w:val="single" w:sz="6" w:space="0" w:color="000000"/>
            </w:tcBorders>
          </w:tcPr>
          <w:p>
            <w:pPr>
              <w:pStyle w:val="TableParagraph"/>
              <w:spacing w:before="119"/>
              <w:ind w:left="78"/>
              <w:jc w:val="left"/>
              <w:rPr>
                <w:sz w:val="20"/>
              </w:rPr>
            </w:pPr>
            <w:r>
              <w:rPr>
                <w:sz w:val="20"/>
              </w:rPr>
              <w:t>14.8</w:t>
            </w:r>
          </w:p>
        </w:tc>
        <w:tc>
          <w:tcPr>
            <w:tcW w:w="545" w:type="dxa"/>
            <w:tcBorders>
              <w:top w:val="single" w:sz="4" w:space="0" w:color="000000"/>
              <w:left w:val="single" w:sz="6" w:space="0" w:color="000000"/>
              <w:bottom w:val="single" w:sz="4" w:space="0" w:color="000000"/>
              <w:right w:val="single" w:sz="4" w:space="0" w:color="000000"/>
            </w:tcBorders>
          </w:tcPr>
          <w:p>
            <w:pPr>
              <w:pStyle w:val="TableParagraph"/>
              <w:spacing w:before="119"/>
              <w:ind w:left="57" w:right="34"/>
              <w:rPr>
                <w:sz w:val="20"/>
              </w:rPr>
            </w:pPr>
            <w:r>
              <w:rPr>
                <w:sz w:val="20"/>
              </w:rPr>
              <w:t>15.5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7" w:right="32"/>
              <w:rPr>
                <w:sz w:val="20"/>
              </w:rPr>
            </w:pPr>
            <w:r>
              <w:rPr>
                <w:sz w:val="20"/>
              </w:rPr>
              <w:t>16.2</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31"/>
              <w:rPr>
                <w:sz w:val="20"/>
              </w:rPr>
            </w:pPr>
            <w:r>
              <w:rPr>
                <w:sz w:val="20"/>
              </w:rPr>
              <w:t>16.9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3"/>
              <w:jc w:val="right"/>
              <w:rPr>
                <w:sz w:val="20"/>
              </w:rPr>
            </w:pPr>
            <w:r>
              <w:rPr>
                <w:sz w:val="20"/>
              </w:rPr>
              <w:t>17.6</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77"/>
              <w:jc w:val="left"/>
              <w:rPr>
                <w:sz w:val="20"/>
              </w:rPr>
            </w:pPr>
            <w:r>
              <w:rPr>
                <w:sz w:val="20"/>
              </w:rPr>
              <w:t>18.3</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5" w:right="31"/>
              <w:rPr>
                <w:sz w:val="20"/>
              </w:rPr>
            </w:pPr>
            <w:r>
              <w:rPr>
                <w:sz w:val="20"/>
              </w:rPr>
              <w:t>19.0</w:t>
            </w:r>
          </w:p>
        </w:tc>
        <w:tc>
          <w:tcPr>
            <w:tcW w:w="545" w:type="dxa"/>
            <w:tcBorders>
              <w:top w:val="single" w:sz="4" w:space="0" w:color="000000"/>
              <w:left w:val="single" w:sz="4" w:space="0" w:color="000000"/>
              <w:bottom w:val="single" w:sz="4" w:space="0" w:color="000000"/>
            </w:tcBorders>
          </w:tcPr>
          <w:p>
            <w:pPr>
              <w:pStyle w:val="TableParagraph"/>
              <w:spacing w:before="119"/>
              <w:ind w:left="58" w:right="27"/>
              <w:rPr>
                <w:sz w:val="20"/>
              </w:rPr>
            </w:pPr>
            <w:r>
              <w:rPr>
                <w:sz w:val="20"/>
              </w:rPr>
              <w:t>19.7</w:t>
            </w:r>
          </w:p>
        </w:tc>
      </w:tr>
      <w:tr>
        <w:trPr>
          <w:trHeight w:val="520" w:hRule="atLeast"/>
        </w:trPr>
        <w:tc>
          <w:tcPr>
            <w:tcW w:w="1229" w:type="dxa"/>
            <w:tcBorders>
              <w:top w:val="single" w:sz="4" w:space="0" w:color="000000"/>
              <w:bottom w:val="single" w:sz="4" w:space="0" w:color="000000"/>
              <w:right w:val="single" w:sz="4" w:space="0" w:color="000000"/>
            </w:tcBorders>
          </w:tcPr>
          <w:p>
            <w:pPr>
              <w:pStyle w:val="TableParagraph"/>
              <w:spacing w:line="248" w:lineRule="exact"/>
              <w:ind w:left="212"/>
              <w:jc w:val="left"/>
              <w:rPr>
                <w:sz w:val="20"/>
              </w:rPr>
            </w:pPr>
            <w:r>
              <w:rPr>
                <w:sz w:val="20"/>
              </w:rPr>
              <w:t>對季繳保</w:t>
            </w:r>
          </w:p>
          <w:p>
            <w:pPr>
              <w:pStyle w:val="TableParagraph"/>
              <w:spacing w:line="249" w:lineRule="exact" w:before="3"/>
              <w:ind w:left="263"/>
              <w:jc w:val="left"/>
              <w:rPr>
                <w:sz w:val="20"/>
              </w:rPr>
            </w:pPr>
            <w:r>
              <w:rPr>
                <w:sz w:val="20"/>
              </w:rPr>
              <w:t>費比(%)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left="60" w:right="29"/>
              <w:rPr>
                <w:sz w:val="20"/>
              </w:rPr>
            </w:pPr>
            <w:r>
              <w:rPr>
                <w:sz w:val="20"/>
              </w:rPr>
              <w:t>20.0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21"/>
              <w:ind w:right="46"/>
              <w:jc w:val="right"/>
              <w:rPr>
                <w:sz w:val="20"/>
              </w:rPr>
            </w:pPr>
            <w:r>
              <w:rPr>
                <w:sz w:val="20"/>
              </w:rPr>
              <w:t>21.2</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left="80"/>
              <w:jc w:val="left"/>
              <w:rPr>
                <w:sz w:val="20"/>
              </w:rPr>
            </w:pPr>
            <w:r>
              <w:rPr>
                <w:sz w:val="20"/>
              </w:rPr>
              <w:t>22.4</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21"/>
              <w:ind w:left="62" w:right="33"/>
              <w:rPr>
                <w:sz w:val="20"/>
              </w:rPr>
            </w:pPr>
            <w:r>
              <w:rPr>
                <w:sz w:val="20"/>
              </w:rPr>
              <w:t>23.6</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21"/>
              <w:ind w:left="58" w:right="28"/>
              <w:rPr>
                <w:sz w:val="20"/>
              </w:rPr>
            </w:pPr>
            <w:r>
              <w:rPr>
                <w:sz w:val="20"/>
              </w:rPr>
              <w:t>24.8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left="59" w:right="32"/>
              <w:rPr>
                <w:sz w:val="20"/>
              </w:rPr>
            </w:pPr>
            <w:r>
              <w:rPr>
                <w:sz w:val="20"/>
              </w:rPr>
              <w:t>26.0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right="50"/>
              <w:jc w:val="right"/>
              <w:rPr>
                <w:sz w:val="20"/>
              </w:rPr>
            </w:pPr>
            <w:r>
              <w:rPr>
                <w:sz w:val="20"/>
              </w:rPr>
              <w:t>27.2</w:t>
            </w:r>
          </w:p>
        </w:tc>
        <w:tc>
          <w:tcPr>
            <w:tcW w:w="543" w:type="dxa"/>
            <w:tcBorders>
              <w:top w:val="single" w:sz="4" w:space="0" w:color="000000"/>
              <w:left w:val="single" w:sz="4" w:space="0" w:color="000000"/>
              <w:bottom w:val="single" w:sz="4" w:space="0" w:color="000000"/>
              <w:right w:val="single" w:sz="6" w:space="0" w:color="000000"/>
            </w:tcBorders>
          </w:tcPr>
          <w:p>
            <w:pPr>
              <w:pStyle w:val="TableParagraph"/>
              <w:spacing w:before="121"/>
              <w:ind w:left="78"/>
              <w:jc w:val="left"/>
              <w:rPr>
                <w:sz w:val="20"/>
              </w:rPr>
            </w:pPr>
            <w:r>
              <w:rPr>
                <w:sz w:val="20"/>
              </w:rPr>
              <w:t>28.4</w:t>
            </w:r>
          </w:p>
        </w:tc>
        <w:tc>
          <w:tcPr>
            <w:tcW w:w="545" w:type="dxa"/>
            <w:tcBorders>
              <w:top w:val="single" w:sz="4" w:space="0" w:color="000000"/>
              <w:left w:val="single" w:sz="6" w:space="0" w:color="000000"/>
              <w:bottom w:val="single" w:sz="4" w:space="0" w:color="000000"/>
              <w:right w:val="single" w:sz="4" w:space="0" w:color="000000"/>
            </w:tcBorders>
          </w:tcPr>
          <w:p>
            <w:pPr>
              <w:pStyle w:val="TableParagraph"/>
              <w:spacing w:before="121"/>
              <w:ind w:left="57" w:right="34"/>
              <w:rPr>
                <w:sz w:val="20"/>
              </w:rPr>
            </w:pPr>
            <w:r>
              <w:rPr>
                <w:sz w:val="20"/>
              </w:rPr>
              <w:t>29.7</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left="57" w:right="32"/>
              <w:rPr>
                <w:sz w:val="20"/>
              </w:rPr>
            </w:pPr>
            <w:r>
              <w:rPr>
                <w:sz w:val="20"/>
              </w:rPr>
              <w:t>30.9</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21"/>
              <w:ind w:left="58" w:right="31"/>
              <w:rPr>
                <w:sz w:val="20"/>
              </w:rPr>
            </w:pPr>
            <w:r>
              <w:rPr>
                <w:sz w:val="20"/>
              </w:rPr>
              <w:t>32.1</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21"/>
              <w:ind w:right="53"/>
              <w:jc w:val="right"/>
              <w:rPr>
                <w:sz w:val="20"/>
              </w:rPr>
            </w:pPr>
            <w:r>
              <w:rPr>
                <w:sz w:val="20"/>
              </w:rPr>
              <w:t>33.3</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21"/>
              <w:ind w:left="77"/>
              <w:jc w:val="left"/>
              <w:rPr>
                <w:sz w:val="20"/>
              </w:rPr>
            </w:pPr>
            <w:r>
              <w:rPr>
                <w:sz w:val="20"/>
              </w:rPr>
              <w:t>34.5</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21"/>
              <w:ind w:left="55" w:right="31"/>
              <w:rPr>
                <w:sz w:val="20"/>
              </w:rPr>
            </w:pPr>
            <w:r>
              <w:rPr>
                <w:sz w:val="20"/>
              </w:rPr>
              <w:t>35.7</w:t>
            </w:r>
          </w:p>
        </w:tc>
        <w:tc>
          <w:tcPr>
            <w:tcW w:w="545" w:type="dxa"/>
            <w:tcBorders>
              <w:top w:val="single" w:sz="4" w:space="0" w:color="000000"/>
              <w:left w:val="single" w:sz="4" w:space="0" w:color="000000"/>
              <w:bottom w:val="single" w:sz="4" w:space="0" w:color="000000"/>
            </w:tcBorders>
          </w:tcPr>
          <w:p>
            <w:pPr>
              <w:pStyle w:val="TableParagraph"/>
              <w:spacing w:before="121"/>
              <w:ind w:left="58" w:right="27"/>
              <w:rPr>
                <w:sz w:val="20"/>
              </w:rPr>
            </w:pPr>
            <w:r>
              <w:rPr>
                <w:sz w:val="20"/>
              </w:rPr>
              <w:t>36.9</w:t>
            </w:r>
          </w:p>
        </w:tc>
      </w:tr>
      <w:tr>
        <w:trPr>
          <w:trHeight w:val="534" w:hRule="atLeast"/>
        </w:trPr>
        <w:tc>
          <w:tcPr>
            <w:tcW w:w="1229" w:type="dxa"/>
            <w:tcBorders>
              <w:top w:val="single" w:sz="4" w:space="0" w:color="000000"/>
              <w:bottom w:val="single" w:sz="4" w:space="0" w:color="000000"/>
              <w:right w:val="single" w:sz="4" w:space="0" w:color="000000"/>
            </w:tcBorders>
            <w:shd w:val="clear" w:color="auto" w:fill="E6E6E6"/>
          </w:tcPr>
          <w:p>
            <w:pPr>
              <w:pStyle w:val="TableParagraph"/>
              <w:spacing w:before="126"/>
              <w:ind w:left="404" w:right="385"/>
              <w:rPr>
                <w:sz w:val="20"/>
              </w:rPr>
            </w:pPr>
            <w:r>
              <w:rPr>
                <w:w w:val="95"/>
                <w:sz w:val="20"/>
              </w:rPr>
              <w:t>日數</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60" w:right="29"/>
              <w:rPr>
                <w:sz w:val="20"/>
              </w:rPr>
            </w:pPr>
            <w:r>
              <w:rPr>
                <w:sz w:val="20"/>
              </w:rPr>
              <w:t>16</w:t>
            </w:r>
          </w:p>
        </w:tc>
        <w:tc>
          <w:tcPr>
            <w:tcW w:w="5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right="147"/>
              <w:jc w:val="right"/>
              <w:rPr>
                <w:sz w:val="20"/>
              </w:rPr>
            </w:pPr>
            <w:r>
              <w:rPr>
                <w:sz w:val="20"/>
              </w:rPr>
              <w:t>17</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181"/>
              <w:jc w:val="left"/>
              <w:rPr>
                <w:sz w:val="20"/>
              </w:rPr>
            </w:pPr>
            <w:r>
              <w:rPr>
                <w:sz w:val="20"/>
              </w:rPr>
              <w:t>18</w:t>
            </w:r>
          </w:p>
        </w:tc>
        <w:tc>
          <w:tcPr>
            <w:tcW w:w="5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62" w:right="33"/>
              <w:rPr>
                <w:sz w:val="20"/>
              </w:rPr>
            </w:pPr>
            <w:r>
              <w:rPr>
                <w:sz w:val="20"/>
              </w:rPr>
              <w:t>19</w:t>
            </w:r>
          </w:p>
        </w:tc>
        <w:tc>
          <w:tcPr>
            <w:tcW w:w="5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58" w:right="28"/>
              <w:rPr>
                <w:sz w:val="20"/>
              </w:rPr>
            </w:pPr>
            <w:r>
              <w:rPr>
                <w:sz w:val="20"/>
              </w:rPr>
              <w:t>20</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59" w:right="32"/>
              <w:rPr>
                <w:sz w:val="20"/>
              </w:rPr>
            </w:pPr>
            <w:r>
              <w:rPr>
                <w:sz w:val="20"/>
              </w:rPr>
              <w:t>21</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right="151"/>
              <w:jc w:val="right"/>
              <w:rPr>
                <w:sz w:val="20"/>
              </w:rPr>
            </w:pPr>
            <w:r>
              <w:rPr>
                <w:sz w:val="20"/>
              </w:rPr>
              <w:t>22</w:t>
            </w:r>
          </w:p>
        </w:tc>
        <w:tc>
          <w:tcPr>
            <w:tcW w:w="543" w:type="dxa"/>
            <w:tcBorders>
              <w:top w:val="single" w:sz="4" w:space="0" w:color="000000"/>
              <w:left w:val="single" w:sz="4" w:space="0" w:color="000000"/>
              <w:bottom w:val="single" w:sz="4" w:space="0" w:color="000000"/>
              <w:right w:val="single" w:sz="6" w:space="0" w:color="000000"/>
            </w:tcBorders>
            <w:shd w:val="clear" w:color="auto" w:fill="E6E6E6"/>
          </w:tcPr>
          <w:p>
            <w:pPr>
              <w:pStyle w:val="TableParagraph"/>
              <w:spacing w:before="126"/>
              <w:ind w:left="179"/>
              <w:jc w:val="left"/>
              <w:rPr>
                <w:sz w:val="20"/>
              </w:rPr>
            </w:pPr>
            <w:r>
              <w:rPr>
                <w:sz w:val="20"/>
              </w:rPr>
              <w:t>23</w:t>
            </w:r>
          </w:p>
        </w:tc>
        <w:tc>
          <w:tcPr>
            <w:tcW w:w="545" w:type="dxa"/>
            <w:tcBorders>
              <w:top w:val="single" w:sz="4" w:space="0" w:color="000000"/>
              <w:left w:val="single" w:sz="6" w:space="0" w:color="000000"/>
              <w:bottom w:val="single" w:sz="4" w:space="0" w:color="000000"/>
              <w:right w:val="single" w:sz="4" w:space="0" w:color="000000"/>
            </w:tcBorders>
            <w:shd w:val="clear" w:color="auto" w:fill="E6E6E6"/>
          </w:tcPr>
          <w:p>
            <w:pPr>
              <w:pStyle w:val="TableParagraph"/>
              <w:spacing w:before="126"/>
              <w:ind w:left="57" w:right="34"/>
              <w:rPr>
                <w:sz w:val="20"/>
              </w:rPr>
            </w:pPr>
            <w:r>
              <w:rPr>
                <w:sz w:val="20"/>
              </w:rPr>
              <w:t>24</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57" w:right="32"/>
              <w:rPr>
                <w:sz w:val="20"/>
              </w:rPr>
            </w:pPr>
            <w:r>
              <w:rPr>
                <w:sz w:val="20"/>
              </w:rPr>
              <w:t>25</w:t>
            </w:r>
          </w:p>
        </w:tc>
        <w:tc>
          <w:tcPr>
            <w:tcW w:w="5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58" w:right="31"/>
              <w:rPr>
                <w:sz w:val="20"/>
              </w:rPr>
            </w:pPr>
            <w:r>
              <w:rPr>
                <w:sz w:val="20"/>
              </w:rPr>
              <w:t>26</w:t>
            </w:r>
          </w:p>
        </w:tc>
        <w:tc>
          <w:tcPr>
            <w:tcW w:w="5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right="152"/>
              <w:jc w:val="right"/>
              <w:rPr>
                <w:sz w:val="20"/>
              </w:rPr>
            </w:pPr>
            <w:r>
              <w:rPr>
                <w:sz w:val="20"/>
              </w:rPr>
              <w:t>27</w:t>
            </w:r>
          </w:p>
        </w:tc>
        <w:tc>
          <w:tcPr>
            <w:tcW w:w="5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178"/>
              <w:jc w:val="left"/>
              <w:rPr>
                <w:sz w:val="20"/>
              </w:rPr>
            </w:pPr>
            <w:r>
              <w:rPr>
                <w:sz w:val="20"/>
              </w:rPr>
              <w:t>28</w:t>
            </w:r>
          </w:p>
        </w:tc>
        <w:tc>
          <w:tcPr>
            <w:tcW w:w="5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before="126"/>
              <w:ind w:left="55" w:right="31"/>
              <w:rPr>
                <w:sz w:val="20"/>
              </w:rPr>
            </w:pPr>
            <w:r>
              <w:rPr>
                <w:sz w:val="20"/>
              </w:rPr>
              <w:t>29</w:t>
            </w:r>
          </w:p>
        </w:tc>
        <w:tc>
          <w:tcPr>
            <w:tcW w:w="545" w:type="dxa"/>
            <w:tcBorders>
              <w:top w:val="single" w:sz="4" w:space="0" w:color="000000"/>
              <w:left w:val="single" w:sz="4" w:space="0" w:color="000000"/>
              <w:bottom w:val="single" w:sz="4" w:space="0" w:color="000000"/>
            </w:tcBorders>
            <w:shd w:val="clear" w:color="auto" w:fill="E6E6E6"/>
          </w:tcPr>
          <w:p>
            <w:pPr>
              <w:pStyle w:val="TableParagraph"/>
              <w:spacing w:before="126"/>
              <w:ind w:left="58" w:right="27"/>
              <w:rPr>
                <w:sz w:val="20"/>
              </w:rPr>
            </w:pPr>
            <w:r>
              <w:rPr>
                <w:sz w:val="20"/>
              </w:rPr>
              <w:t>30</w:t>
            </w:r>
          </w:p>
        </w:tc>
      </w:tr>
      <w:tr>
        <w:trPr>
          <w:trHeight w:val="520" w:hRule="atLeast"/>
        </w:trPr>
        <w:tc>
          <w:tcPr>
            <w:tcW w:w="1229" w:type="dxa"/>
            <w:tcBorders>
              <w:top w:val="single" w:sz="4" w:space="0" w:color="000000"/>
              <w:bottom w:val="single" w:sz="4" w:space="0" w:color="000000"/>
              <w:right w:val="single" w:sz="4" w:space="0" w:color="000000"/>
            </w:tcBorders>
          </w:tcPr>
          <w:p>
            <w:pPr>
              <w:pStyle w:val="TableParagraph"/>
              <w:spacing w:line="246" w:lineRule="exact"/>
              <w:ind w:left="212"/>
              <w:jc w:val="left"/>
              <w:rPr>
                <w:sz w:val="20"/>
              </w:rPr>
            </w:pPr>
            <w:r>
              <w:rPr>
                <w:sz w:val="20"/>
              </w:rPr>
              <w:t>對年繳保</w:t>
            </w:r>
          </w:p>
          <w:p>
            <w:pPr>
              <w:pStyle w:val="TableParagraph"/>
              <w:spacing w:line="252" w:lineRule="exact" w:before="3"/>
              <w:ind w:left="263"/>
              <w:jc w:val="left"/>
              <w:rPr>
                <w:sz w:val="20"/>
              </w:rPr>
            </w:pPr>
            <w:r>
              <w:rPr>
                <w:sz w:val="20"/>
              </w:rPr>
              <w:t>費比(%)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60" w:right="29"/>
              <w:rPr>
                <w:sz w:val="20"/>
              </w:rPr>
            </w:pPr>
            <w:r>
              <w:rPr>
                <w:sz w:val="20"/>
              </w:rPr>
              <w:t>10.2</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right="46"/>
              <w:jc w:val="right"/>
              <w:rPr>
                <w:sz w:val="20"/>
              </w:rPr>
            </w:pPr>
            <w:r>
              <w:rPr>
                <w:sz w:val="20"/>
              </w:rPr>
              <w:t>10.5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80"/>
              <w:jc w:val="left"/>
              <w:rPr>
                <w:sz w:val="20"/>
              </w:rPr>
            </w:pPr>
            <w:r>
              <w:rPr>
                <w:sz w:val="20"/>
              </w:rPr>
              <w:t>10.9</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62" w:right="33"/>
              <w:rPr>
                <w:sz w:val="20"/>
              </w:rPr>
            </w:pPr>
            <w:r>
              <w:rPr>
                <w:sz w:val="20"/>
              </w:rPr>
              <w:t>11.2</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28"/>
              <w:rPr>
                <w:sz w:val="20"/>
              </w:rPr>
            </w:pPr>
            <w:r>
              <w:rPr>
                <w:sz w:val="20"/>
              </w:rPr>
              <w:t>11.6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9" w:right="32"/>
              <w:rPr>
                <w:sz w:val="20"/>
              </w:rPr>
            </w:pPr>
            <w:r>
              <w:rPr>
                <w:sz w:val="20"/>
              </w:rPr>
              <w:t>11.9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0"/>
              <w:jc w:val="right"/>
              <w:rPr>
                <w:sz w:val="20"/>
              </w:rPr>
            </w:pPr>
            <w:r>
              <w:rPr>
                <w:sz w:val="20"/>
              </w:rPr>
              <w:t>12.2</w:t>
            </w:r>
          </w:p>
        </w:tc>
        <w:tc>
          <w:tcPr>
            <w:tcW w:w="543" w:type="dxa"/>
            <w:tcBorders>
              <w:top w:val="single" w:sz="4" w:space="0" w:color="000000"/>
              <w:left w:val="single" w:sz="4" w:space="0" w:color="000000"/>
              <w:bottom w:val="single" w:sz="4" w:space="0" w:color="000000"/>
              <w:right w:val="single" w:sz="6" w:space="0" w:color="000000"/>
            </w:tcBorders>
          </w:tcPr>
          <w:p>
            <w:pPr>
              <w:pStyle w:val="TableParagraph"/>
              <w:spacing w:before="119"/>
              <w:ind w:left="78"/>
              <w:jc w:val="left"/>
              <w:rPr>
                <w:sz w:val="20"/>
              </w:rPr>
            </w:pPr>
            <w:r>
              <w:rPr>
                <w:sz w:val="20"/>
              </w:rPr>
              <w:t>12.6</w:t>
            </w:r>
          </w:p>
        </w:tc>
        <w:tc>
          <w:tcPr>
            <w:tcW w:w="545" w:type="dxa"/>
            <w:tcBorders>
              <w:top w:val="single" w:sz="4" w:space="0" w:color="000000"/>
              <w:left w:val="single" w:sz="6" w:space="0" w:color="000000"/>
              <w:bottom w:val="single" w:sz="4" w:space="0" w:color="000000"/>
              <w:right w:val="single" w:sz="4" w:space="0" w:color="000000"/>
            </w:tcBorders>
          </w:tcPr>
          <w:p>
            <w:pPr>
              <w:pStyle w:val="TableParagraph"/>
              <w:spacing w:before="119"/>
              <w:ind w:left="57" w:right="34"/>
              <w:rPr>
                <w:sz w:val="20"/>
              </w:rPr>
            </w:pPr>
            <w:r>
              <w:rPr>
                <w:sz w:val="20"/>
              </w:rPr>
              <w:t>12.9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7" w:right="32"/>
              <w:rPr>
                <w:sz w:val="20"/>
              </w:rPr>
            </w:pPr>
            <w:r>
              <w:rPr>
                <w:sz w:val="20"/>
              </w:rPr>
              <w:t>13.3</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31"/>
              <w:rPr>
                <w:sz w:val="20"/>
              </w:rPr>
            </w:pPr>
            <w:r>
              <w:rPr>
                <w:sz w:val="20"/>
              </w:rPr>
              <w:t>13.6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3"/>
              <w:jc w:val="right"/>
              <w:rPr>
                <w:sz w:val="20"/>
              </w:rPr>
            </w:pPr>
            <w:r>
              <w:rPr>
                <w:sz w:val="20"/>
              </w:rPr>
              <w:t>14.0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77"/>
              <w:jc w:val="left"/>
              <w:rPr>
                <w:sz w:val="20"/>
              </w:rPr>
            </w:pPr>
            <w:r>
              <w:rPr>
                <w:sz w:val="20"/>
              </w:rPr>
              <w:t>14.3</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5" w:right="31"/>
              <w:rPr>
                <w:sz w:val="20"/>
              </w:rPr>
            </w:pPr>
            <w:r>
              <w:rPr>
                <w:sz w:val="20"/>
              </w:rPr>
              <w:t>14.7</w:t>
            </w:r>
          </w:p>
        </w:tc>
        <w:tc>
          <w:tcPr>
            <w:tcW w:w="545" w:type="dxa"/>
            <w:tcBorders>
              <w:top w:val="single" w:sz="4" w:space="0" w:color="000000"/>
              <w:left w:val="single" w:sz="4" w:space="0" w:color="000000"/>
              <w:bottom w:val="single" w:sz="4" w:space="0" w:color="000000"/>
            </w:tcBorders>
          </w:tcPr>
          <w:p>
            <w:pPr>
              <w:pStyle w:val="TableParagraph"/>
              <w:spacing w:before="119"/>
              <w:ind w:left="58" w:right="27"/>
              <w:rPr>
                <w:sz w:val="20"/>
              </w:rPr>
            </w:pPr>
            <w:r>
              <w:rPr>
                <w:sz w:val="20"/>
              </w:rPr>
              <w:t>15.0</w:t>
            </w:r>
          </w:p>
        </w:tc>
      </w:tr>
      <w:tr>
        <w:trPr>
          <w:trHeight w:val="520" w:hRule="atLeast"/>
        </w:trPr>
        <w:tc>
          <w:tcPr>
            <w:tcW w:w="1229" w:type="dxa"/>
            <w:tcBorders>
              <w:top w:val="single" w:sz="4" w:space="0" w:color="000000"/>
              <w:bottom w:val="single" w:sz="4" w:space="0" w:color="000000"/>
              <w:right w:val="single" w:sz="4" w:space="0" w:color="000000"/>
            </w:tcBorders>
          </w:tcPr>
          <w:p>
            <w:pPr>
              <w:pStyle w:val="TableParagraph"/>
              <w:spacing w:line="246" w:lineRule="exact"/>
              <w:ind w:left="212"/>
              <w:jc w:val="left"/>
              <w:rPr>
                <w:sz w:val="20"/>
              </w:rPr>
            </w:pPr>
            <w:r>
              <w:rPr>
                <w:sz w:val="20"/>
              </w:rPr>
              <w:t>對半年繳</w:t>
            </w:r>
          </w:p>
          <w:p>
            <w:pPr>
              <w:pStyle w:val="TableParagraph"/>
              <w:spacing w:line="252" w:lineRule="exact" w:before="3"/>
              <w:ind w:left="162"/>
              <w:jc w:val="left"/>
              <w:rPr>
                <w:sz w:val="20"/>
              </w:rPr>
            </w:pPr>
            <w:r>
              <w:rPr>
                <w:sz w:val="20"/>
              </w:rPr>
              <w:t>保費比(%)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60" w:right="29"/>
              <w:rPr>
                <w:sz w:val="20"/>
              </w:rPr>
            </w:pPr>
            <w:r>
              <w:rPr>
                <w:sz w:val="20"/>
              </w:rPr>
              <w:t>20.3</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right="46"/>
              <w:jc w:val="right"/>
              <w:rPr>
                <w:sz w:val="20"/>
              </w:rPr>
            </w:pPr>
            <w:r>
              <w:rPr>
                <w:sz w:val="20"/>
              </w:rPr>
              <w:t>21.0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80"/>
              <w:jc w:val="left"/>
              <w:rPr>
                <w:sz w:val="20"/>
              </w:rPr>
            </w:pPr>
            <w:r>
              <w:rPr>
                <w:sz w:val="20"/>
              </w:rPr>
              <w:t>21.7</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62" w:right="33"/>
              <w:rPr>
                <w:sz w:val="20"/>
              </w:rPr>
            </w:pPr>
            <w:r>
              <w:rPr>
                <w:sz w:val="20"/>
              </w:rPr>
              <w:t>22.4</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28"/>
              <w:rPr>
                <w:sz w:val="20"/>
              </w:rPr>
            </w:pPr>
            <w:r>
              <w:rPr>
                <w:sz w:val="20"/>
              </w:rPr>
              <w:t>23.1</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9" w:right="32"/>
              <w:rPr>
                <w:sz w:val="20"/>
              </w:rPr>
            </w:pPr>
            <w:r>
              <w:rPr>
                <w:sz w:val="20"/>
              </w:rPr>
              <w:t>23.8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0"/>
              <w:jc w:val="right"/>
              <w:rPr>
                <w:sz w:val="20"/>
              </w:rPr>
            </w:pPr>
            <w:r>
              <w:rPr>
                <w:sz w:val="20"/>
              </w:rPr>
              <w:t>24.5</w:t>
            </w:r>
          </w:p>
        </w:tc>
        <w:tc>
          <w:tcPr>
            <w:tcW w:w="543" w:type="dxa"/>
            <w:tcBorders>
              <w:top w:val="single" w:sz="4" w:space="0" w:color="000000"/>
              <w:left w:val="single" w:sz="4" w:space="0" w:color="000000"/>
              <w:bottom w:val="single" w:sz="4" w:space="0" w:color="000000"/>
              <w:right w:val="single" w:sz="6" w:space="0" w:color="000000"/>
            </w:tcBorders>
          </w:tcPr>
          <w:p>
            <w:pPr>
              <w:pStyle w:val="TableParagraph"/>
              <w:spacing w:before="119"/>
              <w:ind w:left="78"/>
              <w:jc w:val="left"/>
              <w:rPr>
                <w:sz w:val="20"/>
              </w:rPr>
            </w:pPr>
            <w:r>
              <w:rPr>
                <w:sz w:val="20"/>
              </w:rPr>
              <w:t>25.2</w:t>
            </w:r>
          </w:p>
        </w:tc>
        <w:tc>
          <w:tcPr>
            <w:tcW w:w="545" w:type="dxa"/>
            <w:tcBorders>
              <w:top w:val="single" w:sz="4" w:space="0" w:color="000000"/>
              <w:left w:val="single" w:sz="6" w:space="0" w:color="000000"/>
              <w:bottom w:val="single" w:sz="4" w:space="0" w:color="000000"/>
              <w:right w:val="single" w:sz="4" w:space="0" w:color="000000"/>
            </w:tcBorders>
          </w:tcPr>
          <w:p>
            <w:pPr>
              <w:pStyle w:val="TableParagraph"/>
              <w:spacing w:before="119"/>
              <w:ind w:left="57" w:right="34"/>
              <w:rPr>
                <w:sz w:val="20"/>
              </w:rPr>
            </w:pPr>
            <w:r>
              <w:rPr>
                <w:sz w:val="20"/>
              </w:rPr>
              <w:t>25.9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left="57" w:right="32"/>
              <w:rPr>
                <w:sz w:val="20"/>
              </w:rPr>
            </w:pPr>
            <w:r>
              <w:rPr>
                <w:sz w:val="20"/>
              </w:rPr>
              <w:t>26.6</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8" w:right="31"/>
              <w:rPr>
                <w:sz w:val="20"/>
              </w:rPr>
            </w:pPr>
            <w:r>
              <w:rPr>
                <w:sz w:val="20"/>
              </w:rPr>
              <w:t>27.2</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19"/>
              <w:ind w:right="53"/>
              <w:jc w:val="right"/>
              <w:rPr>
                <w:sz w:val="20"/>
              </w:rPr>
            </w:pPr>
            <w:r>
              <w:rPr>
                <w:sz w:val="20"/>
              </w:rPr>
              <w:t>27.9</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119"/>
              <w:ind w:left="77"/>
              <w:jc w:val="left"/>
              <w:rPr>
                <w:sz w:val="20"/>
              </w:rPr>
            </w:pPr>
            <w:r>
              <w:rPr>
                <w:sz w:val="20"/>
              </w:rPr>
              <w:t>28.6</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before="119"/>
              <w:ind w:left="55" w:right="31"/>
              <w:rPr>
                <w:sz w:val="20"/>
              </w:rPr>
            </w:pPr>
            <w:r>
              <w:rPr>
                <w:sz w:val="20"/>
              </w:rPr>
              <w:t>29.3</w:t>
            </w:r>
          </w:p>
        </w:tc>
        <w:tc>
          <w:tcPr>
            <w:tcW w:w="545" w:type="dxa"/>
            <w:tcBorders>
              <w:top w:val="single" w:sz="4" w:space="0" w:color="000000"/>
              <w:left w:val="single" w:sz="4" w:space="0" w:color="000000"/>
              <w:bottom w:val="single" w:sz="4" w:space="0" w:color="000000"/>
            </w:tcBorders>
          </w:tcPr>
          <w:p>
            <w:pPr>
              <w:pStyle w:val="TableParagraph"/>
              <w:spacing w:before="119"/>
              <w:ind w:left="58" w:right="27"/>
              <w:rPr>
                <w:sz w:val="20"/>
              </w:rPr>
            </w:pPr>
            <w:r>
              <w:rPr>
                <w:sz w:val="20"/>
              </w:rPr>
              <w:t>30.0</w:t>
            </w:r>
          </w:p>
        </w:tc>
      </w:tr>
      <w:tr>
        <w:trPr>
          <w:trHeight w:val="517" w:hRule="atLeast"/>
        </w:trPr>
        <w:tc>
          <w:tcPr>
            <w:tcW w:w="1229" w:type="dxa"/>
            <w:tcBorders>
              <w:top w:val="single" w:sz="4" w:space="0" w:color="000000"/>
              <w:right w:val="single" w:sz="4" w:space="0" w:color="000000"/>
            </w:tcBorders>
          </w:tcPr>
          <w:p>
            <w:pPr>
              <w:pStyle w:val="TableParagraph"/>
              <w:spacing w:line="246" w:lineRule="exact"/>
              <w:ind w:left="212"/>
              <w:jc w:val="left"/>
              <w:rPr>
                <w:sz w:val="20"/>
              </w:rPr>
            </w:pPr>
            <w:r>
              <w:rPr>
                <w:sz w:val="20"/>
              </w:rPr>
              <w:t>對季繳保</w:t>
            </w:r>
          </w:p>
          <w:p>
            <w:pPr>
              <w:pStyle w:val="TableParagraph"/>
              <w:spacing w:line="249" w:lineRule="exact" w:before="3"/>
              <w:ind w:left="263"/>
              <w:jc w:val="left"/>
              <w:rPr>
                <w:sz w:val="20"/>
              </w:rPr>
            </w:pPr>
            <w:r>
              <w:rPr>
                <w:sz w:val="20"/>
              </w:rPr>
              <w:t>費比(%)</w:t>
            </w:r>
          </w:p>
        </w:tc>
        <w:tc>
          <w:tcPr>
            <w:tcW w:w="545" w:type="dxa"/>
            <w:tcBorders>
              <w:top w:val="single" w:sz="4" w:space="0" w:color="000000"/>
              <w:left w:val="single" w:sz="4" w:space="0" w:color="000000"/>
              <w:right w:val="single" w:sz="4" w:space="0" w:color="000000"/>
            </w:tcBorders>
          </w:tcPr>
          <w:p>
            <w:pPr>
              <w:pStyle w:val="TableParagraph"/>
              <w:spacing w:before="119"/>
              <w:ind w:left="60" w:right="29"/>
              <w:rPr>
                <w:sz w:val="20"/>
              </w:rPr>
            </w:pPr>
            <w:r>
              <w:rPr>
                <w:sz w:val="20"/>
              </w:rPr>
              <w:t>38.1</w:t>
            </w:r>
          </w:p>
        </w:tc>
        <w:tc>
          <w:tcPr>
            <w:tcW w:w="543" w:type="dxa"/>
            <w:tcBorders>
              <w:top w:val="single" w:sz="4" w:space="0" w:color="000000"/>
              <w:left w:val="single" w:sz="4" w:space="0" w:color="000000"/>
              <w:right w:val="single" w:sz="4" w:space="0" w:color="000000"/>
            </w:tcBorders>
          </w:tcPr>
          <w:p>
            <w:pPr>
              <w:pStyle w:val="TableParagraph"/>
              <w:spacing w:before="119"/>
              <w:ind w:right="46"/>
              <w:jc w:val="right"/>
              <w:rPr>
                <w:sz w:val="20"/>
              </w:rPr>
            </w:pPr>
            <w:r>
              <w:rPr>
                <w:sz w:val="20"/>
              </w:rPr>
              <w:t>39.3</w:t>
            </w:r>
          </w:p>
        </w:tc>
        <w:tc>
          <w:tcPr>
            <w:tcW w:w="545" w:type="dxa"/>
            <w:tcBorders>
              <w:top w:val="single" w:sz="4" w:space="0" w:color="000000"/>
              <w:left w:val="single" w:sz="4" w:space="0" w:color="000000"/>
              <w:right w:val="single" w:sz="4" w:space="0" w:color="000000"/>
            </w:tcBorders>
          </w:tcPr>
          <w:p>
            <w:pPr>
              <w:pStyle w:val="TableParagraph"/>
              <w:spacing w:before="119"/>
              <w:ind w:left="80"/>
              <w:jc w:val="left"/>
              <w:rPr>
                <w:sz w:val="20"/>
              </w:rPr>
            </w:pPr>
            <w:r>
              <w:rPr>
                <w:sz w:val="20"/>
              </w:rPr>
              <w:t>40.5</w:t>
            </w:r>
          </w:p>
        </w:tc>
        <w:tc>
          <w:tcPr>
            <w:tcW w:w="546" w:type="dxa"/>
            <w:tcBorders>
              <w:top w:val="single" w:sz="4" w:space="0" w:color="000000"/>
              <w:left w:val="single" w:sz="4" w:space="0" w:color="000000"/>
              <w:right w:val="single" w:sz="4" w:space="0" w:color="000000"/>
            </w:tcBorders>
          </w:tcPr>
          <w:p>
            <w:pPr>
              <w:pStyle w:val="TableParagraph"/>
              <w:spacing w:before="119"/>
              <w:ind w:left="62" w:right="33"/>
              <w:rPr>
                <w:sz w:val="20"/>
              </w:rPr>
            </w:pPr>
            <w:r>
              <w:rPr>
                <w:sz w:val="20"/>
              </w:rPr>
              <w:t>41.7</w:t>
            </w:r>
          </w:p>
        </w:tc>
        <w:tc>
          <w:tcPr>
            <w:tcW w:w="543" w:type="dxa"/>
            <w:tcBorders>
              <w:top w:val="single" w:sz="4" w:space="0" w:color="000000"/>
              <w:left w:val="single" w:sz="4" w:space="0" w:color="000000"/>
              <w:right w:val="single" w:sz="4" w:space="0" w:color="000000"/>
            </w:tcBorders>
          </w:tcPr>
          <w:p>
            <w:pPr>
              <w:pStyle w:val="TableParagraph"/>
              <w:spacing w:before="119"/>
              <w:ind w:left="58" w:right="28"/>
              <w:rPr>
                <w:sz w:val="20"/>
              </w:rPr>
            </w:pPr>
            <w:r>
              <w:rPr>
                <w:sz w:val="20"/>
              </w:rPr>
              <w:t>42.9</w:t>
            </w:r>
          </w:p>
        </w:tc>
        <w:tc>
          <w:tcPr>
            <w:tcW w:w="545" w:type="dxa"/>
            <w:tcBorders>
              <w:top w:val="single" w:sz="4" w:space="0" w:color="000000"/>
              <w:left w:val="single" w:sz="4" w:space="0" w:color="000000"/>
              <w:right w:val="single" w:sz="4" w:space="0" w:color="000000"/>
            </w:tcBorders>
          </w:tcPr>
          <w:p>
            <w:pPr>
              <w:pStyle w:val="TableParagraph"/>
              <w:spacing w:before="119"/>
              <w:ind w:left="59" w:right="32"/>
              <w:rPr>
                <w:sz w:val="20"/>
              </w:rPr>
            </w:pPr>
            <w:r>
              <w:rPr>
                <w:sz w:val="20"/>
              </w:rPr>
              <w:t>44.1</w:t>
            </w:r>
          </w:p>
        </w:tc>
        <w:tc>
          <w:tcPr>
            <w:tcW w:w="545" w:type="dxa"/>
            <w:tcBorders>
              <w:top w:val="single" w:sz="4" w:space="0" w:color="000000"/>
              <w:left w:val="single" w:sz="4" w:space="0" w:color="000000"/>
              <w:right w:val="single" w:sz="4" w:space="0" w:color="000000"/>
            </w:tcBorders>
          </w:tcPr>
          <w:p>
            <w:pPr>
              <w:pStyle w:val="TableParagraph"/>
              <w:spacing w:before="119"/>
              <w:ind w:right="50"/>
              <w:jc w:val="right"/>
              <w:rPr>
                <w:sz w:val="20"/>
              </w:rPr>
            </w:pPr>
            <w:r>
              <w:rPr>
                <w:sz w:val="20"/>
              </w:rPr>
              <w:t>45.3</w:t>
            </w:r>
          </w:p>
        </w:tc>
        <w:tc>
          <w:tcPr>
            <w:tcW w:w="543" w:type="dxa"/>
            <w:tcBorders>
              <w:top w:val="single" w:sz="4" w:space="0" w:color="000000"/>
              <w:left w:val="single" w:sz="4" w:space="0" w:color="000000"/>
              <w:right w:val="single" w:sz="6" w:space="0" w:color="000000"/>
            </w:tcBorders>
          </w:tcPr>
          <w:p>
            <w:pPr>
              <w:pStyle w:val="TableParagraph"/>
              <w:spacing w:before="119"/>
              <w:ind w:left="78"/>
              <w:jc w:val="left"/>
              <w:rPr>
                <w:sz w:val="20"/>
              </w:rPr>
            </w:pPr>
            <w:r>
              <w:rPr>
                <w:sz w:val="20"/>
              </w:rPr>
              <w:t>46.6</w:t>
            </w:r>
          </w:p>
        </w:tc>
        <w:tc>
          <w:tcPr>
            <w:tcW w:w="545" w:type="dxa"/>
            <w:tcBorders>
              <w:top w:val="single" w:sz="4" w:space="0" w:color="000000"/>
              <w:left w:val="single" w:sz="6" w:space="0" w:color="000000"/>
              <w:right w:val="single" w:sz="4" w:space="0" w:color="000000"/>
            </w:tcBorders>
          </w:tcPr>
          <w:p>
            <w:pPr>
              <w:pStyle w:val="TableParagraph"/>
              <w:spacing w:before="119"/>
              <w:ind w:left="57" w:right="34"/>
              <w:rPr>
                <w:sz w:val="20"/>
              </w:rPr>
            </w:pPr>
            <w:r>
              <w:rPr>
                <w:sz w:val="20"/>
              </w:rPr>
              <w:t>47.8</w:t>
            </w:r>
          </w:p>
        </w:tc>
        <w:tc>
          <w:tcPr>
            <w:tcW w:w="545" w:type="dxa"/>
            <w:tcBorders>
              <w:top w:val="single" w:sz="4" w:space="0" w:color="000000"/>
              <w:left w:val="single" w:sz="4" w:space="0" w:color="000000"/>
              <w:right w:val="single" w:sz="4" w:space="0" w:color="000000"/>
            </w:tcBorders>
          </w:tcPr>
          <w:p>
            <w:pPr>
              <w:pStyle w:val="TableParagraph"/>
              <w:spacing w:before="119"/>
              <w:ind w:left="57" w:right="32"/>
              <w:rPr>
                <w:sz w:val="20"/>
              </w:rPr>
            </w:pPr>
            <w:r>
              <w:rPr>
                <w:sz w:val="20"/>
              </w:rPr>
              <w:t>49.0</w:t>
            </w:r>
          </w:p>
        </w:tc>
        <w:tc>
          <w:tcPr>
            <w:tcW w:w="543" w:type="dxa"/>
            <w:tcBorders>
              <w:top w:val="single" w:sz="4" w:space="0" w:color="000000"/>
              <w:left w:val="single" w:sz="4" w:space="0" w:color="000000"/>
              <w:right w:val="single" w:sz="4" w:space="0" w:color="000000"/>
            </w:tcBorders>
          </w:tcPr>
          <w:p>
            <w:pPr>
              <w:pStyle w:val="TableParagraph"/>
              <w:spacing w:before="119"/>
              <w:ind w:left="58" w:right="31"/>
              <w:rPr>
                <w:sz w:val="20"/>
              </w:rPr>
            </w:pPr>
            <w:r>
              <w:rPr>
                <w:sz w:val="20"/>
              </w:rPr>
              <w:t>50.2</w:t>
            </w:r>
          </w:p>
        </w:tc>
        <w:tc>
          <w:tcPr>
            <w:tcW w:w="545" w:type="dxa"/>
            <w:tcBorders>
              <w:top w:val="single" w:sz="4" w:space="0" w:color="000000"/>
              <w:left w:val="single" w:sz="4" w:space="0" w:color="000000"/>
              <w:right w:val="single" w:sz="4" w:space="0" w:color="000000"/>
            </w:tcBorders>
          </w:tcPr>
          <w:p>
            <w:pPr>
              <w:pStyle w:val="TableParagraph"/>
              <w:spacing w:before="119"/>
              <w:ind w:right="53"/>
              <w:jc w:val="right"/>
              <w:rPr>
                <w:sz w:val="20"/>
              </w:rPr>
            </w:pPr>
            <w:r>
              <w:rPr>
                <w:sz w:val="20"/>
              </w:rPr>
              <w:t>51.4</w:t>
            </w:r>
          </w:p>
        </w:tc>
        <w:tc>
          <w:tcPr>
            <w:tcW w:w="546" w:type="dxa"/>
            <w:tcBorders>
              <w:top w:val="single" w:sz="4" w:space="0" w:color="000000"/>
              <w:left w:val="single" w:sz="4" w:space="0" w:color="000000"/>
              <w:right w:val="single" w:sz="4" w:space="0" w:color="000000"/>
            </w:tcBorders>
          </w:tcPr>
          <w:p>
            <w:pPr>
              <w:pStyle w:val="TableParagraph"/>
              <w:spacing w:before="119"/>
              <w:ind w:left="77"/>
              <w:jc w:val="left"/>
              <w:rPr>
                <w:sz w:val="20"/>
              </w:rPr>
            </w:pPr>
            <w:r>
              <w:rPr>
                <w:sz w:val="20"/>
              </w:rPr>
              <w:t>52.6</w:t>
            </w:r>
          </w:p>
        </w:tc>
        <w:tc>
          <w:tcPr>
            <w:tcW w:w="543" w:type="dxa"/>
            <w:tcBorders>
              <w:top w:val="single" w:sz="4" w:space="0" w:color="000000"/>
              <w:left w:val="single" w:sz="4" w:space="0" w:color="000000"/>
              <w:right w:val="single" w:sz="4" w:space="0" w:color="000000"/>
            </w:tcBorders>
          </w:tcPr>
          <w:p>
            <w:pPr>
              <w:pStyle w:val="TableParagraph"/>
              <w:spacing w:before="119"/>
              <w:ind w:left="55" w:right="31"/>
              <w:rPr>
                <w:sz w:val="20"/>
              </w:rPr>
            </w:pPr>
            <w:r>
              <w:rPr>
                <w:sz w:val="20"/>
              </w:rPr>
              <w:t>53.8</w:t>
            </w:r>
          </w:p>
        </w:tc>
        <w:tc>
          <w:tcPr>
            <w:tcW w:w="545" w:type="dxa"/>
            <w:tcBorders>
              <w:top w:val="single" w:sz="4" w:space="0" w:color="000000"/>
              <w:left w:val="single" w:sz="4" w:space="0" w:color="000000"/>
            </w:tcBorders>
          </w:tcPr>
          <w:p>
            <w:pPr>
              <w:pStyle w:val="TableParagraph"/>
              <w:spacing w:before="119"/>
              <w:ind w:left="58" w:right="27"/>
              <w:rPr>
                <w:sz w:val="20"/>
              </w:rPr>
            </w:pPr>
            <w:r>
              <w:rPr>
                <w:sz w:val="20"/>
              </w:rPr>
              <w:t>55.0</w:t>
            </w:r>
          </w:p>
        </w:tc>
      </w:tr>
    </w:tbl>
    <w:sectPr>
      <w:pgSz w:w="11910" w:h="16850"/>
      <w:pgMar w:header="0" w:footer="775" w:top="1360" w:bottom="104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ngLiU-ExtB">
    <w:altName w:val="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1.609985pt;margin-top:788.280212pt;width:75.1pt;height:12pt;mso-position-horizontal-relative:page;mso-position-vertical-relative:page;z-index:-17022464"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頁，共11頁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652" w:hanging="512"/>
        <w:jc w:val="left"/>
      </w:pPr>
      <w:rPr>
        <w:rFonts w:hint="default" w:ascii="SimSun" w:hAnsi="SimSun" w:eastAsia="SimSun" w:cs="SimSun"/>
        <w:spacing w:val="3"/>
        <w:w w:val="99"/>
        <w:sz w:val="18"/>
        <w:szCs w:val="18"/>
        <w:lang w:val="en-US" w:eastAsia="zh-TW" w:bidi="ar-SA"/>
      </w:rPr>
    </w:lvl>
    <w:lvl w:ilvl="1">
      <w:start w:val="0"/>
      <w:numFmt w:val="bullet"/>
      <w:lvlText w:val="•"/>
      <w:lvlJc w:val="left"/>
      <w:pPr>
        <w:ind w:left="1586" w:hanging="512"/>
      </w:pPr>
      <w:rPr>
        <w:rFonts w:hint="default"/>
        <w:lang w:val="en-US" w:eastAsia="zh-TW" w:bidi="ar-SA"/>
      </w:rPr>
    </w:lvl>
    <w:lvl w:ilvl="2">
      <w:start w:val="0"/>
      <w:numFmt w:val="bullet"/>
      <w:lvlText w:val="•"/>
      <w:lvlJc w:val="left"/>
      <w:pPr>
        <w:ind w:left="2513" w:hanging="512"/>
      </w:pPr>
      <w:rPr>
        <w:rFonts w:hint="default"/>
        <w:lang w:val="en-US" w:eastAsia="zh-TW" w:bidi="ar-SA"/>
      </w:rPr>
    </w:lvl>
    <w:lvl w:ilvl="3">
      <w:start w:val="0"/>
      <w:numFmt w:val="bullet"/>
      <w:lvlText w:val="•"/>
      <w:lvlJc w:val="left"/>
      <w:pPr>
        <w:ind w:left="3439" w:hanging="512"/>
      </w:pPr>
      <w:rPr>
        <w:rFonts w:hint="default"/>
        <w:lang w:val="en-US" w:eastAsia="zh-TW" w:bidi="ar-SA"/>
      </w:rPr>
    </w:lvl>
    <w:lvl w:ilvl="4">
      <w:start w:val="0"/>
      <w:numFmt w:val="bullet"/>
      <w:lvlText w:val="•"/>
      <w:lvlJc w:val="left"/>
      <w:pPr>
        <w:ind w:left="4366" w:hanging="512"/>
      </w:pPr>
      <w:rPr>
        <w:rFonts w:hint="default"/>
        <w:lang w:val="en-US" w:eastAsia="zh-TW" w:bidi="ar-SA"/>
      </w:rPr>
    </w:lvl>
    <w:lvl w:ilvl="5">
      <w:start w:val="0"/>
      <w:numFmt w:val="bullet"/>
      <w:lvlText w:val="•"/>
      <w:lvlJc w:val="left"/>
      <w:pPr>
        <w:ind w:left="5293" w:hanging="512"/>
      </w:pPr>
      <w:rPr>
        <w:rFonts w:hint="default"/>
        <w:lang w:val="en-US" w:eastAsia="zh-TW" w:bidi="ar-SA"/>
      </w:rPr>
    </w:lvl>
    <w:lvl w:ilvl="6">
      <w:start w:val="0"/>
      <w:numFmt w:val="bullet"/>
      <w:lvlText w:val="•"/>
      <w:lvlJc w:val="left"/>
      <w:pPr>
        <w:ind w:left="6219" w:hanging="512"/>
      </w:pPr>
      <w:rPr>
        <w:rFonts w:hint="default"/>
        <w:lang w:val="en-US" w:eastAsia="zh-TW" w:bidi="ar-SA"/>
      </w:rPr>
    </w:lvl>
    <w:lvl w:ilvl="7">
      <w:start w:val="0"/>
      <w:numFmt w:val="bullet"/>
      <w:lvlText w:val="•"/>
      <w:lvlJc w:val="left"/>
      <w:pPr>
        <w:ind w:left="7146" w:hanging="512"/>
      </w:pPr>
      <w:rPr>
        <w:rFonts w:hint="default"/>
        <w:lang w:val="en-US" w:eastAsia="zh-TW" w:bidi="ar-SA"/>
      </w:rPr>
    </w:lvl>
    <w:lvl w:ilvl="8">
      <w:start w:val="0"/>
      <w:numFmt w:val="bullet"/>
      <w:lvlText w:val="•"/>
      <w:lvlJc w:val="left"/>
      <w:pPr>
        <w:ind w:left="8073" w:hanging="512"/>
      </w:pPr>
      <w:rPr>
        <w:rFonts w:hint="default"/>
        <w:lang w:val="en-US" w:eastAsia="zh-TW" w:bidi="ar-SA"/>
      </w:rPr>
    </w:lvl>
  </w:abstractNum>
  <w:abstractNum w:abstractNumId="14">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13">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12">
    <w:multiLevelType w:val="hybridMultilevel"/>
    <w:lvl w:ilvl="0">
      <w:start w:val="1"/>
      <w:numFmt w:val="decimal"/>
      <w:lvlText w:val="（%1）"/>
      <w:lvlJc w:val="left"/>
      <w:pPr>
        <w:ind w:left="652" w:hanging="512"/>
        <w:jc w:val="left"/>
      </w:pPr>
      <w:rPr>
        <w:rFonts w:hint="default" w:ascii="SimSun" w:hAnsi="SimSun" w:eastAsia="SimSun" w:cs="SimSun"/>
        <w:spacing w:val="3"/>
        <w:w w:val="99"/>
        <w:sz w:val="18"/>
        <w:szCs w:val="18"/>
        <w:lang w:val="en-US" w:eastAsia="zh-TW" w:bidi="ar-SA"/>
      </w:rPr>
    </w:lvl>
    <w:lvl w:ilvl="1">
      <w:start w:val="0"/>
      <w:numFmt w:val="bullet"/>
      <w:lvlText w:val="•"/>
      <w:lvlJc w:val="left"/>
      <w:pPr>
        <w:ind w:left="1586" w:hanging="512"/>
      </w:pPr>
      <w:rPr>
        <w:rFonts w:hint="default"/>
        <w:lang w:val="en-US" w:eastAsia="zh-TW" w:bidi="ar-SA"/>
      </w:rPr>
    </w:lvl>
    <w:lvl w:ilvl="2">
      <w:start w:val="0"/>
      <w:numFmt w:val="bullet"/>
      <w:lvlText w:val="•"/>
      <w:lvlJc w:val="left"/>
      <w:pPr>
        <w:ind w:left="2513" w:hanging="512"/>
      </w:pPr>
      <w:rPr>
        <w:rFonts w:hint="default"/>
        <w:lang w:val="en-US" w:eastAsia="zh-TW" w:bidi="ar-SA"/>
      </w:rPr>
    </w:lvl>
    <w:lvl w:ilvl="3">
      <w:start w:val="0"/>
      <w:numFmt w:val="bullet"/>
      <w:lvlText w:val="•"/>
      <w:lvlJc w:val="left"/>
      <w:pPr>
        <w:ind w:left="3439" w:hanging="512"/>
      </w:pPr>
      <w:rPr>
        <w:rFonts w:hint="default"/>
        <w:lang w:val="en-US" w:eastAsia="zh-TW" w:bidi="ar-SA"/>
      </w:rPr>
    </w:lvl>
    <w:lvl w:ilvl="4">
      <w:start w:val="0"/>
      <w:numFmt w:val="bullet"/>
      <w:lvlText w:val="•"/>
      <w:lvlJc w:val="left"/>
      <w:pPr>
        <w:ind w:left="4366" w:hanging="512"/>
      </w:pPr>
      <w:rPr>
        <w:rFonts w:hint="default"/>
        <w:lang w:val="en-US" w:eastAsia="zh-TW" w:bidi="ar-SA"/>
      </w:rPr>
    </w:lvl>
    <w:lvl w:ilvl="5">
      <w:start w:val="0"/>
      <w:numFmt w:val="bullet"/>
      <w:lvlText w:val="•"/>
      <w:lvlJc w:val="left"/>
      <w:pPr>
        <w:ind w:left="5293" w:hanging="512"/>
      </w:pPr>
      <w:rPr>
        <w:rFonts w:hint="default"/>
        <w:lang w:val="en-US" w:eastAsia="zh-TW" w:bidi="ar-SA"/>
      </w:rPr>
    </w:lvl>
    <w:lvl w:ilvl="6">
      <w:start w:val="0"/>
      <w:numFmt w:val="bullet"/>
      <w:lvlText w:val="•"/>
      <w:lvlJc w:val="left"/>
      <w:pPr>
        <w:ind w:left="6219" w:hanging="512"/>
      </w:pPr>
      <w:rPr>
        <w:rFonts w:hint="default"/>
        <w:lang w:val="en-US" w:eastAsia="zh-TW" w:bidi="ar-SA"/>
      </w:rPr>
    </w:lvl>
    <w:lvl w:ilvl="7">
      <w:start w:val="0"/>
      <w:numFmt w:val="bullet"/>
      <w:lvlText w:val="•"/>
      <w:lvlJc w:val="left"/>
      <w:pPr>
        <w:ind w:left="7146" w:hanging="512"/>
      </w:pPr>
      <w:rPr>
        <w:rFonts w:hint="default"/>
        <w:lang w:val="en-US" w:eastAsia="zh-TW" w:bidi="ar-SA"/>
      </w:rPr>
    </w:lvl>
    <w:lvl w:ilvl="8">
      <w:start w:val="0"/>
      <w:numFmt w:val="bullet"/>
      <w:lvlText w:val="•"/>
      <w:lvlJc w:val="left"/>
      <w:pPr>
        <w:ind w:left="8073" w:hanging="512"/>
      </w:pPr>
      <w:rPr>
        <w:rFonts w:hint="default"/>
        <w:lang w:val="en-US" w:eastAsia="zh-TW" w:bidi="ar-SA"/>
      </w:rPr>
    </w:lvl>
  </w:abstractNum>
  <w:abstractNum w:abstractNumId="11">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10">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9">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8">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7">
    <w:multiLevelType w:val="hybridMultilevel"/>
    <w:lvl w:ilvl="0">
      <w:start w:val="1"/>
      <w:numFmt w:val="decimal"/>
      <w:lvlText w:val="（%1）"/>
      <w:lvlJc w:val="left"/>
      <w:pPr>
        <w:ind w:left="652" w:hanging="512"/>
        <w:jc w:val="left"/>
      </w:pPr>
      <w:rPr>
        <w:rFonts w:hint="default" w:ascii="SimSun" w:hAnsi="SimSun" w:eastAsia="SimSun" w:cs="SimSun"/>
        <w:spacing w:val="3"/>
        <w:w w:val="99"/>
        <w:sz w:val="18"/>
        <w:szCs w:val="18"/>
        <w:lang w:val="en-US" w:eastAsia="zh-TW" w:bidi="ar-SA"/>
      </w:rPr>
    </w:lvl>
    <w:lvl w:ilvl="1">
      <w:start w:val="0"/>
      <w:numFmt w:val="bullet"/>
      <w:lvlText w:val="•"/>
      <w:lvlJc w:val="left"/>
      <w:pPr>
        <w:ind w:left="1586" w:hanging="512"/>
      </w:pPr>
      <w:rPr>
        <w:rFonts w:hint="default"/>
        <w:lang w:val="en-US" w:eastAsia="zh-TW" w:bidi="ar-SA"/>
      </w:rPr>
    </w:lvl>
    <w:lvl w:ilvl="2">
      <w:start w:val="0"/>
      <w:numFmt w:val="bullet"/>
      <w:lvlText w:val="•"/>
      <w:lvlJc w:val="left"/>
      <w:pPr>
        <w:ind w:left="2513" w:hanging="512"/>
      </w:pPr>
      <w:rPr>
        <w:rFonts w:hint="default"/>
        <w:lang w:val="en-US" w:eastAsia="zh-TW" w:bidi="ar-SA"/>
      </w:rPr>
    </w:lvl>
    <w:lvl w:ilvl="3">
      <w:start w:val="0"/>
      <w:numFmt w:val="bullet"/>
      <w:lvlText w:val="•"/>
      <w:lvlJc w:val="left"/>
      <w:pPr>
        <w:ind w:left="3439" w:hanging="512"/>
      </w:pPr>
      <w:rPr>
        <w:rFonts w:hint="default"/>
        <w:lang w:val="en-US" w:eastAsia="zh-TW" w:bidi="ar-SA"/>
      </w:rPr>
    </w:lvl>
    <w:lvl w:ilvl="4">
      <w:start w:val="0"/>
      <w:numFmt w:val="bullet"/>
      <w:lvlText w:val="•"/>
      <w:lvlJc w:val="left"/>
      <w:pPr>
        <w:ind w:left="4366" w:hanging="512"/>
      </w:pPr>
      <w:rPr>
        <w:rFonts w:hint="default"/>
        <w:lang w:val="en-US" w:eastAsia="zh-TW" w:bidi="ar-SA"/>
      </w:rPr>
    </w:lvl>
    <w:lvl w:ilvl="5">
      <w:start w:val="0"/>
      <w:numFmt w:val="bullet"/>
      <w:lvlText w:val="•"/>
      <w:lvlJc w:val="left"/>
      <w:pPr>
        <w:ind w:left="5293" w:hanging="512"/>
      </w:pPr>
      <w:rPr>
        <w:rFonts w:hint="default"/>
        <w:lang w:val="en-US" w:eastAsia="zh-TW" w:bidi="ar-SA"/>
      </w:rPr>
    </w:lvl>
    <w:lvl w:ilvl="6">
      <w:start w:val="0"/>
      <w:numFmt w:val="bullet"/>
      <w:lvlText w:val="•"/>
      <w:lvlJc w:val="left"/>
      <w:pPr>
        <w:ind w:left="6219" w:hanging="512"/>
      </w:pPr>
      <w:rPr>
        <w:rFonts w:hint="default"/>
        <w:lang w:val="en-US" w:eastAsia="zh-TW" w:bidi="ar-SA"/>
      </w:rPr>
    </w:lvl>
    <w:lvl w:ilvl="7">
      <w:start w:val="0"/>
      <w:numFmt w:val="bullet"/>
      <w:lvlText w:val="•"/>
      <w:lvlJc w:val="left"/>
      <w:pPr>
        <w:ind w:left="7146" w:hanging="512"/>
      </w:pPr>
      <w:rPr>
        <w:rFonts w:hint="default"/>
        <w:lang w:val="en-US" w:eastAsia="zh-TW" w:bidi="ar-SA"/>
      </w:rPr>
    </w:lvl>
    <w:lvl w:ilvl="8">
      <w:start w:val="0"/>
      <w:numFmt w:val="bullet"/>
      <w:lvlText w:val="•"/>
      <w:lvlJc w:val="left"/>
      <w:pPr>
        <w:ind w:left="8073" w:hanging="512"/>
      </w:pPr>
      <w:rPr>
        <w:rFonts w:hint="default"/>
        <w:lang w:val="en-US" w:eastAsia="zh-TW" w:bidi="ar-SA"/>
      </w:rPr>
    </w:lvl>
  </w:abstractNum>
  <w:abstractNum w:abstractNumId="6">
    <w:multiLevelType w:val="hybridMultilevel"/>
    <w:lvl w:ilvl="0">
      <w:start w:val="1"/>
      <w:numFmt w:val="decimal"/>
      <w:lvlText w:val="（%1）"/>
      <w:lvlJc w:val="left"/>
      <w:pPr>
        <w:ind w:left="654" w:hanging="503"/>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3"/>
      </w:pPr>
      <w:rPr>
        <w:rFonts w:hint="default"/>
        <w:lang w:val="en-US" w:eastAsia="zh-TW" w:bidi="ar-SA"/>
      </w:rPr>
    </w:lvl>
    <w:lvl w:ilvl="2">
      <w:start w:val="0"/>
      <w:numFmt w:val="bullet"/>
      <w:lvlText w:val="•"/>
      <w:lvlJc w:val="left"/>
      <w:pPr>
        <w:ind w:left="2513" w:hanging="503"/>
      </w:pPr>
      <w:rPr>
        <w:rFonts w:hint="default"/>
        <w:lang w:val="en-US" w:eastAsia="zh-TW" w:bidi="ar-SA"/>
      </w:rPr>
    </w:lvl>
    <w:lvl w:ilvl="3">
      <w:start w:val="0"/>
      <w:numFmt w:val="bullet"/>
      <w:lvlText w:val="•"/>
      <w:lvlJc w:val="left"/>
      <w:pPr>
        <w:ind w:left="3439" w:hanging="503"/>
      </w:pPr>
      <w:rPr>
        <w:rFonts w:hint="default"/>
        <w:lang w:val="en-US" w:eastAsia="zh-TW" w:bidi="ar-SA"/>
      </w:rPr>
    </w:lvl>
    <w:lvl w:ilvl="4">
      <w:start w:val="0"/>
      <w:numFmt w:val="bullet"/>
      <w:lvlText w:val="•"/>
      <w:lvlJc w:val="left"/>
      <w:pPr>
        <w:ind w:left="4366" w:hanging="503"/>
      </w:pPr>
      <w:rPr>
        <w:rFonts w:hint="default"/>
        <w:lang w:val="en-US" w:eastAsia="zh-TW" w:bidi="ar-SA"/>
      </w:rPr>
    </w:lvl>
    <w:lvl w:ilvl="5">
      <w:start w:val="0"/>
      <w:numFmt w:val="bullet"/>
      <w:lvlText w:val="•"/>
      <w:lvlJc w:val="left"/>
      <w:pPr>
        <w:ind w:left="5293" w:hanging="503"/>
      </w:pPr>
      <w:rPr>
        <w:rFonts w:hint="default"/>
        <w:lang w:val="en-US" w:eastAsia="zh-TW" w:bidi="ar-SA"/>
      </w:rPr>
    </w:lvl>
    <w:lvl w:ilvl="6">
      <w:start w:val="0"/>
      <w:numFmt w:val="bullet"/>
      <w:lvlText w:val="•"/>
      <w:lvlJc w:val="left"/>
      <w:pPr>
        <w:ind w:left="6219" w:hanging="503"/>
      </w:pPr>
      <w:rPr>
        <w:rFonts w:hint="default"/>
        <w:lang w:val="en-US" w:eastAsia="zh-TW" w:bidi="ar-SA"/>
      </w:rPr>
    </w:lvl>
    <w:lvl w:ilvl="7">
      <w:start w:val="0"/>
      <w:numFmt w:val="bullet"/>
      <w:lvlText w:val="•"/>
      <w:lvlJc w:val="left"/>
      <w:pPr>
        <w:ind w:left="7146" w:hanging="503"/>
      </w:pPr>
      <w:rPr>
        <w:rFonts w:hint="default"/>
        <w:lang w:val="en-US" w:eastAsia="zh-TW" w:bidi="ar-SA"/>
      </w:rPr>
    </w:lvl>
    <w:lvl w:ilvl="8">
      <w:start w:val="0"/>
      <w:numFmt w:val="bullet"/>
      <w:lvlText w:val="•"/>
      <w:lvlJc w:val="left"/>
      <w:pPr>
        <w:ind w:left="8073" w:hanging="503"/>
      </w:pPr>
      <w:rPr>
        <w:rFonts w:hint="default"/>
        <w:lang w:val="en-US" w:eastAsia="zh-TW" w:bidi="ar-SA"/>
      </w:rPr>
    </w:lvl>
  </w:abstractNum>
  <w:abstractNum w:abstractNumId="5">
    <w:multiLevelType w:val="hybridMultilevel"/>
    <w:lvl w:ilvl="0">
      <w:start w:val="1"/>
      <w:numFmt w:val="decimal"/>
      <w:lvlText w:val="（%1）"/>
      <w:lvlJc w:val="left"/>
      <w:pPr>
        <w:ind w:left="554" w:hanging="512"/>
        <w:jc w:val="left"/>
      </w:pPr>
      <w:rPr>
        <w:rFonts w:hint="default" w:ascii="SimSun" w:hAnsi="SimSun" w:eastAsia="SimSun" w:cs="SimSun"/>
        <w:spacing w:val="3"/>
        <w:w w:val="99"/>
        <w:sz w:val="18"/>
        <w:szCs w:val="18"/>
        <w:lang w:val="en-US" w:eastAsia="zh-TW" w:bidi="ar-SA"/>
      </w:rPr>
    </w:lvl>
    <w:lvl w:ilvl="1">
      <w:start w:val="0"/>
      <w:numFmt w:val="bullet"/>
      <w:lvlText w:val="•"/>
      <w:lvlJc w:val="left"/>
      <w:pPr>
        <w:ind w:left="560" w:hanging="512"/>
      </w:pPr>
      <w:rPr>
        <w:rFonts w:hint="default"/>
        <w:lang w:val="en-US" w:eastAsia="zh-TW" w:bidi="ar-SA"/>
      </w:rPr>
    </w:lvl>
    <w:lvl w:ilvl="2">
      <w:start w:val="0"/>
      <w:numFmt w:val="bullet"/>
      <w:lvlText w:val="•"/>
      <w:lvlJc w:val="left"/>
      <w:pPr>
        <w:ind w:left="1600" w:hanging="512"/>
      </w:pPr>
      <w:rPr>
        <w:rFonts w:hint="default"/>
        <w:lang w:val="en-US" w:eastAsia="zh-TW" w:bidi="ar-SA"/>
      </w:rPr>
    </w:lvl>
    <w:lvl w:ilvl="3">
      <w:start w:val="0"/>
      <w:numFmt w:val="bullet"/>
      <w:lvlText w:val="•"/>
      <w:lvlJc w:val="left"/>
      <w:pPr>
        <w:ind w:left="2641" w:hanging="512"/>
      </w:pPr>
      <w:rPr>
        <w:rFonts w:hint="default"/>
        <w:lang w:val="en-US" w:eastAsia="zh-TW" w:bidi="ar-SA"/>
      </w:rPr>
    </w:lvl>
    <w:lvl w:ilvl="4">
      <w:start w:val="0"/>
      <w:numFmt w:val="bullet"/>
      <w:lvlText w:val="•"/>
      <w:lvlJc w:val="left"/>
      <w:pPr>
        <w:ind w:left="3682" w:hanging="512"/>
      </w:pPr>
      <w:rPr>
        <w:rFonts w:hint="default"/>
        <w:lang w:val="en-US" w:eastAsia="zh-TW" w:bidi="ar-SA"/>
      </w:rPr>
    </w:lvl>
    <w:lvl w:ilvl="5">
      <w:start w:val="0"/>
      <w:numFmt w:val="bullet"/>
      <w:lvlText w:val="•"/>
      <w:lvlJc w:val="left"/>
      <w:pPr>
        <w:ind w:left="4722" w:hanging="512"/>
      </w:pPr>
      <w:rPr>
        <w:rFonts w:hint="default"/>
        <w:lang w:val="en-US" w:eastAsia="zh-TW" w:bidi="ar-SA"/>
      </w:rPr>
    </w:lvl>
    <w:lvl w:ilvl="6">
      <w:start w:val="0"/>
      <w:numFmt w:val="bullet"/>
      <w:lvlText w:val="•"/>
      <w:lvlJc w:val="left"/>
      <w:pPr>
        <w:ind w:left="5763" w:hanging="512"/>
      </w:pPr>
      <w:rPr>
        <w:rFonts w:hint="default"/>
        <w:lang w:val="en-US" w:eastAsia="zh-TW" w:bidi="ar-SA"/>
      </w:rPr>
    </w:lvl>
    <w:lvl w:ilvl="7">
      <w:start w:val="0"/>
      <w:numFmt w:val="bullet"/>
      <w:lvlText w:val="•"/>
      <w:lvlJc w:val="left"/>
      <w:pPr>
        <w:ind w:left="6804" w:hanging="512"/>
      </w:pPr>
      <w:rPr>
        <w:rFonts w:hint="default"/>
        <w:lang w:val="en-US" w:eastAsia="zh-TW" w:bidi="ar-SA"/>
      </w:rPr>
    </w:lvl>
    <w:lvl w:ilvl="8">
      <w:start w:val="0"/>
      <w:numFmt w:val="bullet"/>
      <w:lvlText w:val="•"/>
      <w:lvlJc w:val="left"/>
      <w:pPr>
        <w:ind w:left="7844" w:hanging="512"/>
      </w:pPr>
      <w:rPr>
        <w:rFonts w:hint="default"/>
        <w:lang w:val="en-US" w:eastAsia="zh-TW" w:bidi="ar-SA"/>
      </w:rPr>
    </w:lvl>
  </w:abstractNum>
  <w:abstractNum w:abstractNumId="4">
    <w:multiLevelType w:val="hybridMultilevel"/>
    <w:lvl w:ilvl="0">
      <w:start w:val="1"/>
      <w:numFmt w:val="decimal"/>
      <w:lvlText w:val="（%1）"/>
      <w:lvlJc w:val="left"/>
      <w:pPr>
        <w:ind w:left="554" w:hanging="505"/>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496" w:hanging="505"/>
      </w:pPr>
      <w:rPr>
        <w:rFonts w:hint="default"/>
        <w:lang w:val="en-US" w:eastAsia="zh-TW" w:bidi="ar-SA"/>
      </w:rPr>
    </w:lvl>
    <w:lvl w:ilvl="2">
      <w:start w:val="0"/>
      <w:numFmt w:val="bullet"/>
      <w:lvlText w:val="•"/>
      <w:lvlJc w:val="left"/>
      <w:pPr>
        <w:ind w:left="2433" w:hanging="505"/>
      </w:pPr>
      <w:rPr>
        <w:rFonts w:hint="default"/>
        <w:lang w:val="en-US" w:eastAsia="zh-TW" w:bidi="ar-SA"/>
      </w:rPr>
    </w:lvl>
    <w:lvl w:ilvl="3">
      <w:start w:val="0"/>
      <w:numFmt w:val="bullet"/>
      <w:lvlText w:val="•"/>
      <w:lvlJc w:val="left"/>
      <w:pPr>
        <w:ind w:left="3369" w:hanging="505"/>
      </w:pPr>
      <w:rPr>
        <w:rFonts w:hint="default"/>
        <w:lang w:val="en-US" w:eastAsia="zh-TW" w:bidi="ar-SA"/>
      </w:rPr>
    </w:lvl>
    <w:lvl w:ilvl="4">
      <w:start w:val="0"/>
      <w:numFmt w:val="bullet"/>
      <w:lvlText w:val="•"/>
      <w:lvlJc w:val="left"/>
      <w:pPr>
        <w:ind w:left="4306" w:hanging="505"/>
      </w:pPr>
      <w:rPr>
        <w:rFonts w:hint="default"/>
        <w:lang w:val="en-US" w:eastAsia="zh-TW" w:bidi="ar-SA"/>
      </w:rPr>
    </w:lvl>
    <w:lvl w:ilvl="5">
      <w:start w:val="0"/>
      <w:numFmt w:val="bullet"/>
      <w:lvlText w:val="•"/>
      <w:lvlJc w:val="left"/>
      <w:pPr>
        <w:ind w:left="5243" w:hanging="505"/>
      </w:pPr>
      <w:rPr>
        <w:rFonts w:hint="default"/>
        <w:lang w:val="en-US" w:eastAsia="zh-TW" w:bidi="ar-SA"/>
      </w:rPr>
    </w:lvl>
    <w:lvl w:ilvl="6">
      <w:start w:val="0"/>
      <w:numFmt w:val="bullet"/>
      <w:lvlText w:val="•"/>
      <w:lvlJc w:val="left"/>
      <w:pPr>
        <w:ind w:left="6179" w:hanging="505"/>
      </w:pPr>
      <w:rPr>
        <w:rFonts w:hint="default"/>
        <w:lang w:val="en-US" w:eastAsia="zh-TW" w:bidi="ar-SA"/>
      </w:rPr>
    </w:lvl>
    <w:lvl w:ilvl="7">
      <w:start w:val="0"/>
      <w:numFmt w:val="bullet"/>
      <w:lvlText w:val="•"/>
      <w:lvlJc w:val="left"/>
      <w:pPr>
        <w:ind w:left="7116" w:hanging="505"/>
      </w:pPr>
      <w:rPr>
        <w:rFonts w:hint="default"/>
        <w:lang w:val="en-US" w:eastAsia="zh-TW" w:bidi="ar-SA"/>
      </w:rPr>
    </w:lvl>
    <w:lvl w:ilvl="8">
      <w:start w:val="0"/>
      <w:numFmt w:val="bullet"/>
      <w:lvlText w:val="•"/>
      <w:lvlJc w:val="left"/>
      <w:pPr>
        <w:ind w:left="8053" w:hanging="505"/>
      </w:pPr>
      <w:rPr>
        <w:rFonts w:hint="default"/>
        <w:lang w:val="en-US" w:eastAsia="zh-TW" w:bidi="ar-SA"/>
      </w:rPr>
    </w:lvl>
  </w:abstractNum>
  <w:abstractNum w:abstractNumId="3">
    <w:multiLevelType w:val="hybridMultilevel"/>
    <w:lvl w:ilvl="0">
      <w:start w:val="1"/>
      <w:numFmt w:val="decimal"/>
      <w:lvlText w:val="（%1）"/>
      <w:lvlJc w:val="left"/>
      <w:pPr>
        <w:ind w:left="652" w:hanging="505"/>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253" w:hanging="303"/>
        <w:jc w:val="left"/>
      </w:pPr>
      <w:rPr>
        <w:rFonts w:hint="default" w:ascii="SimSun" w:hAnsi="SimSun" w:eastAsia="SimSun" w:cs="SimSun"/>
        <w:spacing w:val="-1"/>
        <w:w w:val="99"/>
        <w:sz w:val="18"/>
        <w:szCs w:val="18"/>
        <w:lang w:val="en-US" w:eastAsia="zh-TW" w:bidi="ar-SA"/>
      </w:rPr>
    </w:lvl>
    <w:lvl w:ilvl="2">
      <w:start w:val="0"/>
      <w:numFmt w:val="bullet"/>
      <w:lvlText w:val="•"/>
      <w:lvlJc w:val="left"/>
      <w:pPr>
        <w:ind w:left="1689" w:hanging="303"/>
      </w:pPr>
      <w:rPr>
        <w:rFonts w:hint="default"/>
        <w:lang w:val="en-US" w:eastAsia="zh-TW" w:bidi="ar-SA"/>
      </w:rPr>
    </w:lvl>
    <w:lvl w:ilvl="3">
      <w:start w:val="0"/>
      <w:numFmt w:val="bullet"/>
      <w:lvlText w:val="•"/>
      <w:lvlJc w:val="left"/>
      <w:pPr>
        <w:ind w:left="2719" w:hanging="303"/>
      </w:pPr>
      <w:rPr>
        <w:rFonts w:hint="default"/>
        <w:lang w:val="en-US" w:eastAsia="zh-TW" w:bidi="ar-SA"/>
      </w:rPr>
    </w:lvl>
    <w:lvl w:ilvl="4">
      <w:start w:val="0"/>
      <w:numFmt w:val="bullet"/>
      <w:lvlText w:val="•"/>
      <w:lvlJc w:val="left"/>
      <w:pPr>
        <w:ind w:left="3748" w:hanging="303"/>
      </w:pPr>
      <w:rPr>
        <w:rFonts w:hint="default"/>
        <w:lang w:val="en-US" w:eastAsia="zh-TW" w:bidi="ar-SA"/>
      </w:rPr>
    </w:lvl>
    <w:lvl w:ilvl="5">
      <w:start w:val="0"/>
      <w:numFmt w:val="bullet"/>
      <w:lvlText w:val="•"/>
      <w:lvlJc w:val="left"/>
      <w:pPr>
        <w:ind w:left="4778" w:hanging="303"/>
      </w:pPr>
      <w:rPr>
        <w:rFonts w:hint="default"/>
        <w:lang w:val="en-US" w:eastAsia="zh-TW" w:bidi="ar-SA"/>
      </w:rPr>
    </w:lvl>
    <w:lvl w:ilvl="6">
      <w:start w:val="0"/>
      <w:numFmt w:val="bullet"/>
      <w:lvlText w:val="•"/>
      <w:lvlJc w:val="left"/>
      <w:pPr>
        <w:ind w:left="5808" w:hanging="303"/>
      </w:pPr>
      <w:rPr>
        <w:rFonts w:hint="default"/>
        <w:lang w:val="en-US" w:eastAsia="zh-TW" w:bidi="ar-SA"/>
      </w:rPr>
    </w:lvl>
    <w:lvl w:ilvl="7">
      <w:start w:val="0"/>
      <w:numFmt w:val="bullet"/>
      <w:lvlText w:val="•"/>
      <w:lvlJc w:val="left"/>
      <w:pPr>
        <w:ind w:left="6837" w:hanging="303"/>
      </w:pPr>
      <w:rPr>
        <w:rFonts w:hint="default"/>
        <w:lang w:val="en-US" w:eastAsia="zh-TW" w:bidi="ar-SA"/>
      </w:rPr>
    </w:lvl>
    <w:lvl w:ilvl="8">
      <w:start w:val="0"/>
      <w:numFmt w:val="bullet"/>
      <w:lvlText w:val="•"/>
      <w:lvlJc w:val="left"/>
      <w:pPr>
        <w:ind w:left="7867" w:hanging="303"/>
      </w:pPr>
      <w:rPr>
        <w:rFonts w:hint="default"/>
        <w:lang w:val="en-US" w:eastAsia="zh-TW" w:bidi="ar-SA"/>
      </w:rPr>
    </w:lvl>
  </w:abstractNum>
  <w:abstractNum w:abstractNumId="2">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1">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86" w:hanging="502"/>
      </w:pPr>
      <w:rPr>
        <w:rFonts w:hint="default"/>
        <w:lang w:val="en-US" w:eastAsia="zh-TW" w:bidi="ar-SA"/>
      </w:rPr>
    </w:lvl>
    <w:lvl w:ilvl="2">
      <w:start w:val="0"/>
      <w:numFmt w:val="bullet"/>
      <w:lvlText w:val="•"/>
      <w:lvlJc w:val="left"/>
      <w:pPr>
        <w:ind w:left="2513" w:hanging="502"/>
      </w:pPr>
      <w:rPr>
        <w:rFonts w:hint="default"/>
        <w:lang w:val="en-US" w:eastAsia="zh-TW" w:bidi="ar-SA"/>
      </w:rPr>
    </w:lvl>
    <w:lvl w:ilvl="3">
      <w:start w:val="0"/>
      <w:numFmt w:val="bullet"/>
      <w:lvlText w:val="•"/>
      <w:lvlJc w:val="left"/>
      <w:pPr>
        <w:ind w:left="3439" w:hanging="502"/>
      </w:pPr>
      <w:rPr>
        <w:rFonts w:hint="default"/>
        <w:lang w:val="en-US" w:eastAsia="zh-TW" w:bidi="ar-SA"/>
      </w:rPr>
    </w:lvl>
    <w:lvl w:ilvl="4">
      <w:start w:val="0"/>
      <w:numFmt w:val="bullet"/>
      <w:lvlText w:val="•"/>
      <w:lvlJc w:val="left"/>
      <w:pPr>
        <w:ind w:left="4366" w:hanging="502"/>
      </w:pPr>
      <w:rPr>
        <w:rFonts w:hint="default"/>
        <w:lang w:val="en-US" w:eastAsia="zh-TW" w:bidi="ar-SA"/>
      </w:rPr>
    </w:lvl>
    <w:lvl w:ilvl="5">
      <w:start w:val="0"/>
      <w:numFmt w:val="bullet"/>
      <w:lvlText w:val="•"/>
      <w:lvlJc w:val="left"/>
      <w:pPr>
        <w:ind w:left="5293" w:hanging="502"/>
      </w:pPr>
      <w:rPr>
        <w:rFonts w:hint="default"/>
        <w:lang w:val="en-US" w:eastAsia="zh-TW" w:bidi="ar-SA"/>
      </w:rPr>
    </w:lvl>
    <w:lvl w:ilvl="6">
      <w:start w:val="0"/>
      <w:numFmt w:val="bullet"/>
      <w:lvlText w:val="•"/>
      <w:lvlJc w:val="left"/>
      <w:pPr>
        <w:ind w:left="6219" w:hanging="502"/>
      </w:pPr>
      <w:rPr>
        <w:rFonts w:hint="default"/>
        <w:lang w:val="en-US" w:eastAsia="zh-TW" w:bidi="ar-SA"/>
      </w:rPr>
    </w:lvl>
    <w:lvl w:ilvl="7">
      <w:start w:val="0"/>
      <w:numFmt w:val="bullet"/>
      <w:lvlText w:val="•"/>
      <w:lvlJc w:val="left"/>
      <w:pPr>
        <w:ind w:left="7146" w:hanging="502"/>
      </w:pPr>
      <w:rPr>
        <w:rFonts w:hint="default"/>
        <w:lang w:val="en-US" w:eastAsia="zh-TW" w:bidi="ar-SA"/>
      </w:rPr>
    </w:lvl>
    <w:lvl w:ilvl="8">
      <w:start w:val="0"/>
      <w:numFmt w:val="bullet"/>
      <w:lvlText w:val="•"/>
      <w:lvlJc w:val="left"/>
      <w:pPr>
        <w:ind w:left="8073" w:hanging="502"/>
      </w:pPr>
      <w:rPr>
        <w:rFonts w:hint="default"/>
        <w:lang w:val="en-US" w:eastAsia="zh-TW" w:bidi="ar-SA"/>
      </w:rPr>
    </w:lvl>
  </w:abstractNum>
  <w:abstractNum w:abstractNumId="0">
    <w:multiLevelType w:val="hybridMultilevel"/>
    <w:lvl w:ilvl="0">
      <w:start w:val="99"/>
      <w:numFmt w:val="decimal"/>
      <w:lvlText w:val="%1"/>
      <w:lvlJc w:val="left"/>
      <w:pPr>
        <w:ind w:left="954" w:hanging="803"/>
        <w:jc w:val="left"/>
      </w:pPr>
      <w:rPr>
        <w:rFonts w:hint="default"/>
        <w:lang w:val="en-US" w:eastAsia="zh-TW" w:bidi="ar-SA"/>
      </w:rPr>
    </w:lvl>
    <w:lvl w:ilvl="1">
      <w:start w:val="2"/>
      <w:numFmt w:val="decimalZero"/>
      <w:lvlText w:val="%1.%2"/>
      <w:lvlJc w:val="left"/>
      <w:pPr>
        <w:ind w:left="954" w:hanging="803"/>
        <w:jc w:val="left"/>
      </w:pPr>
      <w:rPr>
        <w:rFonts w:hint="default"/>
        <w:lang w:val="en-US" w:eastAsia="zh-TW" w:bidi="ar-SA"/>
      </w:rPr>
    </w:lvl>
    <w:lvl w:ilvl="2">
      <w:start w:val="2"/>
      <w:numFmt w:val="decimalZero"/>
      <w:lvlText w:val="%1.%2.%3"/>
      <w:lvlJc w:val="left"/>
      <w:pPr>
        <w:ind w:left="954" w:hanging="803"/>
        <w:jc w:val="left"/>
      </w:pPr>
      <w:rPr>
        <w:rFonts w:hint="default" w:ascii="SimSun" w:hAnsi="SimSun" w:eastAsia="SimSun" w:cs="SimSun"/>
        <w:spacing w:val="-2"/>
        <w:w w:val="99"/>
        <w:sz w:val="18"/>
        <w:szCs w:val="18"/>
        <w:lang w:val="en-US" w:eastAsia="zh-TW" w:bidi="ar-SA"/>
      </w:rPr>
    </w:lvl>
    <w:lvl w:ilvl="3">
      <w:start w:val="1"/>
      <w:numFmt w:val="decimal"/>
      <w:lvlText w:val="%4."/>
      <w:lvlJc w:val="left"/>
      <w:pPr>
        <w:ind w:left="1151" w:hanging="202"/>
        <w:jc w:val="left"/>
      </w:pPr>
      <w:rPr>
        <w:rFonts w:hint="default" w:ascii="SimSun" w:hAnsi="SimSun" w:eastAsia="SimSun" w:cs="SimSun"/>
        <w:spacing w:val="1"/>
        <w:w w:val="99"/>
        <w:sz w:val="18"/>
        <w:szCs w:val="18"/>
        <w:lang w:val="en-US" w:eastAsia="zh-TW" w:bidi="ar-SA"/>
      </w:rPr>
    </w:lvl>
    <w:lvl w:ilvl="4">
      <w:start w:val="0"/>
      <w:numFmt w:val="bullet"/>
      <w:lvlText w:val="•"/>
      <w:lvlJc w:val="left"/>
      <w:pPr>
        <w:ind w:left="4082" w:hanging="202"/>
      </w:pPr>
      <w:rPr>
        <w:rFonts w:hint="default"/>
        <w:lang w:val="en-US" w:eastAsia="zh-TW" w:bidi="ar-SA"/>
      </w:rPr>
    </w:lvl>
    <w:lvl w:ilvl="5">
      <w:start w:val="0"/>
      <w:numFmt w:val="bullet"/>
      <w:lvlText w:val="•"/>
      <w:lvlJc w:val="left"/>
      <w:pPr>
        <w:ind w:left="5056" w:hanging="202"/>
      </w:pPr>
      <w:rPr>
        <w:rFonts w:hint="default"/>
        <w:lang w:val="en-US" w:eastAsia="zh-TW" w:bidi="ar-SA"/>
      </w:rPr>
    </w:lvl>
    <w:lvl w:ilvl="6">
      <w:start w:val="0"/>
      <w:numFmt w:val="bullet"/>
      <w:lvlText w:val="•"/>
      <w:lvlJc w:val="left"/>
      <w:pPr>
        <w:ind w:left="6030" w:hanging="202"/>
      </w:pPr>
      <w:rPr>
        <w:rFonts w:hint="default"/>
        <w:lang w:val="en-US" w:eastAsia="zh-TW" w:bidi="ar-SA"/>
      </w:rPr>
    </w:lvl>
    <w:lvl w:ilvl="7">
      <w:start w:val="0"/>
      <w:numFmt w:val="bullet"/>
      <w:lvlText w:val="•"/>
      <w:lvlJc w:val="left"/>
      <w:pPr>
        <w:ind w:left="7004" w:hanging="202"/>
      </w:pPr>
      <w:rPr>
        <w:rFonts w:hint="default"/>
        <w:lang w:val="en-US" w:eastAsia="zh-TW" w:bidi="ar-SA"/>
      </w:rPr>
    </w:lvl>
    <w:lvl w:ilvl="8">
      <w:start w:val="0"/>
      <w:numFmt w:val="bullet"/>
      <w:lvlText w:val="•"/>
      <w:lvlJc w:val="left"/>
      <w:pPr>
        <w:ind w:left="7978" w:hanging="202"/>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5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61" w:lineRule="exact"/>
      <w:ind w:left="138"/>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654" w:hanging="503"/>
    </w:pPr>
    <w:rPr>
      <w:rFonts w:ascii="SimSun" w:hAnsi="SimSun" w:eastAsia="SimSun" w:cs="SimSun"/>
      <w:lang w:val="en-US" w:eastAsia="zh-TW" w:bidi="ar-SA"/>
    </w:rPr>
  </w:style>
  <w:style w:styleId="TableParagraph" w:type="paragraph">
    <w:name w:val="Table Paragraph"/>
    <w:basedOn w:val="Normal"/>
    <w:uiPriority w:val="1"/>
    <w:qFormat/>
    <w:pPr>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2023-11-01T02:33:14Z</dcterms:created>
  <dcterms:modified xsi:type="dcterms:W3CDTF">2023-11-01T02:33:14Z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