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w w:val="95"/>
        </w:rPr>
        <w:t>國泰人壽新樂安心住院醫療健康保險</w:t>
      </w:r>
    </w:p>
    <w:p>
      <w:pPr>
        <w:pStyle w:val="Heading1"/>
        <w:spacing w:line="168" w:lineRule="auto" w:before="22"/>
        <w:ind w:left="414" w:right="113" w:hanging="282"/>
      </w:pPr>
      <w:r>
        <w:rPr/>
        <w:t>（給付項目：住院日額保險金、加護病房或燒燙傷病房保險金、骨折保險金、營養補充保險金）</w:t>
      </w:r>
    </w:p>
    <w:p>
      <w:pPr>
        <w:spacing w:line="170" w:lineRule="auto" w:before="3"/>
        <w:ind w:left="414" w:right="111" w:hanging="282"/>
        <w:jc w:val="left"/>
        <w:rPr>
          <w:rFonts w:ascii="Microsoft JhengHei" w:eastAsia="Microsoft JhengHei" w:hint="eastAsia"/>
          <w:b/>
          <w:sz w:val="28"/>
        </w:rPr>
      </w:pPr>
      <w:r>
        <w:rPr>
          <w:rFonts w:ascii="Microsoft JhengHei" w:eastAsia="Microsoft JhengHei" w:hint="eastAsia"/>
          <w:b/>
          <w:sz w:val="28"/>
        </w:rPr>
        <w:t>（本保險住院日額保險金、加護病房或燒燙傷病房保險金、骨折保險金、營養補充保險金給付總額上限為「住院醫療保險金日額」之一千兩百倍）</w:t>
      </w:r>
    </w:p>
    <w:p>
      <w:pPr>
        <w:pStyle w:val="Heading1"/>
        <w:spacing w:line="170" w:lineRule="auto"/>
        <w:ind w:left="414" w:right="121" w:hanging="282"/>
      </w:pPr>
      <w:r>
        <w:rPr/>
        <w:t>（本保險「疾病」等待期間為三十日，本公司對「疾病」應負的保險責任，自契約生效日起持續有效第三十一日或自復效日開始，詳請參閱契約條款）</w:t>
      </w:r>
    </w:p>
    <w:p>
      <w:pPr>
        <w:spacing w:line="329" w:lineRule="exact" w:before="0"/>
        <w:ind w:left="132" w:right="0" w:firstLine="0"/>
        <w:jc w:val="left"/>
        <w:rPr>
          <w:rFonts w:ascii="Microsoft JhengHei" w:eastAsia="Microsoft JhengHei" w:hint="eastAsia"/>
          <w:b/>
          <w:sz w:val="28"/>
        </w:rPr>
      </w:pPr>
      <w:r>
        <w:rPr>
          <w:rFonts w:ascii="Microsoft JhengHei" w:eastAsia="Microsoft JhengHei" w:hint="eastAsia"/>
          <w:b/>
          <w:sz w:val="28"/>
        </w:rPr>
        <w:t>（本保險因費率計算考慮脫退率致本險無解約金）</w:t>
      </w:r>
    </w:p>
    <w:p>
      <w:pPr>
        <w:pStyle w:val="Heading1"/>
        <w:spacing w:line="170" w:lineRule="auto" w:before="28"/>
        <w:ind w:left="414" w:right="111" w:hanging="282"/>
      </w:pPr>
      <w:r>
        <w:rPr/>
        <w:drawing>
          <wp:anchor distT="0" distB="0" distL="0" distR="0" allowOverlap="1" layoutInCell="1" locked="0" behindDoc="1" simplePos="0" relativeHeight="487353344">
            <wp:simplePos x="0" y="0"/>
            <wp:positionH relativeFrom="page">
              <wp:posOffset>2871546</wp:posOffset>
            </wp:positionH>
            <wp:positionV relativeFrom="paragraph">
              <wp:posOffset>277223</wp:posOffset>
            </wp:positionV>
            <wp:extent cx="1839480" cy="44247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w:t>
      </w:r>
      <w:r>
        <w:rPr>
          <w:spacing w:val="4"/>
          <w:w w:val="95"/>
        </w:rPr>
        <w:t>申訴電話：市話免費撥打 </w:t>
      </w:r>
      <w:r>
        <w:rPr>
          <w:w w:val="95"/>
        </w:rPr>
        <w:t>0800-036-599</w:t>
      </w:r>
      <w:r>
        <w:rPr>
          <w:spacing w:val="9"/>
          <w:w w:val="95"/>
        </w:rPr>
        <w:t>、付費撥打 </w:t>
      </w:r>
      <w:r>
        <w:rPr>
          <w:w w:val="95"/>
        </w:rPr>
        <w:t>02-2162-6201；傳真：</w:t>
      </w:r>
      <w:r>
        <w:rPr>
          <w:spacing w:val="-64"/>
          <w:w w:val="95"/>
        </w:rPr>
        <w:t> </w:t>
      </w:r>
      <w:r>
        <w:rPr>
          <w:w w:val="84"/>
        </w:rPr>
        <w:t>0</w:t>
      </w:r>
      <w:r>
        <w:rPr>
          <w:spacing w:val="-2"/>
          <w:w w:val="84"/>
        </w:rPr>
        <w:t>8</w:t>
      </w:r>
      <w:r>
        <w:rPr>
          <w:w w:val="84"/>
        </w:rPr>
        <w:t>0</w:t>
      </w:r>
      <w:r>
        <w:rPr>
          <w:spacing w:val="-1"/>
          <w:w w:val="84"/>
        </w:rPr>
        <w:t>0</w:t>
      </w:r>
      <w:r>
        <w:rPr>
          <w:spacing w:val="1"/>
          <w:w w:val="115"/>
        </w:rPr>
        <w:t>-</w:t>
      </w:r>
      <w:r>
        <w:rPr>
          <w:spacing w:val="-2"/>
          <w:w w:val="84"/>
        </w:rPr>
        <w:t>2</w:t>
      </w:r>
      <w:r>
        <w:rPr>
          <w:w w:val="84"/>
        </w:rPr>
        <w:t>1</w:t>
      </w:r>
      <w:r>
        <w:rPr>
          <w:spacing w:val="-1"/>
          <w:w w:val="84"/>
        </w:rPr>
        <w:t>1</w:t>
      </w:r>
      <w:r>
        <w:rPr>
          <w:spacing w:val="1"/>
          <w:w w:val="115"/>
        </w:rPr>
        <w:t>-</w:t>
      </w:r>
      <w:r>
        <w:rPr>
          <w:spacing w:val="-2"/>
          <w:w w:val="84"/>
        </w:rPr>
        <w:t>568</w:t>
      </w:r>
      <w:r>
        <w:rPr>
          <w:w w:val="100"/>
        </w:rPr>
        <w:t>；電子信箱</w:t>
      </w:r>
      <w:r>
        <w:rPr>
          <w:spacing w:val="-2"/>
          <w:w w:val="142"/>
        </w:rPr>
        <w:t>(</w:t>
      </w:r>
      <w:r>
        <w:rPr>
          <w:w w:val="90"/>
        </w:rPr>
        <w:t>E</w:t>
      </w:r>
      <w:r>
        <w:rPr>
          <w:spacing w:val="-2"/>
          <w:w w:val="52"/>
        </w:rPr>
        <w:t>m</w:t>
      </w:r>
      <w:r>
        <w:rPr>
          <w:w w:val="89"/>
        </w:rPr>
        <w:t>a</w:t>
      </w:r>
      <w:r>
        <w:rPr>
          <w:spacing w:val="-2"/>
          <w:w w:val="182"/>
        </w:rPr>
        <w:t>i</w:t>
      </w:r>
      <w:r>
        <w:rPr>
          <w:w w:val="182"/>
        </w:rPr>
        <w:t>l</w:t>
      </w:r>
      <w:r>
        <w:rPr>
          <w:spacing w:val="-1"/>
          <w:w w:val="142"/>
        </w:rPr>
        <w:t>)</w:t>
      </w:r>
      <w:r>
        <w:rPr>
          <w:w w:val="100"/>
        </w:rPr>
        <w:t>：</w:t>
      </w:r>
      <w:hyperlink r:id="rId7">
        <w:r>
          <w:rPr>
            <w:spacing w:val="-2"/>
            <w:w w:val="106"/>
          </w:rPr>
          <w:t>s</w:t>
        </w:r>
        <w:r>
          <w:rPr>
            <w:spacing w:val="-2"/>
            <w:w w:val="87"/>
          </w:rPr>
          <w:t>e</w:t>
        </w:r>
        <w:r>
          <w:rPr>
            <w:w w:val="127"/>
          </w:rPr>
          <w:t>r</w:t>
        </w:r>
        <w:r>
          <w:rPr>
            <w:spacing w:val="-2"/>
            <w:w w:val="92"/>
          </w:rPr>
          <w:t>v</w:t>
        </w:r>
        <w:r>
          <w:rPr>
            <w:w w:val="182"/>
          </w:rPr>
          <w:t>i</w:t>
        </w:r>
        <w:r>
          <w:rPr>
            <w:spacing w:val="-2"/>
            <w:w w:val="99"/>
          </w:rPr>
          <w:t>c</w:t>
        </w:r>
        <w:r>
          <w:rPr>
            <w:w w:val="87"/>
          </w:rPr>
          <w:t>e</w:t>
        </w:r>
        <w:r>
          <w:rPr>
            <w:spacing w:val="-2"/>
            <w:w w:val="48"/>
          </w:rPr>
          <w:t>@</w:t>
        </w:r>
        <w:r>
          <w:rPr>
            <w:w w:val="99"/>
          </w:rPr>
          <w:t>c</w:t>
        </w:r>
        <w:r>
          <w:rPr>
            <w:spacing w:val="-2"/>
            <w:w w:val="89"/>
          </w:rPr>
          <w:t>a</w:t>
        </w:r>
        <w:r>
          <w:rPr>
            <w:w w:val="130"/>
          </w:rPr>
          <w:t>t</w:t>
        </w:r>
        <w:r>
          <w:rPr>
            <w:spacing w:val="-2"/>
            <w:w w:val="80"/>
          </w:rPr>
          <w:t>h</w:t>
        </w:r>
        <w:r>
          <w:rPr>
            <w:spacing w:val="-2"/>
            <w:w w:val="89"/>
          </w:rPr>
          <w:t>a</w:t>
        </w:r>
        <w:r>
          <w:rPr>
            <w:w w:val="92"/>
          </w:rPr>
          <w:t>y</w:t>
        </w:r>
        <w:r>
          <w:rPr>
            <w:spacing w:val="-2"/>
            <w:w w:val="182"/>
          </w:rPr>
          <w:t>l</w:t>
        </w:r>
        <w:r>
          <w:rPr>
            <w:w w:val="182"/>
          </w:rPr>
          <w:t>i</w:t>
        </w:r>
        <w:r>
          <w:rPr>
            <w:spacing w:val="-2"/>
            <w:w w:val="137"/>
          </w:rPr>
          <w:t>f</w:t>
        </w:r>
        <w:r>
          <w:rPr>
            <w:w w:val="87"/>
          </w:rPr>
          <w:t>e</w:t>
        </w:r>
        <w:r>
          <w:rPr>
            <w:spacing w:val="-2"/>
            <w:w w:val="197"/>
          </w:rPr>
          <w:t>.</w:t>
        </w:r>
        <w:r>
          <w:rPr>
            <w:w w:val="99"/>
          </w:rPr>
          <w:t>c</w:t>
        </w:r>
        <w:r>
          <w:rPr>
            <w:spacing w:val="-2"/>
            <w:w w:val="78"/>
          </w:rPr>
          <w:t>o</w:t>
        </w:r>
        <w:r>
          <w:rPr>
            <w:w w:val="52"/>
          </w:rPr>
          <w:t>m</w:t>
        </w:r>
        <w:r>
          <w:rPr>
            <w:spacing w:val="-2"/>
            <w:w w:val="197"/>
          </w:rPr>
          <w:t>.</w:t>
        </w:r>
        <w:r>
          <w:rPr>
            <w:w w:val="130"/>
          </w:rPr>
          <w:t>t</w:t>
        </w:r>
        <w:r>
          <w:rPr>
            <w:spacing w:val="2"/>
            <w:w w:val="62"/>
          </w:rPr>
          <w:t>w</w:t>
        </w:r>
      </w:hyperlink>
      <w:r>
        <w:rPr>
          <w:w w:val="100"/>
        </w:rPr>
        <w:t>）</w:t>
      </w:r>
    </w:p>
    <w:p>
      <w:pPr>
        <w:pStyle w:val="BodyText"/>
        <w:spacing w:before="14"/>
        <w:ind w:left="0"/>
        <w:rPr>
          <w:rFonts w:ascii="Microsoft JhengHei"/>
          <w:b/>
          <w:sz w:val="18"/>
        </w:rPr>
      </w:pPr>
    </w:p>
    <w:p>
      <w:pPr>
        <w:pStyle w:val="BodyText"/>
        <w:spacing w:before="1"/>
        <w:ind w:left="132"/>
      </w:pPr>
      <w:r>
        <w:rPr>
          <w:spacing w:val="-1"/>
        </w:rPr>
        <w:t>109.05.14</w:t>
      </w:r>
      <w:r>
        <w:rPr/>
        <w:t>國壽字第109050002號函備查</w:t>
      </w:r>
    </w:p>
    <w:p>
      <w:pPr>
        <w:pStyle w:val="BodyText"/>
        <w:spacing w:before="6"/>
        <w:ind w:left="132"/>
      </w:pPr>
      <w:r>
        <w:rPr>
          <w:spacing w:val="-1"/>
        </w:rPr>
        <w:t>110.07.01國壽字第</w:t>
      </w:r>
      <w:r>
        <w:rPr/>
        <w:t>110070175號函備查</w:t>
      </w:r>
    </w:p>
    <w:p>
      <w:pPr>
        <w:pStyle w:val="BodyText"/>
        <w:spacing w:before="6"/>
        <w:ind w:left="132"/>
      </w:pPr>
      <w:r>
        <w:rPr/>
        <w:t>112.02.08依111.08.30金管保壽字第1110445485號函修正</w:t>
      </w:r>
    </w:p>
    <w:p>
      <w:pPr>
        <w:pStyle w:val="BodyText"/>
        <w:spacing w:before="7"/>
        <w:ind w:left="0"/>
        <w:rPr>
          <w:sz w:val="21"/>
        </w:rPr>
      </w:pPr>
    </w:p>
    <w:p>
      <w:pPr>
        <w:pStyle w:val="Heading1"/>
        <w:tabs>
          <w:tab w:pos="1256" w:val="left" w:leader="none"/>
        </w:tabs>
      </w:pPr>
      <w:r>
        <w:rPr/>
        <w:t>第一條</w:t>
        <w:tab/>
      </w:r>
      <w:r>
        <w:rPr>
          <w:spacing w:val="-1"/>
        </w:rPr>
        <w:t>保</w:t>
      </w:r>
      <w:r>
        <w:rPr/>
        <w:t>險契約的構成</w:t>
      </w:r>
    </w:p>
    <w:p>
      <w:pPr>
        <w:pStyle w:val="BodyText"/>
        <w:spacing w:line="330" w:lineRule="exact"/>
      </w:pPr>
      <w:r>
        <w:rPr>
          <w:spacing w:val="10"/>
        </w:rPr>
        <w:t>本保險單條款、附著之要保書、批註及其他約定書，均為本保險契約</w:t>
      </w:r>
    </w:p>
    <w:p>
      <w:pPr>
        <w:pStyle w:val="BodyText"/>
        <w:spacing w:before="6"/>
      </w:pPr>
      <w:r>
        <w:rPr/>
        <w:t>（以下簡稱本契約）的構成部分。</w:t>
      </w:r>
    </w:p>
    <w:p>
      <w:pPr>
        <w:pStyle w:val="BodyText"/>
        <w:spacing w:line="244" w:lineRule="auto" w:before="3"/>
        <w:ind w:right="116"/>
      </w:pPr>
      <w:r>
        <w:rPr/>
        <w:t>本契約的解釋，應探求契約當事人的真意，不得拘泥於所用的文字；如有疑義時，以作有利於被保險人的解釋為原則。</w:t>
      </w:r>
    </w:p>
    <w:p>
      <w:pPr>
        <w:pStyle w:val="BodyText"/>
        <w:spacing w:before="12"/>
        <w:ind w:left="0"/>
        <w:rPr>
          <w:sz w:val="20"/>
        </w:rPr>
      </w:pPr>
    </w:p>
    <w:p>
      <w:pPr>
        <w:pStyle w:val="Heading1"/>
        <w:tabs>
          <w:tab w:pos="1256" w:val="left" w:leader="none"/>
        </w:tabs>
      </w:pPr>
      <w:r>
        <w:rPr/>
        <w:t>第二條</w:t>
        <w:tab/>
      </w:r>
      <w:r>
        <w:rPr>
          <w:spacing w:val="-1"/>
        </w:rPr>
        <w:t>名詞定</w:t>
      </w:r>
      <w:r>
        <w:rPr/>
        <w:t>義</w:t>
      </w:r>
    </w:p>
    <w:p>
      <w:pPr>
        <w:pStyle w:val="BodyText"/>
        <w:spacing w:line="330" w:lineRule="exact"/>
      </w:pPr>
      <w:r>
        <w:rPr/>
        <w:t>本契約名詞定義如下：</w:t>
      </w:r>
    </w:p>
    <w:p>
      <w:pPr>
        <w:pStyle w:val="BodyText"/>
        <w:spacing w:line="242" w:lineRule="auto" w:before="6"/>
        <w:ind w:left="1546" w:right="116" w:hanging="603"/>
      </w:pPr>
      <w:r>
        <w:rPr/>
        <w:t>一、「疾病」：指被保險人自本契約生效日起持續有效第三十一日或自復效日起所發生之疾病。</w:t>
      </w:r>
    </w:p>
    <w:p>
      <w:pPr>
        <w:pStyle w:val="BodyText"/>
        <w:spacing w:line="242" w:lineRule="auto" w:before="3"/>
        <w:ind w:left="1546" w:right="116" w:hanging="603"/>
      </w:pPr>
      <w:r>
        <w:rPr/>
        <w:t>二、「傷害」：指被保險人於本契約有效期間內，遭受意外傷害事故，</w:t>
      </w:r>
      <w:r>
        <w:rPr>
          <w:spacing w:val="1"/>
        </w:rPr>
        <w:t> </w:t>
      </w:r>
      <w:r>
        <w:rPr/>
        <w:t>因而蒙受之傷害。</w:t>
      </w:r>
    </w:p>
    <w:p>
      <w:pPr>
        <w:pStyle w:val="BodyText"/>
        <w:spacing w:before="2"/>
      </w:pPr>
      <w:r>
        <w:rPr>
          <w:spacing w:val="-1"/>
        </w:rPr>
        <w:t>三、「意外傷害事故」：指非由疾病引起之外來突發事故。</w:t>
      </w:r>
    </w:p>
    <w:p>
      <w:pPr>
        <w:pStyle w:val="BodyText"/>
        <w:spacing w:line="242" w:lineRule="auto" w:before="6"/>
        <w:ind w:left="1546" w:right="116" w:hanging="603"/>
      </w:pPr>
      <w:r>
        <w:rPr/>
        <w:t>四、「醫院」：指依照醫療法規定領有開業執照並設有病房收治病人之公、私立及醫療法人醫院。</w:t>
      </w:r>
    </w:p>
    <w:p>
      <w:pPr>
        <w:pStyle w:val="BodyText"/>
        <w:spacing w:line="244" w:lineRule="auto" w:before="3"/>
        <w:ind w:left="1546" w:right="110" w:hanging="603"/>
        <w:jc w:val="both"/>
      </w:pPr>
      <w:r>
        <w:rPr/>
        <w:t>五、「住院」：指被保險人經醫師診斷其疾病或傷害必須入住醫院，且正式辦理住院手續並確實在醫院接受診療者。但不包含全民健康保險法第五十一條所稱之日間住院及精神衛生法第三十五條所稱之日間留院。</w:t>
      </w:r>
    </w:p>
    <w:p>
      <w:pPr>
        <w:pStyle w:val="BodyText"/>
        <w:spacing w:line="242" w:lineRule="auto"/>
        <w:ind w:left="1546" w:right="111" w:hanging="603"/>
        <w:jc w:val="both"/>
      </w:pPr>
      <w:r>
        <w:rPr/>
        <w:t>六、「住院日數」：按被保險人同一次住院實際全日住進急性病房或慢性病房之住院日數(含住院及出院當日)計算之，但被保險人出院後又於同一日住院診療時，該日不得重複計入住院日數。住院日數亦</w:t>
      </w:r>
    </w:p>
    <w:p>
      <w:pPr>
        <w:spacing w:after="0" w:line="242" w:lineRule="auto"/>
        <w:jc w:val="both"/>
        <w:sectPr>
          <w:footerReference w:type="default" r:id="rId5"/>
          <w:type w:val="continuous"/>
          <w:pgSz w:w="11910" w:h="16840"/>
          <w:pgMar w:footer="596" w:top="1380" w:bottom="780" w:left="1000" w:right="1020"/>
          <w:pgNumType w:start="1"/>
        </w:sectPr>
      </w:pPr>
    </w:p>
    <w:p>
      <w:pPr>
        <w:pStyle w:val="BodyText"/>
        <w:spacing w:before="24"/>
        <w:ind w:left="1546"/>
      </w:pPr>
      <w:r>
        <w:rPr>
          <w:spacing w:val="-1"/>
        </w:rPr>
        <w:t>包含入住加護病房及燒燙傷病房之日數。</w:t>
      </w:r>
    </w:p>
    <w:p>
      <w:pPr>
        <w:pStyle w:val="BodyText"/>
        <w:spacing w:line="244" w:lineRule="auto" w:before="6"/>
        <w:ind w:right="1100"/>
      </w:pPr>
      <w:r>
        <w:rPr>
          <w:spacing w:val="-1"/>
        </w:rPr>
        <w:t>七、「診所」：指依照醫療法規定設立並具備開業執照的診所。</w:t>
      </w:r>
      <w:r>
        <w:rPr/>
        <w:t>八、「醫師」：指領有醫師證書，合法執業者。</w:t>
      </w:r>
    </w:p>
    <w:p>
      <w:pPr>
        <w:pStyle w:val="BodyText"/>
        <w:spacing w:line="244" w:lineRule="auto"/>
        <w:ind w:left="1546" w:right="116" w:hanging="603"/>
      </w:pPr>
      <w:r>
        <w:rPr/>
        <w:t>九、「專科醫師」：指醫師完成專科醫師訓練，並經衛生福利部甄審合格，領有專科醫師證書者。</w:t>
      </w:r>
    </w:p>
    <w:p>
      <w:pPr>
        <w:pStyle w:val="BodyText"/>
        <w:spacing w:line="242" w:lineRule="auto"/>
        <w:ind w:left="1546" w:right="113" w:hanging="603"/>
        <w:jc w:val="both"/>
      </w:pPr>
      <w:r>
        <w:rPr/>
        <w:t>十、「保險年齡」：按被保險人投保本契約時之足歲計算，但是未滿一歲的零數超過六個月者加算一歲，之後須每經過一個保險單年度始加計一歲。</w:t>
      </w:r>
    </w:p>
    <w:p>
      <w:pPr>
        <w:pStyle w:val="BodyText"/>
        <w:spacing w:line="242" w:lineRule="auto"/>
        <w:ind w:left="1770" w:right="111" w:hanging="826"/>
        <w:jc w:val="both"/>
      </w:pPr>
      <w:r>
        <w:rPr/>
        <w:drawing>
          <wp:anchor distT="0" distB="0" distL="0" distR="0" allowOverlap="1" layoutInCell="1" locked="0" behindDoc="1" simplePos="0" relativeHeight="487353856">
            <wp:simplePos x="0" y="0"/>
            <wp:positionH relativeFrom="page">
              <wp:posOffset>2871546</wp:posOffset>
            </wp:positionH>
            <wp:positionV relativeFrom="paragraph">
              <wp:posOffset>400400</wp:posOffset>
            </wp:positionV>
            <wp:extent cx="1839480" cy="4424731"/>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9480" cy="4424731"/>
                    </a:xfrm>
                    <a:prstGeom prst="rect">
                      <a:avLst/>
                    </a:prstGeom>
                  </pic:spPr>
                </pic:pic>
              </a:graphicData>
            </a:graphic>
          </wp:anchor>
        </w:drawing>
      </w:r>
      <w:r>
        <w:rPr/>
        <w:t>十一、「住院醫療保險金日額」：指保險單所載本契約(不含其他附約、附加條款、批註條款)之「住院醫療保險金日額」，如該金額有所變更時，以變更後之金額為準。</w:t>
      </w:r>
    </w:p>
    <w:p>
      <w:pPr>
        <w:pStyle w:val="BodyText"/>
        <w:spacing w:line="242" w:lineRule="auto" w:before="4"/>
        <w:ind w:left="1770" w:right="116" w:hanging="826"/>
        <w:jc w:val="both"/>
      </w:pPr>
      <w:r>
        <w:rPr/>
        <w:t>十二、「手術」：指符合衛生福利部最新公布之全民健康保險醫療服務給付項目及支付標準第二部第二章第七節或第三部第三章第四節第三項列舉之手術，不包括該支付標準其他部、章或節內所列舉者。如全民健康保險醫療服務給付項目及支付標準如有變更或停止適用者，本款前段內容亦將隨之變更或停止適用。</w:t>
      </w:r>
    </w:p>
    <w:p>
      <w:pPr>
        <w:pStyle w:val="BodyText"/>
        <w:spacing w:line="244" w:lineRule="auto" w:before="7"/>
        <w:ind w:left="1770" w:right="120"/>
      </w:pPr>
      <w:r>
        <w:rPr/>
        <w:t>前述「手術」所包含項目，可於衛生福利部中央健康保險署網站之「全民健康保險醫療服務給付項目及支付標準」網頁查詢。</w:t>
      </w:r>
    </w:p>
    <w:p>
      <w:pPr>
        <w:pStyle w:val="BodyText"/>
        <w:spacing w:before="12"/>
        <w:ind w:left="0"/>
        <w:rPr>
          <w:sz w:val="20"/>
        </w:rPr>
      </w:pPr>
    </w:p>
    <w:p>
      <w:pPr>
        <w:pStyle w:val="Heading1"/>
        <w:tabs>
          <w:tab w:pos="1256" w:val="left" w:leader="none"/>
        </w:tabs>
      </w:pPr>
      <w:r>
        <w:rPr/>
        <w:t>第三條</w:t>
        <w:tab/>
      </w:r>
      <w:r>
        <w:rPr>
          <w:spacing w:val="-1"/>
        </w:rPr>
        <w:t>契約</w:t>
      </w:r>
      <w:r>
        <w:rPr/>
        <w:t>撤銷權</w:t>
      </w:r>
    </w:p>
    <w:p>
      <w:pPr>
        <w:pStyle w:val="BodyText"/>
        <w:spacing w:line="330" w:lineRule="exact"/>
      </w:pPr>
      <w:r>
        <w:rPr/>
        <w:t>要保人於保險單送達的翌日起算十日內，得以書面或其他約定方式檢同</w:t>
      </w:r>
    </w:p>
    <w:p>
      <w:pPr>
        <w:pStyle w:val="BodyText"/>
        <w:spacing w:before="3"/>
      </w:pPr>
      <w:r>
        <w:rPr>
          <w:spacing w:val="-1"/>
        </w:rPr>
        <w:t>保險單向本公司撤銷本契約。</w:t>
      </w:r>
    </w:p>
    <w:p>
      <w:pPr>
        <w:pStyle w:val="BodyText"/>
        <w:spacing w:line="244" w:lineRule="auto" w:before="7"/>
        <w:ind w:right="116"/>
        <w:jc w:val="both"/>
      </w:pPr>
      <w:r>
        <w:rPr/>
        <w:t>要保人依前項規定行使本契約撤銷權者，撤銷的效力應自要保人書面或其他約定方式之意思表示到達翌日零時起生效，本契約自始無效，本公</w:t>
      </w:r>
      <w:r>
        <w:rPr>
          <w:spacing w:val="10"/>
        </w:rPr>
        <w:t>司應無息退還要保人所繳保險費；本契約撤銷生效後所發生的保險事</w:t>
      </w:r>
      <w:r>
        <w:rPr/>
        <w:t>故，本公司不負保險責任。但契約撤銷生效前，若發生保險事故者，視為未撤銷，本公司仍應依本契約規定負保險責任。</w:t>
      </w:r>
    </w:p>
    <w:p>
      <w:pPr>
        <w:pStyle w:val="BodyText"/>
        <w:spacing w:before="5"/>
        <w:ind w:left="0"/>
        <w:rPr>
          <w:sz w:val="20"/>
        </w:rPr>
      </w:pPr>
    </w:p>
    <w:p>
      <w:pPr>
        <w:pStyle w:val="Heading1"/>
        <w:tabs>
          <w:tab w:pos="1256" w:val="left" w:leader="none"/>
        </w:tabs>
        <w:spacing w:before="1"/>
      </w:pPr>
      <w:r>
        <w:rPr/>
        <w:t>第四條</w:t>
        <w:tab/>
        <w:t>契約生效日、保險責任的開始及交付保險費</w:t>
      </w:r>
    </w:p>
    <w:p>
      <w:pPr>
        <w:pStyle w:val="BodyText"/>
        <w:spacing w:line="330" w:lineRule="exact"/>
      </w:pPr>
      <w:r>
        <w:rPr/>
        <w:t>本契約生效日自本公司同意承保並收取第一期保險費時開始，本公司並</w:t>
      </w:r>
    </w:p>
    <w:p>
      <w:pPr>
        <w:pStyle w:val="BodyText"/>
        <w:spacing w:before="3"/>
      </w:pPr>
      <w:r>
        <w:rPr>
          <w:spacing w:val="-1"/>
        </w:rPr>
        <w:t>應發給保險單作為承保的憑證。</w:t>
      </w:r>
    </w:p>
    <w:p>
      <w:pPr>
        <w:pStyle w:val="BodyText"/>
        <w:spacing w:line="244" w:lineRule="auto" w:before="6"/>
        <w:ind w:right="116"/>
      </w:pPr>
      <w:r>
        <w:rPr/>
        <w:t>本公司如於同意承保前，預收相當於第一期保險費之金額時，以同意承保時溯自預收相當於第一期保險費金額之日為本契約生效日。</w:t>
      </w:r>
    </w:p>
    <w:p>
      <w:pPr>
        <w:pStyle w:val="BodyText"/>
        <w:spacing w:line="244" w:lineRule="auto"/>
        <w:ind w:right="116"/>
        <w:jc w:val="both"/>
      </w:pPr>
      <w:r>
        <w:rPr/>
        <w:t>本公司對本契約應負的保險責任，自本契約生效日起持續有效第三十一日或自復效日開始。但被保險人因遭受意外傷害事故所致者，不受等待期間三十日之限制。</w:t>
      </w:r>
    </w:p>
    <w:p>
      <w:pPr>
        <w:spacing w:after="0" w:line="244" w:lineRule="auto"/>
        <w:jc w:val="both"/>
        <w:sectPr>
          <w:pgSz w:w="11910" w:h="16840"/>
          <w:pgMar w:header="0" w:footer="596" w:top="1360" w:bottom="780" w:left="1000" w:right="1020"/>
        </w:sectPr>
      </w:pPr>
    </w:p>
    <w:p>
      <w:pPr>
        <w:pStyle w:val="Heading1"/>
        <w:tabs>
          <w:tab w:pos="1256" w:val="left" w:leader="none"/>
        </w:tabs>
        <w:spacing w:line="418" w:lineRule="exact"/>
      </w:pPr>
      <w:r>
        <w:rPr/>
        <w:t>第五條</w:t>
        <w:tab/>
        <w:t>保險範圍</w:t>
      </w:r>
    </w:p>
    <w:p>
      <w:pPr>
        <w:pStyle w:val="BodyText"/>
        <w:spacing w:line="330" w:lineRule="exact"/>
      </w:pPr>
      <w:r>
        <w:rPr/>
        <w:t>被保險人於本契約有效期間內因第二條約定之疾病、傷害而住院診療、</w:t>
      </w:r>
    </w:p>
    <w:p>
      <w:pPr>
        <w:pStyle w:val="BodyText"/>
        <w:spacing w:line="242" w:lineRule="auto" w:before="6"/>
        <w:ind w:right="110"/>
      </w:pPr>
      <w:r>
        <w:rPr/>
        <w:t>接受手術治療或因傷害致成附表所列骨折項目之一時，本公司依照本契約約定給付保險金。</w:t>
      </w:r>
    </w:p>
    <w:p>
      <w:pPr>
        <w:pStyle w:val="BodyText"/>
        <w:spacing w:before="5"/>
        <w:ind w:left="0"/>
        <w:rPr>
          <w:sz w:val="21"/>
        </w:rPr>
      </w:pPr>
    </w:p>
    <w:p>
      <w:pPr>
        <w:pStyle w:val="Heading1"/>
        <w:tabs>
          <w:tab w:pos="1256" w:val="left" w:leader="none"/>
        </w:tabs>
        <w:spacing w:line="485" w:lineRule="exact" w:before="1"/>
      </w:pPr>
      <w:r>
        <w:rPr/>
        <w:t>第六條</w:t>
        <w:tab/>
        <w:t>第二期以後保險費的交付、寬限期間及契約效力的停止</w:t>
      </w:r>
    </w:p>
    <w:p>
      <w:pPr>
        <w:pStyle w:val="BodyText"/>
        <w:spacing w:line="329" w:lineRule="exact"/>
      </w:pPr>
      <w:r>
        <w:rPr/>
        <w:t>分期繳納的第二期以後保險費，應照本契約所載交付方法及日期，向本</w:t>
      </w:r>
    </w:p>
    <w:p>
      <w:pPr>
        <w:pStyle w:val="BodyText"/>
        <w:spacing w:line="242" w:lineRule="auto" w:before="6"/>
        <w:ind w:right="110"/>
        <w:jc w:val="both"/>
      </w:pPr>
      <w:r>
        <w:rPr/>
        <w:drawing>
          <wp:anchor distT="0" distB="0" distL="0" distR="0" allowOverlap="1" layoutInCell="1" locked="0" behindDoc="1" simplePos="0" relativeHeight="487354368">
            <wp:simplePos x="0" y="0"/>
            <wp:positionH relativeFrom="page">
              <wp:posOffset>2871546</wp:posOffset>
            </wp:positionH>
            <wp:positionV relativeFrom="paragraph">
              <wp:posOffset>635859</wp:posOffset>
            </wp:positionV>
            <wp:extent cx="1839480" cy="4424731"/>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9480" cy="4424731"/>
                    </a:xfrm>
                    <a:prstGeom prst="rect">
                      <a:avLst/>
                    </a:prstGeom>
                  </pic:spPr>
                </pic:pic>
              </a:graphicData>
            </a:graphic>
          </wp:anchor>
        </w:drawing>
      </w:r>
      <w:r>
        <w:rPr/>
        <w:t>公司所在地或指定地點交付，本公司將交付開發之憑證。第二期以後分期保險費到期未交付時，年繳或半年繳者，自催告到達翌日起三十日內為寬限期間；月繳或季繳者，則不另為催告，自保險單所載交付日期之翌日起三十日為寬限期間。</w:t>
      </w:r>
    </w:p>
    <w:p>
      <w:pPr>
        <w:pStyle w:val="BodyText"/>
        <w:spacing w:line="242" w:lineRule="auto" w:before="8"/>
        <w:ind w:right="116"/>
        <w:jc w:val="both"/>
      </w:pPr>
      <w:r>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2" w:lineRule="auto" w:before="5"/>
        <w:ind w:right="116"/>
        <w:jc w:val="both"/>
      </w:pPr>
      <w:r>
        <w:rPr/>
        <w:t>前二項對要保人之催告，本公司另應通知被保險人以確保其權益。對被保險人之通知，依最後留存於本公司之聯絡資料，以書面、電子郵件、簡訊或其他約定方式擇一發出通知者，視為已完成。</w:t>
      </w:r>
    </w:p>
    <w:p>
      <w:pPr>
        <w:pStyle w:val="BodyText"/>
        <w:spacing w:line="242" w:lineRule="auto" w:before="5"/>
        <w:ind w:right="116"/>
      </w:pPr>
      <w:r>
        <w:rPr/>
        <w:t>逾寬限期間仍未交付者，本契約自寬限期間終了翌日起停止效力。如在寬限期間內發生保險事故時，本公司仍負保險責任。</w:t>
      </w:r>
    </w:p>
    <w:p>
      <w:pPr>
        <w:pStyle w:val="BodyText"/>
        <w:spacing w:before="5"/>
        <w:ind w:left="0"/>
        <w:rPr>
          <w:sz w:val="21"/>
        </w:rPr>
      </w:pPr>
    </w:p>
    <w:p>
      <w:pPr>
        <w:pStyle w:val="Heading1"/>
        <w:tabs>
          <w:tab w:pos="1256" w:val="left" w:leader="none"/>
        </w:tabs>
        <w:spacing w:line="485" w:lineRule="exact" w:before="1"/>
      </w:pPr>
      <w:r>
        <w:rPr/>
        <w:t>第七條</w:t>
        <w:tab/>
        <w:t>本契約效力的恢復</w:t>
      </w:r>
    </w:p>
    <w:p>
      <w:pPr>
        <w:pStyle w:val="BodyText"/>
        <w:spacing w:line="329" w:lineRule="exact"/>
      </w:pPr>
      <w:r>
        <w:rPr/>
        <w:t>本契約停止效力後，要保人得在停效日起二年內，申請復效。但保險期</w:t>
      </w:r>
    </w:p>
    <w:p>
      <w:pPr>
        <w:pStyle w:val="BodyText"/>
        <w:spacing w:before="6"/>
      </w:pPr>
      <w:r>
        <w:rPr>
          <w:spacing w:val="-1"/>
        </w:rPr>
        <w:t>間屆滿後不得申請復效。</w:t>
      </w:r>
    </w:p>
    <w:p>
      <w:pPr>
        <w:pStyle w:val="BodyText"/>
        <w:spacing w:line="242" w:lineRule="auto" w:before="6"/>
        <w:ind w:right="112"/>
        <w:jc w:val="both"/>
      </w:pPr>
      <w:r>
        <w:rPr/>
        <w:t>要保人於停止效力之日起六個月內提出前項復效申請，並經要保人清償保險費扣除停效期間的危險保險費後之餘額，自翌日上午零時起，開始恢復其效力。</w:t>
      </w:r>
    </w:p>
    <w:p>
      <w:pPr>
        <w:pStyle w:val="BodyText"/>
        <w:spacing w:line="242" w:lineRule="auto" w:before="5"/>
        <w:ind w:right="116"/>
        <w:jc w:val="both"/>
      </w:pPr>
      <w:r>
        <w:rPr/>
        <w:t>要保人於停止效力之日起六個月後提出第一項之復效申請者，本公司得於要保人之復效申請送達本公司之日起五日內要求要保人提供被保險人之可保證明。要保人如未於十日內交齊本公司要求提供之可保證明者，</w:t>
      </w:r>
      <w:r>
        <w:rPr>
          <w:spacing w:val="1"/>
        </w:rPr>
        <w:t> </w:t>
      </w:r>
      <w:r>
        <w:rPr/>
        <w:t>本公司得退回該次復效之申請。</w:t>
      </w:r>
    </w:p>
    <w:p>
      <w:pPr>
        <w:pStyle w:val="BodyText"/>
        <w:spacing w:line="244" w:lineRule="auto" w:before="5"/>
        <w:ind w:right="116"/>
      </w:pPr>
      <w:r>
        <w:rPr/>
        <w:t>被保險人之危險程度有重大變更已達拒絕承保程度者，本公司得拒絕其復效。</w:t>
      </w:r>
    </w:p>
    <w:p>
      <w:pPr>
        <w:pStyle w:val="BodyText"/>
        <w:spacing w:line="242" w:lineRule="auto"/>
        <w:ind w:right="116"/>
        <w:jc w:val="both"/>
      </w:pPr>
      <w:r>
        <w:rPr/>
        <w:t>本公司未於第三項約定期限內要求要保人提供可保證明，或於收齊可保證明後十五日內不為拒絕者，視為同意復效，並經要保人清償第二項所約定之金額後，自翌日上午零時起，開始恢復其效力。</w:t>
      </w:r>
    </w:p>
    <w:p>
      <w:pPr>
        <w:pStyle w:val="BodyText"/>
        <w:spacing w:line="242" w:lineRule="auto" w:before="3"/>
        <w:ind w:right="116"/>
        <w:jc w:val="both"/>
      </w:pPr>
      <w:r>
        <w:rPr/>
        <w:t>要保人依第三項提出申請復效者，除有同項後段或第四項之情形外，於交齊可保證明，並清償第二項所約定之金額後，自翌日上午零時起，開始恢復其效力。</w:t>
      </w:r>
    </w:p>
    <w:p>
      <w:pPr>
        <w:spacing w:after="0" w:line="242" w:lineRule="auto"/>
        <w:jc w:val="both"/>
        <w:sectPr>
          <w:pgSz w:w="11910" w:h="16840"/>
          <w:pgMar w:header="0" w:footer="596" w:top="1360" w:bottom="780" w:left="1000" w:right="1020"/>
        </w:sectPr>
      </w:pPr>
    </w:p>
    <w:p>
      <w:pPr>
        <w:pStyle w:val="BodyText"/>
        <w:spacing w:line="244" w:lineRule="auto" w:before="24"/>
        <w:ind w:right="116"/>
        <w:jc w:val="both"/>
      </w:pPr>
      <w:r>
        <w:rPr/>
        <w:t>基於保戶服務，本公司於保險契約停止效力後至得申請復效之期限屆滿前三個月，將以書面、電子郵件、簡訊或其他約定方式擇一通知要保人有行使第一項申請復效之權利，並載明要保人未於第一項約定期限屆滿前恢復保單效力者，契約效力將自第一項約定期限屆滿之日翌日上午零時起終止，以提醒要保人注意。</w:t>
      </w:r>
    </w:p>
    <w:p>
      <w:pPr>
        <w:pStyle w:val="BodyText"/>
        <w:spacing w:line="242" w:lineRule="auto"/>
        <w:ind w:right="116"/>
      </w:pPr>
      <w:r>
        <w:rPr/>
        <w:t>本公司已依要保人最後留於本公司之前項聯絡資料發出通知，視為已完成前項之通知。</w:t>
      </w:r>
    </w:p>
    <w:p>
      <w:pPr>
        <w:pStyle w:val="BodyText"/>
      </w:pPr>
      <w:r>
        <w:rPr>
          <w:spacing w:val="-1"/>
        </w:rPr>
        <w:t>第一項約定期限屆滿時，本契約效力即行終止。</w:t>
      </w:r>
    </w:p>
    <w:p>
      <w:pPr>
        <w:pStyle w:val="BodyText"/>
        <w:spacing w:before="1"/>
        <w:ind w:left="0"/>
        <w:rPr>
          <w:sz w:val="21"/>
        </w:rPr>
      </w:pPr>
    </w:p>
    <w:p>
      <w:pPr>
        <w:pStyle w:val="Heading1"/>
        <w:tabs>
          <w:tab w:pos="1256" w:val="left" w:leader="none"/>
        </w:tabs>
        <w:spacing w:before="1"/>
      </w:pPr>
      <w:r>
        <w:rPr/>
        <w:drawing>
          <wp:anchor distT="0" distB="0" distL="0" distR="0" allowOverlap="1" layoutInCell="1" locked="0" behindDoc="1" simplePos="0" relativeHeight="487354880">
            <wp:simplePos x="0" y="0"/>
            <wp:positionH relativeFrom="page">
              <wp:posOffset>2871546</wp:posOffset>
            </wp:positionH>
            <wp:positionV relativeFrom="paragraph">
              <wp:posOffset>229599</wp:posOffset>
            </wp:positionV>
            <wp:extent cx="1839480" cy="442473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第八條</w:t>
        <w:tab/>
        <w:t>住院日額保險金的給付</w:t>
      </w:r>
    </w:p>
    <w:p>
      <w:pPr>
        <w:pStyle w:val="BodyText"/>
        <w:spacing w:line="330" w:lineRule="exact"/>
      </w:pPr>
      <w:r>
        <w:rPr>
          <w:spacing w:val="10"/>
        </w:rPr>
        <w:t>被保險人於本契約有效期間內因疾病或傷害，而於醫院接受住院診療</w:t>
      </w:r>
    </w:p>
    <w:p>
      <w:pPr>
        <w:pStyle w:val="BodyText"/>
        <w:spacing w:line="242" w:lineRule="auto" w:before="6"/>
        <w:ind w:right="116"/>
      </w:pPr>
      <w:r>
        <w:rPr/>
        <w:t>者，本公司按保險單上所記載之「住院醫療保險金日額」乘以被保險人住院日數，給付「住院日額保險金」。</w:t>
      </w:r>
    </w:p>
    <w:p>
      <w:pPr>
        <w:pStyle w:val="Heading1"/>
        <w:spacing w:line="170" w:lineRule="auto" w:before="18"/>
        <w:ind w:left="944" w:right="116"/>
      </w:pPr>
      <w:r>
        <w:rPr/>
        <w:t>被保險人同一保險單年度同一次住院之「住院日額保險金」最高給付日數以一百二十日為限。</w:t>
      </w:r>
    </w:p>
    <w:p>
      <w:pPr>
        <w:pStyle w:val="BodyText"/>
        <w:spacing w:before="14"/>
        <w:ind w:left="0"/>
        <w:rPr>
          <w:rFonts w:ascii="Microsoft JhengHei"/>
          <w:b/>
          <w:sz w:val="13"/>
        </w:rPr>
      </w:pPr>
    </w:p>
    <w:p>
      <w:pPr>
        <w:tabs>
          <w:tab w:pos="1256" w:val="left" w:leader="none"/>
        </w:tabs>
        <w:spacing w:line="486" w:lineRule="exact" w:before="0"/>
        <w:ind w:left="132" w:right="0" w:firstLine="0"/>
        <w:jc w:val="left"/>
        <w:rPr>
          <w:rFonts w:ascii="Microsoft JhengHei" w:eastAsia="Microsoft JhengHei" w:hint="eastAsia"/>
          <w:b/>
          <w:sz w:val="28"/>
        </w:rPr>
      </w:pPr>
      <w:r>
        <w:rPr>
          <w:rFonts w:ascii="Microsoft JhengHei" w:eastAsia="Microsoft JhengHei" w:hint="eastAsia"/>
          <w:b/>
          <w:sz w:val="28"/>
        </w:rPr>
        <w:t>第九條</w:t>
        <w:tab/>
        <w:t>加護病房或燒燙傷病房保險金的給付</w:t>
      </w:r>
    </w:p>
    <w:p>
      <w:pPr>
        <w:pStyle w:val="BodyText"/>
        <w:spacing w:line="330" w:lineRule="exact"/>
      </w:pPr>
      <w:r>
        <w:rPr/>
        <w:t>被保險人於本契約有效期間內因疾病或傷害，而入住醫院之加護病房或</w:t>
      </w:r>
    </w:p>
    <w:p>
      <w:pPr>
        <w:pStyle w:val="BodyText"/>
        <w:spacing w:line="244" w:lineRule="auto" w:before="4"/>
        <w:ind w:right="109"/>
        <w:jc w:val="both"/>
      </w:pPr>
      <w:r>
        <w:rPr/>
        <w:t>燒燙傷病房接受治療者，除「住院日額保險金」外，本公司另按「住院醫療保險金日額」乘以實際住進加護病房或燒燙傷病房的日數（含轉入及轉出當日）的五倍，給付「加護病房或燒燙傷病房保險金」。</w:t>
      </w:r>
    </w:p>
    <w:p>
      <w:pPr>
        <w:pStyle w:val="Heading1"/>
        <w:spacing w:line="170" w:lineRule="auto" w:before="10"/>
        <w:ind w:left="944" w:right="116"/>
        <w:jc w:val="both"/>
      </w:pPr>
      <w:r>
        <w:rPr>
          <w:spacing w:val="10"/>
        </w:rPr>
        <w:t>被保險人同一保險單年度同一次住院之「加護病房或燒燙傷病房保險</w:t>
      </w:r>
      <w:r>
        <w:rPr/>
        <w:t>金」最高給付日數以三十日為限。但同一日內本公司僅就加護病房或燒燙傷病房其中一種病房給付。</w:t>
      </w:r>
    </w:p>
    <w:p>
      <w:pPr>
        <w:pStyle w:val="BodyText"/>
        <w:spacing w:before="13"/>
        <w:ind w:left="0"/>
        <w:rPr>
          <w:rFonts w:ascii="Microsoft JhengHei"/>
          <w:b/>
          <w:sz w:val="13"/>
        </w:rPr>
      </w:pPr>
    </w:p>
    <w:p>
      <w:pPr>
        <w:tabs>
          <w:tab w:pos="1256" w:val="left" w:leader="none"/>
        </w:tabs>
        <w:spacing w:line="486" w:lineRule="exact" w:before="0"/>
        <w:ind w:left="132" w:right="0" w:firstLine="0"/>
        <w:jc w:val="left"/>
        <w:rPr>
          <w:rFonts w:ascii="Microsoft JhengHei" w:eastAsia="Microsoft JhengHei" w:hint="eastAsia"/>
          <w:b/>
          <w:sz w:val="28"/>
        </w:rPr>
      </w:pPr>
      <w:r>
        <w:rPr>
          <w:rFonts w:ascii="Microsoft JhengHei" w:eastAsia="Microsoft JhengHei" w:hint="eastAsia"/>
          <w:b/>
          <w:sz w:val="28"/>
        </w:rPr>
        <w:t>第十條</w:t>
        <w:tab/>
        <w:t>骨折保險金的給付</w:t>
      </w:r>
    </w:p>
    <w:p>
      <w:pPr>
        <w:pStyle w:val="BodyText"/>
        <w:spacing w:line="330" w:lineRule="exact"/>
      </w:pPr>
      <w:r>
        <w:rPr/>
        <w:t>被保險人於本契約有效期間內因傷害，自意外傷害事故發生之日起一百</w:t>
      </w:r>
    </w:p>
    <w:p>
      <w:pPr>
        <w:pStyle w:val="BodyText"/>
        <w:spacing w:line="242" w:lineRule="auto" w:before="4"/>
        <w:ind w:right="107"/>
        <w:jc w:val="both"/>
      </w:pPr>
      <w:r>
        <w:rPr>
          <w:spacing w:val="11"/>
        </w:rPr>
        <w:t>八十日以內，經登記合格的「醫院」、「診所」</w:t>
      </w:r>
      <w:r>
        <w:rPr>
          <w:spacing w:val="14"/>
        </w:rPr>
        <w:t>（</w:t>
      </w:r>
      <w:r>
        <w:rPr>
          <w:spacing w:val="10"/>
        </w:rPr>
        <w:t>不含國術館、接骨</w:t>
      </w:r>
      <w:r>
        <w:rPr/>
        <w:t>所）診斷致成附表所列骨折項目之一（含該項目之完全骨折、不完全骨折及骨骼龜裂）者，本公司按「住院醫療保險金日額」的三倍給付「骨折保險金」。</w:t>
      </w:r>
    </w:p>
    <w:p>
      <w:pPr>
        <w:pStyle w:val="BodyText"/>
        <w:spacing w:line="244" w:lineRule="auto" w:before="7"/>
        <w:ind w:right="110"/>
        <w:jc w:val="both"/>
      </w:pPr>
      <w:r>
        <w:rPr/>
        <w:t>前項情形如被保險人自意外傷害事故發生之日起超過一百八十日經診斷確定骨折者，受益人若能證明被保險人之骨折與該意外傷害事故具有因果關係者，本公司仍依前項規定給付骨折保險金，不受前項一百八十日之限制。</w:t>
      </w:r>
    </w:p>
    <w:p>
      <w:pPr>
        <w:pStyle w:val="Heading1"/>
        <w:spacing w:line="416" w:lineRule="exact"/>
        <w:ind w:left="944"/>
      </w:pPr>
      <w:r>
        <w:rPr/>
        <w:t>同一意外傷害事故之「骨折保險金」以給付一次為限。</w:t>
      </w:r>
    </w:p>
    <w:p>
      <w:pPr>
        <w:spacing w:after="0" w:line="416" w:lineRule="exact"/>
        <w:sectPr>
          <w:pgSz w:w="11910" w:h="16840"/>
          <w:pgMar w:header="0" w:footer="596" w:top="1360" w:bottom="780" w:left="1000" w:right="1020"/>
        </w:sectPr>
      </w:pPr>
    </w:p>
    <w:p>
      <w:pPr>
        <w:tabs>
          <w:tab w:pos="1537" w:val="left" w:leader="none"/>
        </w:tabs>
        <w:spacing w:line="418" w:lineRule="exact" w:before="0"/>
        <w:ind w:left="132" w:right="0" w:firstLine="0"/>
        <w:jc w:val="left"/>
        <w:rPr>
          <w:rFonts w:ascii="Microsoft JhengHei" w:eastAsia="Microsoft JhengHei" w:hint="eastAsia"/>
          <w:b/>
          <w:sz w:val="28"/>
        </w:rPr>
      </w:pPr>
      <w:r>
        <w:rPr>
          <w:rFonts w:ascii="Microsoft JhengHei" w:eastAsia="Microsoft JhengHei" w:hint="eastAsia"/>
          <w:b/>
          <w:sz w:val="28"/>
        </w:rPr>
        <w:t>第十一條</w:t>
        <w:tab/>
        <w:t>營養補充保險金的給付</w:t>
      </w:r>
    </w:p>
    <w:p>
      <w:pPr>
        <w:pStyle w:val="BodyText"/>
        <w:spacing w:line="330" w:lineRule="exact"/>
        <w:ind w:left="1239"/>
      </w:pPr>
      <w:r>
        <w:rPr/>
        <w:t>被保險人於本契約有效期間內因疾病或傷害，經醫師診斷必須於醫院</w:t>
      </w:r>
    </w:p>
    <w:p>
      <w:pPr>
        <w:pStyle w:val="BodyText"/>
        <w:spacing w:line="242" w:lineRule="auto" w:before="6"/>
        <w:ind w:left="1239" w:right="115"/>
      </w:pPr>
      <w:r>
        <w:rPr/>
        <w:t>或診所接受手術治療且已接受手術者，本公司按「住院醫療保險金日額」給付「營養補充保險金」。</w:t>
      </w:r>
    </w:p>
    <w:p>
      <w:pPr>
        <w:pStyle w:val="Heading1"/>
        <w:spacing w:line="170" w:lineRule="auto" w:before="18"/>
        <w:ind w:left="1239" w:right="121"/>
      </w:pPr>
      <w:r>
        <w:rPr>
          <w:spacing w:val="10"/>
        </w:rPr>
        <w:t>被保險人於同一次手術中，於同一手術位置接受二項以上手術項目</w:t>
      </w:r>
      <w:r>
        <w:rPr/>
        <w:t>時，僅給付一次「營養補充保險金」。</w:t>
      </w:r>
    </w:p>
    <w:p>
      <w:pPr>
        <w:spacing w:line="403" w:lineRule="exact" w:before="0"/>
        <w:ind w:left="1239" w:right="0" w:firstLine="0"/>
        <w:jc w:val="left"/>
        <w:rPr>
          <w:rFonts w:ascii="Microsoft JhengHei" w:eastAsia="Microsoft JhengHei" w:hint="eastAsia"/>
          <w:b/>
          <w:sz w:val="28"/>
        </w:rPr>
      </w:pPr>
      <w:r>
        <w:rPr>
          <w:rFonts w:ascii="Microsoft JhengHei" w:eastAsia="Microsoft JhengHei" w:hint="eastAsia"/>
          <w:b/>
          <w:sz w:val="28"/>
        </w:rPr>
        <w:t>同一保險單年度之「營養補充保險金」最高給付次數以二次為限。</w:t>
      </w:r>
    </w:p>
    <w:p>
      <w:pPr>
        <w:pStyle w:val="Heading1"/>
        <w:tabs>
          <w:tab w:pos="1537" w:val="left" w:leader="none"/>
        </w:tabs>
        <w:spacing w:line="485" w:lineRule="exact" w:before="215"/>
      </w:pPr>
      <w:r>
        <w:rPr/>
        <w:t>第十二條</w:t>
        <w:tab/>
      </w:r>
      <w:r>
        <w:rPr>
          <w:spacing w:val="-1"/>
        </w:rPr>
        <w:t>住</w:t>
      </w:r>
      <w:r>
        <w:rPr/>
        <w:t>院次數之計算及契約有效期間屆滿後住院之處理</w:t>
      </w:r>
    </w:p>
    <w:p>
      <w:pPr>
        <w:pStyle w:val="BodyText"/>
        <w:spacing w:line="329" w:lineRule="exact"/>
        <w:ind w:left="1239"/>
      </w:pPr>
      <w:r>
        <w:rPr/>
        <w:drawing>
          <wp:anchor distT="0" distB="0" distL="0" distR="0" allowOverlap="1" layoutInCell="1" locked="0" behindDoc="1" simplePos="0" relativeHeight="487355392">
            <wp:simplePos x="0" y="0"/>
            <wp:positionH relativeFrom="page">
              <wp:posOffset>2871546</wp:posOffset>
            </wp:positionH>
            <wp:positionV relativeFrom="paragraph">
              <wp:posOffset>151207</wp:posOffset>
            </wp:positionV>
            <wp:extent cx="1839480" cy="4424731"/>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9480" cy="4424731"/>
                    </a:xfrm>
                    <a:prstGeom prst="rect">
                      <a:avLst/>
                    </a:prstGeom>
                  </pic:spPr>
                </pic:pic>
              </a:graphicData>
            </a:graphic>
          </wp:anchor>
        </w:drawing>
      </w:r>
      <w:r>
        <w:rPr/>
        <w:t>被保險人於本契約有效期間，因同一疾病或傷害，或因此引起之併發</w:t>
      </w:r>
    </w:p>
    <w:p>
      <w:pPr>
        <w:pStyle w:val="BodyText"/>
        <w:spacing w:line="244" w:lineRule="auto" w:before="6"/>
        <w:ind w:left="1239" w:right="115"/>
      </w:pPr>
      <w:r>
        <w:rPr/>
        <w:t>症，於出院後十四日內再次住院時，其第八條及第九條之各項保險金給付限制，均視為同一次住院辦理。</w:t>
      </w:r>
    </w:p>
    <w:p>
      <w:pPr>
        <w:pStyle w:val="BodyText"/>
        <w:spacing w:line="244" w:lineRule="auto"/>
        <w:ind w:left="1239" w:right="115"/>
      </w:pPr>
      <w:r>
        <w:rPr/>
        <w:t>前項保險金之給付，倘被保險人係於本契約有效期間屆滿後出院者，</w:t>
      </w:r>
      <w:r>
        <w:rPr>
          <w:spacing w:val="-137"/>
        </w:rPr>
        <w:t> </w:t>
      </w:r>
      <w:r>
        <w:rPr/>
        <w:t>本公司就再次住院部分不予給付保險金。</w:t>
      </w:r>
    </w:p>
    <w:p>
      <w:pPr>
        <w:pStyle w:val="BodyText"/>
        <w:spacing w:before="7"/>
        <w:ind w:left="0"/>
        <w:rPr>
          <w:sz w:val="20"/>
        </w:rPr>
      </w:pPr>
    </w:p>
    <w:p>
      <w:pPr>
        <w:pStyle w:val="Heading1"/>
        <w:tabs>
          <w:tab w:pos="1537" w:val="left" w:leader="none"/>
        </w:tabs>
      </w:pPr>
      <w:r>
        <w:rPr/>
        <w:t>第十三條</w:t>
        <w:tab/>
        <w:t>保險金給付總額之上限</w:t>
      </w:r>
    </w:p>
    <w:p>
      <w:pPr>
        <w:pStyle w:val="BodyText"/>
        <w:spacing w:line="330" w:lineRule="exact"/>
        <w:ind w:left="1239"/>
      </w:pPr>
      <w:r>
        <w:rPr/>
        <w:t>本公司於本契約有效期間內，依第八條至第十一條所給付之各項保險</w:t>
      </w:r>
    </w:p>
    <w:p>
      <w:pPr>
        <w:pStyle w:val="BodyText"/>
        <w:spacing w:line="242" w:lineRule="auto" w:before="6"/>
        <w:ind w:left="1239" w:right="104"/>
      </w:pPr>
      <w:r>
        <w:rPr/>
        <w:t>金，其累計給付總額上限為「住院醫療保險金日額」的一千兩百倍。被保險人於本契約有效且於繳費期間內達給付總額上限者，本契約當期已繳付之未到期保險費將不予退還，亦不併入第八條至第十一條之各項保險金內給付。</w:t>
      </w:r>
    </w:p>
    <w:p>
      <w:pPr>
        <w:pStyle w:val="BodyText"/>
        <w:spacing w:before="9"/>
        <w:ind w:left="0"/>
        <w:rPr>
          <w:sz w:val="21"/>
        </w:rPr>
      </w:pPr>
    </w:p>
    <w:p>
      <w:pPr>
        <w:pStyle w:val="Heading1"/>
        <w:tabs>
          <w:tab w:pos="1537" w:val="left" w:leader="none"/>
        </w:tabs>
      </w:pPr>
      <w:r>
        <w:rPr>
          <w:w w:val="105"/>
        </w:rPr>
        <w:t>第十四條</w:t>
        <w:tab/>
        <w:t>除外責任(一)</w:t>
      </w:r>
    </w:p>
    <w:p>
      <w:pPr>
        <w:pStyle w:val="BodyText"/>
        <w:spacing w:line="330" w:lineRule="exact"/>
        <w:ind w:left="1239"/>
      </w:pPr>
      <w:r>
        <w:rPr>
          <w:spacing w:val="10"/>
        </w:rPr>
        <w:t>被保險人因下列原因所致之疾病或傷害而住院診療或接受手術治療</w:t>
      </w:r>
    </w:p>
    <w:p>
      <w:pPr>
        <w:pStyle w:val="BodyText"/>
        <w:spacing w:line="244" w:lineRule="auto" w:before="4"/>
        <w:ind w:left="1239" w:right="805"/>
      </w:pPr>
      <w:r>
        <w:rPr>
          <w:spacing w:val="-1"/>
        </w:rPr>
        <w:t>者，本公司不負給付第八條、第九條及第十一條保險金的責任：</w:t>
      </w:r>
      <w:r>
        <w:rPr>
          <w:spacing w:val="-137"/>
        </w:rPr>
        <w:t> </w:t>
      </w:r>
      <w:r>
        <w:rPr/>
        <w:t>一、被保險人之故意行為（包括自殺及自殺未遂）。</w:t>
      </w:r>
    </w:p>
    <w:p>
      <w:pPr>
        <w:pStyle w:val="BodyText"/>
        <w:spacing w:line="356" w:lineRule="exact"/>
        <w:ind w:left="1239"/>
      </w:pPr>
      <w:r>
        <w:rPr/>
        <w:t>二、被保險人之犯罪行為。</w:t>
      </w:r>
    </w:p>
    <w:p>
      <w:pPr>
        <w:pStyle w:val="BodyText"/>
        <w:spacing w:before="3"/>
        <w:ind w:left="1239"/>
      </w:pPr>
      <w:r>
        <w:rPr>
          <w:spacing w:val="-1"/>
        </w:rPr>
        <w:t>三、被保險人非法施用防制毒品相關法令所稱之毒品。</w:t>
      </w:r>
    </w:p>
    <w:p>
      <w:pPr>
        <w:pStyle w:val="BodyText"/>
        <w:spacing w:line="244" w:lineRule="auto" w:before="6"/>
        <w:ind w:left="1239" w:right="115"/>
      </w:pPr>
      <w:r>
        <w:rPr/>
        <w:t>被保險人因下列事故而住院診療或接受手術治療者，本公司不負給付第八條、第九條及第十一條保險金的責任：</w:t>
      </w:r>
    </w:p>
    <w:p>
      <w:pPr>
        <w:pStyle w:val="BodyText"/>
        <w:spacing w:line="244" w:lineRule="auto"/>
        <w:ind w:left="1784" w:right="115" w:hanging="545"/>
      </w:pPr>
      <w:r>
        <w:rPr/>
        <w:t>一、美容手術、外科整型。但為重建其基本功能所作之必要整型，不在此限。</w:t>
      </w:r>
    </w:p>
    <w:p>
      <w:pPr>
        <w:pStyle w:val="BodyText"/>
        <w:spacing w:line="357" w:lineRule="exact"/>
        <w:ind w:left="1239"/>
      </w:pPr>
      <w:r>
        <w:rPr/>
        <w:t>二、外觀可見之天生畸形。</w:t>
      </w:r>
    </w:p>
    <w:p>
      <w:pPr>
        <w:pStyle w:val="BodyText"/>
        <w:spacing w:line="244" w:lineRule="auto"/>
        <w:ind w:left="1784" w:right="115" w:hanging="545"/>
      </w:pPr>
      <w:r>
        <w:rPr/>
        <w:t>三、健康檢查、療養、靜養、戒毒、戒酒、護理或養老之非以直接診治病人為目的者。</w:t>
      </w:r>
    </w:p>
    <w:p>
      <w:pPr>
        <w:pStyle w:val="BodyText"/>
        <w:spacing w:line="242" w:lineRule="auto"/>
        <w:ind w:left="1520" w:right="1277" w:hanging="281"/>
      </w:pPr>
      <w:r>
        <w:rPr>
          <w:spacing w:val="-1"/>
        </w:rPr>
        <w:t>四、懷孕、流產或分娩及其併發症。但下列情形不在此限：</w:t>
      </w:r>
      <w:r>
        <w:rPr>
          <w:spacing w:val="-137"/>
        </w:rPr>
        <w:t> </w:t>
      </w:r>
      <w:r>
        <w:rPr/>
        <w:t>(一)懷孕相關疾病：</w:t>
      </w:r>
    </w:p>
    <w:p>
      <w:pPr>
        <w:pStyle w:val="ListParagraph"/>
        <w:numPr>
          <w:ilvl w:val="0"/>
          <w:numId w:val="1"/>
        </w:numPr>
        <w:tabs>
          <w:tab w:pos="2363" w:val="left" w:leader="none"/>
        </w:tabs>
        <w:spacing w:line="240" w:lineRule="auto" w:before="0" w:after="0"/>
        <w:ind w:left="2362" w:right="0" w:hanging="284"/>
        <w:jc w:val="left"/>
        <w:rPr>
          <w:sz w:val="28"/>
        </w:rPr>
      </w:pPr>
      <w:r>
        <w:rPr>
          <w:sz w:val="28"/>
        </w:rPr>
        <w:t>子宮外孕。</w:t>
      </w:r>
    </w:p>
    <w:p>
      <w:pPr>
        <w:spacing w:after="0" w:line="240" w:lineRule="auto"/>
        <w:jc w:val="left"/>
        <w:rPr>
          <w:sz w:val="28"/>
        </w:rPr>
        <w:sectPr>
          <w:pgSz w:w="11910" w:h="16840"/>
          <w:pgMar w:header="0" w:footer="596" w:top="1360" w:bottom="780" w:left="1000" w:right="1020"/>
        </w:sectPr>
      </w:pPr>
    </w:p>
    <w:p>
      <w:pPr>
        <w:pStyle w:val="ListParagraph"/>
        <w:numPr>
          <w:ilvl w:val="0"/>
          <w:numId w:val="1"/>
        </w:numPr>
        <w:tabs>
          <w:tab w:pos="2363" w:val="left" w:leader="none"/>
        </w:tabs>
        <w:spacing w:line="240" w:lineRule="auto" w:before="24" w:after="0"/>
        <w:ind w:left="2362" w:right="0" w:hanging="284"/>
        <w:jc w:val="left"/>
        <w:rPr>
          <w:sz w:val="28"/>
        </w:rPr>
      </w:pPr>
      <w:r>
        <w:rPr>
          <w:sz w:val="28"/>
        </w:rPr>
        <w:t>葡萄胎。</w:t>
      </w:r>
    </w:p>
    <w:p>
      <w:pPr>
        <w:pStyle w:val="ListParagraph"/>
        <w:numPr>
          <w:ilvl w:val="0"/>
          <w:numId w:val="1"/>
        </w:numPr>
        <w:tabs>
          <w:tab w:pos="2363" w:val="left" w:leader="none"/>
        </w:tabs>
        <w:spacing w:line="240" w:lineRule="auto" w:before="6" w:after="0"/>
        <w:ind w:left="2362" w:right="0" w:hanging="284"/>
        <w:jc w:val="left"/>
        <w:rPr>
          <w:sz w:val="28"/>
        </w:rPr>
      </w:pPr>
      <w:r>
        <w:rPr>
          <w:sz w:val="28"/>
        </w:rPr>
        <w:t>前置胎盤。</w:t>
      </w:r>
    </w:p>
    <w:p>
      <w:pPr>
        <w:pStyle w:val="ListParagraph"/>
        <w:numPr>
          <w:ilvl w:val="0"/>
          <w:numId w:val="1"/>
        </w:numPr>
        <w:tabs>
          <w:tab w:pos="2363" w:val="left" w:leader="none"/>
        </w:tabs>
        <w:spacing w:line="240" w:lineRule="auto" w:before="6" w:after="0"/>
        <w:ind w:left="2362" w:right="0" w:hanging="284"/>
        <w:jc w:val="left"/>
        <w:rPr>
          <w:sz w:val="28"/>
        </w:rPr>
      </w:pPr>
      <w:r>
        <w:rPr>
          <w:spacing w:val="-1"/>
          <w:sz w:val="28"/>
        </w:rPr>
        <w:t>胎盤早期剝離。</w:t>
      </w:r>
    </w:p>
    <w:p>
      <w:pPr>
        <w:pStyle w:val="ListParagraph"/>
        <w:numPr>
          <w:ilvl w:val="0"/>
          <w:numId w:val="1"/>
        </w:numPr>
        <w:tabs>
          <w:tab w:pos="2363" w:val="left" w:leader="none"/>
        </w:tabs>
        <w:spacing w:line="240" w:lineRule="auto" w:before="4" w:after="0"/>
        <w:ind w:left="2362" w:right="0" w:hanging="284"/>
        <w:jc w:val="left"/>
        <w:rPr>
          <w:sz w:val="28"/>
        </w:rPr>
      </w:pPr>
      <w:r>
        <w:rPr>
          <w:sz w:val="28"/>
        </w:rPr>
        <w:t>產後大出血。</w:t>
      </w:r>
    </w:p>
    <w:p>
      <w:pPr>
        <w:pStyle w:val="ListParagraph"/>
        <w:numPr>
          <w:ilvl w:val="0"/>
          <w:numId w:val="1"/>
        </w:numPr>
        <w:tabs>
          <w:tab w:pos="2363" w:val="left" w:leader="none"/>
        </w:tabs>
        <w:spacing w:line="240" w:lineRule="auto" w:before="6" w:after="0"/>
        <w:ind w:left="2362" w:right="0" w:hanging="284"/>
        <w:jc w:val="left"/>
        <w:rPr>
          <w:sz w:val="28"/>
        </w:rPr>
      </w:pPr>
      <w:r>
        <w:rPr>
          <w:sz w:val="28"/>
        </w:rPr>
        <w:t>子癲前症。</w:t>
      </w:r>
    </w:p>
    <w:p>
      <w:pPr>
        <w:pStyle w:val="ListParagraph"/>
        <w:numPr>
          <w:ilvl w:val="0"/>
          <w:numId w:val="1"/>
        </w:numPr>
        <w:tabs>
          <w:tab w:pos="2363" w:val="left" w:leader="none"/>
        </w:tabs>
        <w:spacing w:line="240" w:lineRule="auto" w:before="6" w:after="0"/>
        <w:ind w:left="2362" w:right="0" w:hanging="284"/>
        <w:jc w:val="left"/>
        <w:rPr>
          <w:sz w:val="28"/>
        </w:rPr>
      </w:pPr>
      <w:r>
        <w:rPr>
          <w:sz w:val="28"/>
        </w:rPr>
        <w:t>子癇症。</w:t>
      </w:r>
    </w:p>
    <w:p>
      <w:pPr>
        <w:pStyle w:val="ListParagraph"/>
        <w:numPr>
          <w:ilvl w:val="0"/>
          <w:numId w:val="1"/>
        </w:numPr>
        <w:tabs>
          <w:tab w:pos="2363" w:val="left" w:leader="none"/>
        </w:tabs>
        <w:spacing w:line="240" w:lineRule="auto" w:before="4" w:after="0"/>
        <w:ind w:left="2362" w:right="0" w:hanging="284"/>
        <w:jc w:val="left"/>
        <w:rPr>
          <w:sz w:val="28"/>
        </w:rPr>
      </w:pPr>
      <w:r>
        <w:rPr>
          <w:sz w:val="28"/>
        </w:rPr>
        <w:t>萎縮性胚胎。</w:t>
      </w:r>
    </w:p>
    <w:p>
      <w:pPr>
        <w:pStyle w:val="ListParagraph"/>
        <w:numPr>
          <w:ilvl w:val="0"/>
          <w:numId w:val="1"/>
        </w:numPr>
        <w:tabs>
          <w:tab w:pos="2363" w:val="left" w:leader="none"/>
        </w:tabs>
        <w:spacing w:line="240" w:lineRule="auto" w:before="6" w:after="0"/>
        <w:ind w:left="2362" w:right="0" w:hanging="284"/>
        <w:jc w:val="left"/>
        <w:rPr>
          <w:sz w:val="28"/>
        </w:rPr>
      </w:pPr>
      <w:r>
        <w:rPr>
          <w:spacing w:val="-1"/>
          <w:sz w:val="28"/>
        </w:rPr>
        <w:t>胎兒染色體異常之手術。</w:t>
      </w:r>
    </w:p>
    <w:p>
      <w:pPr>
        <w:pStyle w:val="BodyText"/>
        <w:spacing w:before="6"/>
        <w:ind w:left="1520"/>
      </w:pPr>
      <w:r>
        <w:rPr/>
        <w:t>(二)因醫療行為所必要之流產，包含：</w:t>
      </w:r>
    </w:p>
    <w:p>
      <w:pPr>
        <w:pStyle w:val="ListParagraph"/>
        <w:numPr>
          <w:ilvl w:val="0"/>
          <w:numId w:val="2"/>
        </w:numPr>
        <w:tabs>
          <w:tab w:pos="2366" w:val="left" w:leader="none"/>
        </w:tabs>
        <w:spacing w:line="244" w:lineRule="auto" w:before="3" w:after="0"/>
        <w:ind w:left="2372" w:right="119" w:hanging="293"/>
        <w:jc w:val="left"/>
        <w:rPr>
          <w:sz w:val="28"/>
        </w:rPr>
      </w:pPr>
      <w:r>
        <w:rPr/>
        <w:drawing>
          <wp:anchor distT="0" distB="0" distL="0" distR="0" allowOverlap="1" layoutInCell="1" locked="0" behindDoc="1" simplePos="0" relativeHeight="487355904">
            <wp:simplePos x="0" y="0"/>
            <wp:positionH relativeFrom="page">
              <wp:posOffset>2871546</wp:posOffset>
            </wp:positionH>
            <wp:positionV relativeFrom="paragraph">
              <wp:posOffset>172181</wp:posOffset>
            </wp:positionV>
            <wp:extent cx="1839480" cy="4424731"/>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9480" cy="4424731"/>
                    </a:xfrm>
                    <a:prstGeom prst="rect">
                      <a:avLst/>
                    </a:prstGeom>
                  </pic:spPr>
                </pic:pic>
              </a:graphicData>
            </a:graphic>
          </wp:anchor>
        </w:drawing>
      </w:r>
      <w:r>
        <w:rPr>
          <w:sz w:val="28"/>
        </w:rPr>
        <w:t>因本人或其配偶患有礙優生之遺傳性、傳染性疾病或精神疾病。</w:t>
      </w:r>
    </w:p>
    <w:p>
      <w:pPr>
        <w:pStyle w:val="ListParagraph"/>
        <w:numPr>
          <w:ilvl w:val="0"/>
          <w:numId w:val="2"/>
        </w:numPr>
        <w:tabs>
          <w:tab w:pos="2366" w:val="left" w:leader="none"/>
        </w:tabs>
        <w:spacing w:line="242" w:lineRule="auto" w:before="0" w:after="0"/>
        <w:ind w:left="2372" w:right="119" w:hanging="293"/>
        <w:jc w:val="left"/>
        <w:rPr>
          <w:sz w:val="28"/>
        </w:rPr>
      </w:pPr>
      <w:r>
        <w:rPr>
          <w:sz w:val="28"/>
        </w:rPr>
        <w:t>因本人或其配偶之四親等以內之血親患有礙優生之遺傳性疾病。</w:t>
      </w:r>
    </w:p>
    <w:p>
      <w:pPr>
        <w:pStyle w:val="ListParagraph"/>
        <w:numPr>
          <w:ilvl w:val="0"/>
          <w:numId w:val="2"/>
        </w:numPr>
        <w:tabs>
          <w:tab w:pos="2366" w:val="left" w:leader="none"/>
        </w:tabs>
        <w:spacing w:line="244" w:lineRule="auto" w:before="1" w:after="0"/>
        <w:ind w:left="2372" w:right="119" w:hanging="293"/>
        <w:jc w:val="left"/>
        <w:rPr>
          <w:sz w:val="28"/>
        </w:rPr>
      </w:pPr>
      <w:r>
        <w:rPr>
          <w:sz w:val="28"/>
        </w:rPr>
        <w:t>有醫學上理由，足以認定懷孕或分娩有招致生命危險或危害身體或精神健康。</w:t>
      </w:r>
    </w:p>
    <w:p>
      <w:pPr>
        <w:pStyle w:val="ListParagraph"/>
        <w:numPr>
          <w:ilvl w:val="0"/>
          <w:numId w:val="2"/>
        </w:numPr>
        <w:tabs>
          <w:tab w:pos="2363" w:val="left" w:leader="none"/>
        </w:tabs>
        <w:spacing w:line="354" w:lineRule="exact" w:before="0" w:after="0"/>
        <w:ind w:left="2362" w:right="0" w:hanging="284"/>
        <w:jc w:val="left"/>
        <w:rPr>
          <w:sz w:val="28"/>
        </w:rPr>
      </w:pPr>
      <w:r>
        <w:rPr>
          <w:spacing w:val="-1"/>
          <w:sz w:val="28"/>
        </w:rPr>
        <w:t>有醫學上理由，足以認定胎兒有畸型發育之虞。</w:t>
      </w:r>
    </w:p>
    <w:p>
      <w:pPr>
        <w:pStyle w:val="ListParagraph"/>
        <w:numPr>
          <w:ilvl w:val="0"/>
          <w:numId w:val="2"/>
        </w:numPr>
        <w:tabs>
          <w:tab w:pos="2363" w:val="left" w:leader="none"/>
        </w:tabs>
        <w:spacing w:line="244" w:lineRule="auto" w:before="6" w:after="0"/>
        <w:ind w:left="1520" w:right="526" w:firstLine="559"/>
        <w:jc w:val="left"/>
        <w:rPr>
          <w:sz w:val="28"/>
        </w:rPr>
      </w:pPr>
      <w:r>
        <w:rPr>
          <w:spacing w:val="-1"/>
          <w:sz w:val="28"/>
        </w:rPr>
        <w:t>因被強制性交、誘姦或與依法不得結婚者相姦而受孕者。</w:t>
      </w:r>
      <w:r>
        <w:rPr>
          <w:sz w:val="28"/>
        </w:rPr>
        <w:t>(三)醫療行為必要之剖腹產，並符合下列情況者：</w:t>
      </w:r>
    </w:p>
    <w:p>
      <w:pPr>
        <w:pStyle w:val="ListParagraph"/>
        <w:numPr>
          <w:ilvl w:val="0"/>
          <w:numId w:val="3"/>
        </w:numPr>
        <w:tabs>
          <w:tab w:pos="2366" w:val="left" w:leader="none"/>
        </w:tabs>
        <w:spacing w:line="244" w:lineRule="auto" w:before="0" w:after="0"/>
        <w:ind w:left="2372" w:right="114" w:hanging="293"/>
        <w:jc w:val="left"/>
        <w:rPr>
          <w:sz w:val="28"/>
        </w:rPr>
      </w:pPr>
      <w:r>
        <w:rPr>
          <w:sz w:val="28"/>
        </w:rPr>
        <w:t>產程遲滯：已進行充足引產，但第一產程之潛伏期過長（經</w:t>
      </w:r>
      <w:r>
        <w:rPr>
          <w:spacing w:val="-9"/>
          <w:sz w:val="28"/>
        </w:rPr>
        <w:t>產婦超過 </w:t>
      </w:r>
      <w:r>
        <w:rPr>
          <w:spacing w:val="-1"/>
          <w:sz w:val="28"/>
        </w:rPr>
        <w:t>14</w:t>
      </w:r>
      <w:r>
        <w:rPr>
          <w:spacing w:val="-11"/>
          <w:sz w:val="28"/>
        </w:rPr>
        <w:t> 小時、初產婦超過 </w:t>
      </w:r>
      <w:r>
        <w:rPr>
          <w:sz w:val="28"/>
        </w:rPr>
        <w:t>20</w:t>
      </w:r>
      <w:r>
        <w:rPr>
          <w:spacing w:val="-15"/>
          <w:sz w:val="28"/>
        </w:rPr>
        <w:t> 小時</w:t>
      </w:r>
      <w:r>
        <w:rPr>
          <w:sz w:val="28"/>
        </w:rPr>
        <w:t>），或第一產程之活</w:t>
      </w:r>
    </w:p>
    <w:p>
      <w:pPr>
        <w:pStyle w:val="BodyText"/>
        <w:spacing w:line="242" w:lineRule="auto"/>
        <w:ind w:left="2372" w:right="112"/>
      </w:pPr>
      <w:r>
        <w:rPr>
          <w:spacing w:val="-2"/>
        </w:rPr>
        <w:t>動期子宮口超過 </w:t>
      </w:r>
      <w:r>
        <w:rPr/>
        <w:t>2</w:t>
      </w:r>
      <w:r>
        <w:rPr>
          <w:spacing w:val="-4"/>
        </w:rPr>
        <w:t> 小時仍無進一步擴張，或第二產程超過 </w:t>
      </w:r>
      <w:r>
        <w:rPr/>
        <w:t>2</w:t>
      </w:r>
      <w:r>
        <w:rPr>
          <w:spacing w:val="-137"/>
        </w:rPr>
        <w:t> </w:t>
      </w:r>
      <w:r>
        <w:rPr/>
        <w:t>小時胎頭仍無下降。</w:t>
      </w:r>
    </w:p>
    <w:p>
      <w:pPr>
        <w:pStyle w:val="ListParagraph"/>
        <w:numPr>
          <w:ilvl w:val="0"/>
          <w:numId w:val="3"/>
        </w:numPr>
        <w:tabs>
          <w:tab w:pos="2363" w:val="left" w:leader="none"/>
        </w:tabs>
        <w:spacing w:line="240" w:lineRule="auto" w:before="0" w:after="0"/>
        <w:ind w:left="2362" w:right="0" w:hanging="284"/>
        <w:jc w:val="left"/>
        <w:rPr>
          <w:sz w:val="28"/>
        </w:rPr>
      </w:pPr>
      <w:r>
        <w:rPr>
          <w:spacing w:val="-1"/>
          <w:sz w:val="28"/>
        </w:rPr>
        <w:t>胎兒窘迫，係指下列情形之一者：</w:t>
      </w:r>
    </w:p>
    <w:p>
      <w:pPr>
        <w:pStyle w:val="ListParagraph"/>
        <w:numPr>
          <w:ilvl w:val="1"/>
          <w:numId w:val="3"/>
        </w:numPr>
        <w:tabs>
          <w:tab w:pos="283" w:val="left" w:leader="none"/>
        </w:tabs>
        <w:spacing w:line="240" w:lineRule="auto" w:before="2" w:after="0"/>
        <w:ind w:left="2650" w:right="111" w:hanging="2651"/>
        <w:jc w:val="right"/>
        <w:rPr>
          <w:sz w:val="28"/>
        </w:rPr>
      </w:pPr>
      <w:r>
        <w:rPr>
          <w:spacing w:val="-1"/>
          <w:sz w:val="28"/>
        </w:rPr>
        <w:t>在子宮無收縮情況下，胎心音圖顯示每分鐘大於 </w:t>
      </w:r>
      <w:r>
        <w:rPr>
          <w:sz w:val="28"/>
        </w:rPr>
        <w:t>160</w:t>
      </w:r>
      <w:r>
        <w:rPr>
          <w:spacing w:val="-5"/>
          <w:sz w:val="28"/>
        </w:rPr>
        <w:t> 次或</w:t>
      </w:r>
    </w:p>
    <w:p>
      <w:pPr>
        <w:pStyle w:val="BodyText"/>
        <w:spacing w:before="4"/>
        <w:ind w:left="0" w:right="113"/>
        <w:jc w:val="right"/>
      </w:pPr>
      <w:r>
        <w:rPr>
          <w:spacing w:val="-5"/>
        </w:rPr>
        <w:t>少於 </w:t>
      </w:r>
      <w:r>
        <w:rPr/>
        <w:t>100</w:t>
      </w:r>
      <w:r>
        <w:rPr>
          <w:spacing w:val="-4"/>
        </w:rPr>
        <w:t> 次且呈持續性者，或胎兒心跳低於基礎心跳每分</w:t>
      </w:r>
    </w:p>
    <w:p>
      <w:pPr>
        <w:pStyle w:val="BodyText"/>
        <w:spacing w:before="6"/>
        <w:ind w:left="2653"/>
      </w:pPr>
      <w:r>
        <w:rPr>
          <w:spacing w:val="-35"/>
        </w:rPr>
        <w:t>鐘 </w:t>
      </w:r>
      <w:r>
        <w:rPr/>
        <w:t>30</w:t>
      </w:r>
      <w:r>
        <w:rPr>
          <w:spacing w:val="-25"/>
        </w:rPr>
        <w:t> 次且持續 </w:t>
      </w:r>
      <w:r>
        <w:rPr/>
        <w:t>60</w:t>
      </w:r>
      <w:r>
        <w:rPr>
          <w:spacing w:val="-14"/>
        </w:rPr>
        <w:t> 秒以上者。</w:t>
      </w:r>
    </w:p>
    <w:p>
      <w:pPr>
        <w:pStyle w:val="ListParagraph"/>
        <w:numPr>
          <w:ilvl w:val="1"/>
          <w:numId w:val="3"/>
        </w:numPr>
        <w:tabs>
          <w:tab w:pos="2651" w:val="left" w:leader="none"/>
        </w:tabs>
        <w:spacing w:line="242" w:lineRule="auto" w:before="6" w:after="0"/>
        <w:ind w:left="2079" w:right="2195" w:firstLine="288"/>
        <w:jc w:val="left"/>
        <w:rPr>
          <w:sz w:val="28"/>
        </w:rPr>
      </w:pPr>
      <w:r>
        <w:rPr>
          <w:spacing w:val="-8"/>
          <w:sz w:val="28"/>
        </w:rPr>
        <w:t>胎兒頭皮酸鹼度檢查 </w:t>
      </w:r>
      <w:r>
        <w:rPr>
          <w:spacing w:val="-1"/>
          <w:sz w:val="28"/>
        </w:rPr>
        <w:t>PH</w:t>
      </w:r>
      <w:r>
        <w:rPr>
          <w:spacing w:val="-30"/>
          <w:sz w:val="28"/>
        </w:rPr>
        <w:t> 值少於 </w:t>
      </w:r>
      <w:r>
        <w:rPr>
          <w:sz w:val="28"/>
        </w:rPr>
        <w:t>7.20</w:t>
      </w:r>
      <w:r>
        <w:rPr>
          <w:spacing w:val="-24"/>
          <w:sz w:val="28"/>
        </w:rPr>
        <w:t> 者。</w:t>
      </w:r>
      <w:r>
        <w:rPr>
          <w:sz w:val="28"/>
        </w:rPr>
        <w:t>3.胎頭骨盆不對稱，係指下列情形之一者：</w:t>
      </w:r>
    </w:p>
    <w:p>
      <w:pPr>
        <w:pStyle w:val="ListParagraph"/>
        <w:numPr>
          <w:ilvl w:val="0"/>
          <w:numId w:val="4"/>
        </w:numPr>
        <w:tabs>
          <w:tab w:pos="2651" w:val="left" w:leader="none"/>
        </w:tabs>
        <w:spacing w:line="240" w:lineRule="auto" w:before="3" w:after="0"/>
        <w:ind w:left="2650" w:right="0" w:hanging="284"/>
        <w:jc w:val="left"/>
        <w:rPr>
          <w:sz w:val="28"/>
        </w:rPr>
      </w:pPr>
      <w:r>
        <w:rPr>
          <w:spacing w:val="-1"/>
          <w:sz w:val="28"/>
        </w:rPr>
        <w:t>胎頭過大</w:t>
      </w:r>
      <w:r>
        <w:rPr>
          <w:sz w:val="28"/>
        </w:rPr>
        <w:t>（</w:t>
      </w:r>
      <w:r>
        <w:rPr>
          <w:spacing w:val="-14"/>
          <w:sz w:val="28"/>
        </w:rPr>
        <w:t>胎兒頭圍 </w:t>
      </w:r>
      <w:r>
        <w:rPr>
          <w:sz w:val="28"/>
        </w:rPr>
        <w:t>37</w:t>
      </w:r>
      <w:r>
        <w:rPr>
          <w:spacing w:val="-15"/>
          <w:sz w:val="28"/>
        </w:rPr>
        <w:t> 公分以上</w:t>
      </w:r>
      <w:r>
        <w:rPr>
          <w:sz w:val="28"/>
        </w:rPr>
        <w:t>）。</w:t>
      </w:r>
    </w:p>
    <w:p>
      <w:pPr>
        <w:pStyle w:val="ListParagraph"/>
        <w:numPr>
          <w:ilvl w:val="0"/>
          <w:numId w:val="4"/>
        </w:numPr>
        <w:tabs>
          <w:tab w:pos="2651" w:val="left" w:leader="none"/>
        </w:tabs>
        <w:spacing w:line="240" w:lineRule="auto" w:before="6" w:after="0"/>
        <w:ind w:left="2650" w:right="0" w:hanging="284"/>
        <w:jc w:val="left"/>
        <w:rPr>
          <w:sz w:val="28"/>
        </w:rPr>
      </w:pPr>
      <w:r>
        <w:rPr>
          <w:spacing w:val="-1"/>
          <w:sz w:val="28"/>
        </w:rPr>
        <w:t>胎兒超音波檢查顯示巨嬰</w:t>
      </w:r>
      <w:r>
        <w:rPr>
          <w:sz w:val="28"/>
        </w:rPr>
        <w:t>（</w:t>
      </w:r>
      <w:r>
        <w:rPr>
          <w:spacing w:val="-14"/>
          <w:sz w:val="28"/>
        </w:rPr>
        <w:t>胎兒體重 </w:t>
      </w:r>
      <w:r>
        <w:rPr>
          <w:sz w:val="28"/>
        </w:rPr>
        <w:t>4000</w:t>
      </w:r>
      <w:r>
        <w:rPr>
          <w:spacing w:val="-15"/>
          <w:sz w:val="28"/>
        </w:rPr>
        <w:t> 公克以上</w:t>
      </w:r>
      <w:r>
        <w:rPr>
          <w:sz w:val="28"/>
        </w:rPr>
        <w:t>）。</w:t>
      </w:r>
    </w:p>
    <w:p>
      <w:pPr>
        <w:pStyle w:val="ListParagraph"/>
        <w:numPr>
          <w:ilvl w:val="0"/>
          <w:numId w:val="4"/>
        </w:numPr>
        <w:tabs>
          <w:tab w:pos="2651" w:val="left" w:leader="none"/>
        </w:tabs>
        <w:spacing w:line="244" w:lineRule="auto" w:before="3" w:after="0"/>
        <w:ind w:left="2653" w:right="111" w:hanging="286"/>
        <w:jc w:val="left"/>
        <w:rPr>
          <w:sz w:val="28"/>
        </w:rPr>
      </w:pPr>
      <w:r>
        <w:rPr>
          <w:sz w:val="28"/>
        </w:rPr>
        <w:t>骨盆變形、狹窄（</w:t>
      </w:r>
      <w:r>
        <w:rPr>
          <w:spacing w:val="-1"/>
          <w:sz w:val="28"/>
        </w:rPr>
        <w:t>骨盆內口 </w:t>
      </w:r>
      <w:r>
        <w:rPr>
          <w:sz w:val="28"/>
        </w:rPr>
        <w:t>10</w:t>
      </w:r>
      <w:r>
        <w:rPr>
          <w:spacing w:val="-4"/>
          <w:sz w:val="28"/>
        </w:rPr>
        <w:t> 公分以下或中骨盆 </w:t>
      </w:r>
      <w:r>
        <w:rPr>
          <w:sz w:val="28"/>
        </w:rPr>
        <w:t>9.5</w:t>
      </w:r>
      <w:r>
        <w:rPr>
          <w:spacing w:val="-4"/>
          <w:sz w:val="28"/>
        </w:rPr>
        <w:t> 公</w:t>
      </w:r>
      <w:r>
        <w:rPr>
          <w:sz w:val="28"/>
        </w:rPr>
        <w:t>分以下）並經骨盆腔攝影確定者。</w:t>
      </w:r>
    </w:p>
    <w:p>
      <w:pPr>
        <w:pStyle w:val="ListParagraph"/>
        <w:numPr>
          <w:ilvl w:val="0"/>
          <w:numId w:val="4"/>
        </w:numPr>
        <w:tabs>
          <w:tab w:pos="2654" w:val="left" w:leader="none"/>
        </w:tabs>
        <w:spacing w:line="242" w:lineRule="auto" w:before="0" w:after="0"/>
        <w:ind w:left="2653" w:right="115" w:hanging="286"/>
        <w:jc w:val="left"/>
        <w:rPr>
          <w:sz w:val="28"/>
        </w:rPr>
      </w:pPr>
      <w:r>
        <w:rPr>
          <w:sz w:val="28"/>
        </w:rPr>
        <w:t>骨盆腔腫瘤（包括子宮下段之腫瘤，子宮頸之腫瘤及會引起產道壓迫阻塞之骨盆腔腫瘤）致影響生產者。</w:t>
      </w:r>
    </w:p>
    <w:p>
      <w:pPr>
        <w:pStyle w:val="ListParagraph"/>
        <w:numPr>
          <w:ilvl w:val="0"/>
          <w:numId w:val="5"/>
        </w:numPr>
        <w:tabs>
          <w:tab w:pos="2363" w:val="left" w:leader="none"/>
        </w:tabs>
        <w:spacing w:line="240" w:lineRule="auto" w:before="1" w:after="0"/>
        <w:ind w:left="2362" w:right="0" w:hanging="284"/>
        <w:jc w:val="left"/>
        <w:rPr>
          <w:sz w:val="28"/>
        </w:rPr>
      </w:pPr>
      <w:r>
        <w:rPr>
          <w:sz w:val="28"/>
        </w:rPr>
        <w:t>胎位不正。</w:t>
      </w:r>
    </w:p>
    <w:p>
      <w:pPr>
        <w:pStyle w:val="ListParagraph"/>
        <w:numPr>
          <w:ilvl w:val="0"/>
          <w:numId w:val="5"/>
        </w:numPr>
        <w:tabs>
          <w:tab w:pos="2363" w:val="left" w:leader="none"/>
        </w:tabs>
        <w:spacing w:line="240" w:lineRule="auto" w:before="6" w:after="0"/>
        <w:ind w:left="2362" w:right="0" w:hanging="284"/>
        <w:jc w:val="left"/>
        <w:rPr>
          <w:sz w:val="28"/>
        </w:rPr>
      </w:pPr>
      <w:r>
        <w:rPr>
          <w:sz w:val="28"/>
        </w:rPr>
        <w:t>多胞胎。</w:t>
      </w:r>
    </w:p>
    <w:p>
      <w:pPr>
        <w:pStyle w:val="ListParagraph"/>
        <w:numPr>
          <w:ilvl w:val="0"/>
          <w:numId w:val="5"/>
        </w:numPr>
        <w:tabs>
          <w:tab w:pos="2363" w:val="left" w:leader="none"/>
        </w:tabs>
        <w:spacing w:line="240" w:lineRule="auto" w:before="4" w:after="0"/>
        <w:ind w:left="2362" w:right="0" w:hanging="284"/>
        <w:jc w:val="left"/>
        <w:rPr>
          <w:sz w:val="28"/>
        </w:rPr>
      </w:pPr>
      <w:r>
        <w:rPr>
          <w:spacing w:val="-1"/>
          <w:sz w:val="28"/>
        </w:rPr>
        <w:t>子宮頸未全開而有臍帶脫落時。</w:t>
      </w:r>
    </w:p>
    <w:p>
      <w:pPr>
        <w:spacing w:after="0" w:line="240" w:lineRule="auto"/>
        <w:jc w:val="left"/>
        <w:rPr>
          <w:sz w:val="28"/>
        </w:rPr>
        <w:sectPr>
          <w:pgSz w:w="11910" w:h="16840"/>
          <w:pgMar w:header="0" w:footer="596" w:top="1360" w:bottom="780" w:left="1000" w:right="1020"/>
        </w:sectPr>
      </w:pPr>
    </w:p>
    <w:p>
      <w:pPr>
        <w:pStyle w:val="ListParagraph"/>
        <w:numPr>
          <w:ilvl w:val="0"/>
          <w:numId w:val="5"/>
        </w:numPr>
        <w:tabs>
          <w:tab w:pos="2363" w:val="left" w:leader="none"/>
        </w:tabs>
        <w:spacing w:line="244" w:lineRule="auto" w:before="24" w:after="0"/>
        <w:ind w:left="2372" w:right="108" w:hanging="293"/>
        <w:jc w:val="left"/>
        <w:rPr>
          <w:sz w:val="28"/>
        </w:rPr>
      </w:pPr>
      <w:r>
        <w:rPr>
          <w:sz w:val="28"/>
        </w:rPr>
        <w:t>兩次（含）以上的死產（</w:t>
      </w:r>
      <w:r>
        <w:rPr>
          <w:spacing w:val="-1"/>
          <w:sz w:val="28"/>
        </w:rPr>
        <w:t>懷孕 </w:t>
      </w:r>
      <w:r>
        <w:rPr>
          <w:sz w:val="28"/>
        </w:rPr>
        <w:t>24</w:t>
      </w:r>
      <w:r>
        <w:rPr>
          <w:spacing w:val="-3"/>
          <w:sz w:val="28"/>
        </w:rPr>
        <w:t> 周以上，胎兒體重 </w:t>
      </w:r>
      <w:r>
        <w:rPr>
          <w:sz w:val="28"/>
        </w:rPr>
        <w:t>560</w:t>
      </w:r>
      <w:r>
        <w:rPr>
          <w:spacing w:val="-2"/>
          <w:sz w:val="28"/>
        </w:rPr>
        <w:t> 公</w:t>
      </w:r>
      <w:r>
        <w:rPr>
          <w:sz w:val="28"/>
        </w:rPr>
        <w:t>克以上）。</w:t>
      </w:r>
    </w:p>
    <w:p>
      <w:pPr>
        <w:pStyle w:val="ListParagraph"/>
        <w:numPr>
          <w:ilvl w:val="0"/>
          <w:numId w:val="5"/>
        </w:numPr>
        <w:tabs>
          <w:tab w:pos="2363" w:val="left" w:leader="none"/>
        </w:tabs>
        <w:spacing w:line="242" w:lineRule="auto" w:before="0" w:after="0"/>
        <w:ind w:left="2367" w:right="5563" w:hanging="288"/>
        <w:jc w:val="left"/>
        <w:rPr>
          <w:sz w:val="28"/>
        </w:rPr>
      </w:pPr>
      <w:r>
        <w:rPr>
          <w:spacing w:val="-1"/>
          <w:sz w:val="28"/>
        </w:rPr>
        <w:t>分娩相關疾病：</w:t>
      </w:r>
      <w:r>
        <w:rPr>
          <w:spacing w:val="-137"/>
          <w:sz w:val="28"/>
        </w:rPr>
        <w:t> </w:t>
      </w:r>
      <w:r>
        <w:rPr>
          <w:sz w:val="28"/>
        </w:rPr>
        <w:t>a.前置胎盤。</w:t>
      </w:r>
    </w:p>
    <w:p>
      <w:pPr>
        <w:pStyle w:val="BodyText"/>
        <w:spacing w:line="244" w:lineRule="auto"/>
        <w:ind w:left="2367" w:right="4716"/>
      </w:pPr>
      <w:r>
        <w:rPr>
          <w:spacing w:val="-1"/>
        </w:rPr>
        <w:t>b.子癲前症及子癇症。</w:t>
      </w:r>
      <w:r>
        <w:rPr/>
        <w:t>c.胎盤早期剝離。</w:t>
      </w:r>
    </w:p>
    <w:p>
      <w:pPr>
        <w:pStyle w:val="BodyText"/>
        <w:spacing w:line="244" w:lineRule="auto"/>
        <w:ind w:left="2367" w:right="2615"/>
      </w:pPr>
      <w:r>
        <w:rPr>
          <w:spacing w:val="-1"/>
        </w:rPr>
        <w:t>d</w:t>
      </w:r>
      <w:r>
        <w:rPr>
          <w:spacing w:val="-10"/>
        </w:rPr>
        <w:t>.早期破水超過 </w:t>
      </w:r>
      <w:r>
        <w:rPr>
          <w:spacing w:val="-1"/>
        </w:rPr>
        <w:t>24</w:t>
      </w:r>
      <w:r>
        <w:rPr>
          <w:spacing w:val="-9"/>
        </w:rPr>
        <w:t> 小時合併感染現象。</w:t>
      </w:r>
      <w:r>
        <w:rPr/>
        <w:t>e.母體心肺疾病：</w:t>
      </w:r>
    </w:p>
    <w:p>
      <w:pPr>
        <w:pStyle w:val="ListParagraph"/>
        <w:numPr>
          <w:ilvl w:val="0"/>
          <w:numId w:val="6"/>
        </w:numPr>
        <w:tabs>
          <w:tab w:pos="2913" w:val="left" w:leader="none"/>
        </w:tabs>
        <w:spacing w:line="242" w:lineRule="auto" w:before="0" w:after="0"/>
        <w:ind w:left="2919" w:right="116" w:hanging="435"/>
        <w:jc w:val="left"/>
        <w:rPr>
          <w:sz w:val="28"/>
        </w:rPr>
      </w:pPr>
      <w:r>
        <w:rPr/>
        <w:drawing>
          <wp:anchor distT="0" distB="0" distL="0" distR="0" allowOverlap="1" layoutInCell="1" locked="0" behindDoc="1" simplePos="0" relativeHeight="487356416">
            <wp:simplePos x="0" y="0"/>
            <wp:positionH relativeFrom="page">
              <wp:posOffset>2871546</wp:posOffset>
            </wp:positionH>
            <wp:positionV relativeFrom="paragraph">
              <wp:posOffset>400400</wp:posOffset>
            </wp:positionV>
            <wp:extent cx="1839480" cy="4424731"/>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9480" cy="4424731"/>
                    </a:xfrm>
                    <a:prstGeom prst="rect">
                      <a:avLst/>
                    </a:prstGeom>
                  </pic:spPr>
                </pic:pic>
              </a:graphicData>
            </a:graphic>
          </wp:anchor>
        </w:drawing>
      </w:r>
      <w:r>
        <w:rPr>
          <w:sz w:val="28"/>
        </w:rPr>
        <w:t>嚴重心律不整，並附心臟科專科醫師診斷證明或心電圖檢查認定須剖腹產者。</w:t>
      </w:r>
    </w:p>
    <w:p>
      <w:pPr>
        <w:pStyle w:val="ListParagraph"/>
        <w:numPr>
          <w:ilvl w:val="0"/>
          <w:numId w:val="6"/>
        </w:numPr>
        <w:tabs>
          <w:tab w:pos="2913" w:val="left" w:leader="none"/>
        </w:tabs>
        <w:spacing w:line="244" w:lineRule="auto" w:before="0" w:after="0"/>
        <w:ind w:left="2919" w:right="116" w:hanging="435"/>
        <w:jc w:val="left"/>
        <w:rPr>
          <w:sz w:val="28"/>
        </w:rPr>
      </w:pPr>
      <w:r>
        <w:rPr>
          <w:sz w:val="28"/>
        </w:rPr>
        <w:t>經心臟科採用之心肺功能分級認定為第三或第四級心臟病，並附診斷證明。</w:t>
      </w:r>
    </w:p>
    <w:p>
      <w:pPr>
        <w:pStyle w:val="ListParagraph"/>
        <w:numPr>
          <w:ilvl w:val="0"/>
          <w:numId w:val="6"/>
        </w:numPr>
        <w:tabs>
          <w:tab w:pos="2908" w:val="left" w:leader="none"/>
        </w:tabs>
        <w:spacing w:line="244" w:lineRule="auto" w:before="0" w:after="0"/>
        <w:ind w:left="1239" w:right="1085" w:firstLine="1245"/>
        <w:jc w:val="left"/>
        <w:rPr>
          <w:sz w:val="28"/>
        </w:rPr>
      </w:pPr>
      <w:r>
        <w:rPr>
          <w:sz w:val="28"/>
        </w:rPr>
        <w:t>嚴重肺氣腫，並附胸腔科專科醫師診斷證明。</w:t>
      </w:r>
      <w:r>
        <w:rPr>
          <w:spacing w:val="1"/>
          <w:sz w:val="28"/>
        </w:rPr>
        <w:t> </w:t>
      </w:r>
      <w:r>
        <w:rPr>
          <w:spacing w:val="-1"/>
          <w:sz w:val="28"/>
        </w:rPr>
        <w:t>五、不孕症、人工受孕或非以治療為目的之避孕及絕育手術。</w:t>
      </w:r>
    </w:p>
    <w:p>
      <w:pPr>
        <w:pStyle w:val="BodyText"/>
        <w:spacing w:before="3"/>
        <w:ind w:left="0"/>
        <w:rPr>
          <w:sz w:val="20"/>
        </w:rPr>
      </w:pPr>
    </w:p>
    <w:p>
      <w:pPr>
        <w:pStyle w:val="Heading1"/>
        <w:tabs>
          <w:tab w:pos="1537" w:val="left" w:leader="none"/>
        </w:tabs>
      </w:pPr>
      <w:r>
        <w:rPr>
          <w:w w:val="105"/>
        </w:rPr>
        <w:t>第十五條</w:t>
        <w:tab/>
        <w:t>除外責任(二)</w:t>
      </w:r>
    </w:p>
    <w:p>
      <w:pPr>
        <w:pStyle w:val="BodyText"/>
        <w:spacing w:line="330" w:lineRule="exact"/>
        <w:ind w:left="1239"/>
      </w:pPr>
      <w:r>
        <w:rPr/>
        <w:t>被保險人因下列原因致成傷害時，本公司不負給付第十條保險金的責</w:t>
      </w:r>
    </w:p>
    <w:p>
      <w:pPr>
        <w:pStyle w:val="BodyText"/>
        <w:spacing w:before="6"/>
        <w:ind w:left="1239"/>
      </w:pPr>
      <w:r>
        <w:rPr/>
        <w:t>任：</w:t>
      </w:r>
    </w:p>
    <w:p>
      <w:pPr>
        <w:pStyle w:val="BodyText"/>
        <w:spacing w:line="244" w:lineRule="auto" w:before="4"/>
        <w:ind w:left="1239" w:right="4164"/>
      </w:pPr>
      <w:r>
        <w:rPr>
          <w:spacing w:val="-1"/>
        </w:rPr>
        <w:t>一、要保人、被保險人的故意行為。</w:t>
      </w:r>
      <w:r>
        <w:rPr/>
        <w:t>二、被保險人犯罪行為。</w:t>
      </w:r>
    </w:p>
    <w:p>
      <w:pPr>
        <w:pStyle w:val="BodyText"/>
        <w:spacing w:line="242" w:lineRule="auto"/>
        <w:ind w:left="1784" w:right="115" w:hanging="545"/>
      </w:pPr>
      <w:r>
        <w:rPr/>
        <w:t>三、被保險人飲酒後駕（騎）車，其吐氣或血液所含酒精成份超過道路交通法令規定標準者。</w:t>
      </w:r>
    </w:p>
    <w:p>
      <w:pPr>
        <w:pStyle w:val="BodyText"/>
        <w:spacing w:line="244" w:lineRule="auto" w:before="1"/>
        <w:ind w:left="1784" w:right="115" w:hanging="545"/>
      </w:pPr>
      <w:r>
        <w:rPr/>
        <w:t>四、戰爭（不論宣戰與否）、內亂及其他類似的武裝變亂。但契約另有約定者不在此限。</w:t>
      </w:r>
    </w:p>
    <w:p>
      <w:pPr>
        <w:pStyle w:val="BodyText"/>
        <w:spacing w:line="244" w:lineRule="auto"/>
        <w:ind w:left="1784" w:right="115" w:hanging="545"/>
      </w:pPr>
      <w:r>
        <w:rPr/>
        <w:t>五、因原子或核子能裝置所引起的爆炸、灼熱、輻射或污染。但契約另有約定者不在此限。</w:t>
      </w:r>
    </w:p>
    <w:p>
      <w:pPr>
        <w:pStyle w:val="BodyText"/>
        <w:spacing w:line="242" w:lineRule="auto"/>
        <w:ind w:left="1239" w:right="114"/>
      </w:pPr>
      <w:r>
        <w:rPr/>
        <w:t>前項第一款情形（除被保險人的故意行為外），致被保險人傷害時，</w:t>
      </w:r>
      <w:r>
        <w:rPr>
          <w:spacing w:val="-137"/>
        </w:rPr>
        <w:t> </w:t>
      </w:r>
      <w:r>
        <w:rPr/>
        <w:t>本公司仍給付保險金。</w:t>
      </w:r>
    </w:p>
    <w:p>
      <w:pPr>
        <w:pStyle w:val="BodyText"/>
        <w:spacing w:before="2"/>
        <w:ind w:left="0"/>
        <w:rPr>
          <w:sz w:val="20"/>
        </w:rPr>
      </w:pPr>
    </w:p>
    <w:p>
      <w:pPr>
        <w:pStyle w:val="Heading1"/>
        <w:tabs>
          <w:tab w:pos="1537" w:val="left" w:leader="none"/>
        </w:tabs>
        <w:spacing w:line="468" w:lineRule="exact"/>
      </w:pPr>
      <w:r>
        <w:rPr/>
        <w:t>第十六條</w:t>
        <w:tab/>
      </w:r>
      <w:r>
        <w:rPr>
          <w:spacing w:val="-1"/>
        </w:rPr>
        <w:t>不保事</w:t>
      </w:r>
      <w:r>
        <w:rPr/>
        <w:t>項</w:t>
      </w:r>
    </w:p>
    <w:p>
      <w:pPr>
        <w:pStyle w:val="BodyText"/>
        <w:spacing w:line="312" w:lineRule="exact"/>
        <w:ind w:left="1239"/>
      </w:pPr>
      <w:r>
        <w:rPr/>
        <w:t>被保險人從事下列活動，致成傷害時，除契約另有約定外，本公司不</w:t>
      </w:r>
    </w:p>
    <w:p>
      <w:pPr>
        <w:pStyle w:val="BodyText"/>
        <w:spacing w:before="6"/>
        <w:ind w:left="1239"/>
      </w:pPr>
      <w:r>
        <w:rPr>
          <w:spacing w:val="-1"/>
        </w:rPr>
        <w:t>負給付第十條保險金的責任：</w:t>
      </w:r>
    </w:p>
    <w:p>
      <w:pPr>
        <w:pStyle w:val="BodyText"/>
        <w:spacing w:line="244" w:lineRule="auto" w:before="4"/>
        <w:ind w:left="1784" w:right="121" w:hanging="545"/>
      </w:pPr>
      <w:r>
        <w:rPr>
          <w:spacing w:val="10"/>
        </w:rPr>
        <w:t>一、被保險人從事角力、摔跤、柔道、空手道、跆拳道、馬術、拳</w:t>
      </w:r>
      <w:r>
        <w:rPr/>
        <w:t>擊、特技表演等的競賽或表演。</w:t>
      </w:r>
    </w:p>
    <w:p>
      <w:pPr>
        <w:pStyle w:val="BodyText"/>
        <w:spacing w:line="356" w:lineRule="exact"/>
        <w:ind w:left="1239"/>
      </w:pPr>
      <w:r>
        <w:rPr>
          <w:spacing w:val="-1"/>
        </w:rPr>
        <w:t>二、被保險人從事汽車、機車及自由車等的競賽或表演。</w:t>
      </w:r>
    </w:p>
    <w:p>
      <w:pPr>
        <w:pStyle w:val="BodyText"/>
        <w:spacing w:before="10"/>
        <w:ind w:left="0"/>
        <w:rPr>
          <w:sz w:val="20"/>
        </w:rPr>
      </w:pPr>
    </w:p>
    <w:p>
      <w:pPr>
        <w:pStyle w:val="Heading1"/>
        <w:tabs>
          <w:tab w:pos="1537" w:val="left" w:leader="none"/>
        </w:tabs>
        <w:spacing w:line="468" w:lineRule="exact"/>
      </w:pPr>
      <w:r>
        <w:rPr/>
        <w:t>第十七條</w:t>
        <w:tab/>
      </w:r>
      <w:r>
        <w:rPr>
          <w:spacing w:val="-1"/>
        </w:rPr>
        <w:t>告</w:t>
      </w:r>
      <w:r>
        <w:rPr/>
        <w:t>知義務與本契約的解除</w:t>
      </w:r>
    </w:p>
    <w:p>
      <w:pPr>
        <w:pStyle w:val="BodyText"/>
        <w:spacing w:line="312" w:lineRule="exact"/>
        <w:ind w:left="1239"/>
      </w:pPr>
      <w:r>
        <w:rPr/>
        <w:t>要保人或被保險人在訂立本契約時，對於本公司要保書書面詢問的告</w:t>
      </w:r>
    </w:p>
    <w:p>
      <w:pPr>
        <w:spacing w:after="0" w:line="312" w:lineRule="exact"/>
        <w:sectPr>
          <w:pgSz w:w="11910" w:h="16840"/>
          <w:pgMar w:header="0" w:footer="596" w:top="1360" w:bottom="780" w:left="1000" w:right="1020"/>
        </w:sectPr>
      </w:pPr>
    </w:p>
    <w:p>
      <w:pPr>
        <w:pStyle w:val="BodyText"/>
        <w:spacing w:line="244" w:lineRule="auto" w:before="24"/>
        <w:ind w:left="1239" w:right="110"/>
        <w:jc w:val="both"/>
      </w:pPr>
      <w:r>
        <w:rPr/>
        <w:t>知事項應據實說明，如有為隱匿或遺漏不為說明，或為不實的說明，</w:t>
      </w:r>
      <w:r>
        <w:rPr>
          <w:spacing w:val="1"/>
        </w:rPr>
        <w:t> </w:t>
      </w:r>
      <w:r>
        <w:rPr/>
        <w:t>足以變更或減少本公司對於危險的估計者，本公司得解除本契約，其</w:t>
      </w:r>
      <w:r>
        <w:rPr>
          <w:spacing w:val="10"/>
        </w:rPr>
        <w:t>保險事故發生後亦同。但危險的發生未基於其說明或未說明的事實</w:t>
      </w:r>
      <w:r>
        <w:rPr/>
        <w:t>時，不在此限。</w:t>
      </w:r>
    </w:p>
    <w:p>
      <w:pPr>
        <w:pStyle w:val="BodyText"/>
        <w:spacing w:line="244" w:lineRule="auto"/>
        <w:ind w:left="1239" w:right="115"/>
      </w:pPr>
      <w:r>
        <w:rPr/>
        <w:t>前項解除契約權，自本公司知有解除之原因後，經過一個月不行使而消滅；或自契約訂立後，經過二年不行使而消滅。</w:t>
      </w:r>
    </w:p>
    <w:p>
      <w:pPr>
        <w:pStyle w:val="BodyText"/>
        <w:spacing w:before="4"/>
        <w:ind w:left="0"/>
        <w:rPr>
          <w:sz w:val="20"/>
        </w:rPr>
      </w:pPr>
    </w:p>
    <w:p>
      <w:pPr>
        <w:pStyle w:val="Heading1"/>
        <w:tabs>
          <w:tab w:pos="1537" w:val="left" w:leader="none"/>
        </w:tabs>
        <w:spacing w:before="1"/>
      </w:pPr>
      <w:r>
        <w:rPr/>
        <w:t>第十八條</w:t>
        <w:tab/>
        <w:t>契約的終止（一）</w:t>
      </w:r>
    </w:p>
    <w:p>
      <w:pPr>
        <w:pStyle w:val="BodyText"/>
        <w:spacing w:line="330" w:lineRule="exact"/>
        <w:ind w:left="1239"/>
      </w:pPr>
      <w:r>
        <w:rPr/>
        <w:t>要保人得隨時終止本契約。</w:t>
      </w:r>
    </w:p>
    <w:p>
      <w:pPr>
        <w:pStyle w:val="BodyText"/>
        <w:spacing w:line="244" w:lineRule="auto" w:before="3"/>
        <w:ind w:left="1239" w:right="115"/>
      </w:pPr>
      <w:r>
        <w:rPr/>
        <w:drawing>
          <wp:anchor distT="0" distB="0" distL="0" distR="0" allowOverlap="1" layoutInCell="1" locked="0" behindDoc="1" simplePos="0" relativeHeight="487356928">
            <wp:simplePos x="0" y="0"/>
            <wp:positionH relativeFrom="page">
              <wp:posOffset>2871546</wp:posOffset>
            </wp:positionH>
            <wp:positionV relativeFrom="paragraph">
              <wp:posOffset>172181</wp:posOffset>
            </wp:positionV>
            <wp:extent cx="1839480" cy="4424731"/>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9480" cy="4424731"/>
                    </a:xfrm>
                    <a:prstGeom prst="rect">
                      <a:avLst/>
                    </a:prstGeom>
                  </pic:spPr>
                </pic:pic>
              </a:graphicData>
            </a:graphic>
          </wp:anchor>
        </w:drawing>
      </w:r>
      <w:r>
        <w:rPr/>
        <w:t>前項契約之終止，自本公司收到要保人書面或其他約定方式通知時，</w:t>
      </w:r>
      <w:r>
        <w:rPr>
          <w:spacing w:val="-137"/>
        </w:rPr>
        <w:t> </w:t>
      </w:r>
      <w:r>
        <w:rPr/>
        <w:t>開始生效。</w:t>
      </w:r>
    </w:p>
    <w:p>
      <w:pPr>
        <w:pStyle w:val="BodyText"/>
        <w:spacing w:line="242" w:lineRule="auto"/>
        <w:ind w:left="1239" w:right="115"/>
        <w:jc w:val="both"/>
      </w:pPr>
      <w:r>
        <w:rPr/>
        <w:t>要保人依第一項約定終止本契約時，如有未到期保險費者，本公司應從當期已繳保險費扣除按日數比例計算已經過期間之保險費後，將其未到期保險費無息退還要保人。</w:t>
      </w:r>
    </w:p>
    <w:p>
      <w:pPr>
        <w:pStyle w:val="BodyText"/>
        <w:spacing w:before="4"/>
        <w:ind w:left="0"/>
        <w:rPr>
          <w:sz w:val="21"/>
        </w:rPr>
      </w:pPr>
    </w:p>
    <w:p>
      <w:pPr>
        <w:pStyle w:val="Heading1"/>
        <w:tabs>
          <w:tab w:pos="1537" w:val="left" w:leader="none"/>
        </w:tabs>
        <w:spacing w:before="1"/>
      </w:pPr>
      <w:r>
        <w:rPr/>
        <w:t>第十九條</w:t>
        <w:tab/>
        <w:t>契約的終止（二）</w:t>
      </w:r>
    </w:p>
    <w:p>
      <w:pPr>
        <w:pStyle w:val="BodyText"/>
        <w:spacing w:line="330" w:lineRule="exact"/>
        <w:ind w:left="1239"/>
      </w:pPr>
      <w:r>
        <w:rPr>
          <w:spacing w:val="-1"/>
        </w:rPr>
        <w:t>本契約有效期間內，有下列情形之一時，其效力即行終止：</w:t>
      </w:r>
    </w:p>
    <w:p>
      <w:pPr>
        <w:pStyle w:val="BodyText"/>
        <w:spacing w:before="6"/>
        <w:ind w:left="1239"/>
      </w:pPr>
      <w:r>
        <w:rPr>
          <w:spacing w:val="-1"/>
        </w:rPr>
        <w:t>一、被保險人身故日。</w:t>
      </w:r>
    </w:p>
    <w:p>
      <w:pPr>
        <w:pStyle w:val="BodyText"/>
        <w:spacing w:line="244" w:lineRule="auto" w:before="3"/>
        <w:ind w:left="1784" w:right="115" w:hanging="545"/>
      </w:pPr>
      <w:r>
        <w:rPr/>
        <w:t>二、被保險人依第八條至第十一條所累計申領之各項保險金總額已達保險單上所記載「住院醫療保險金日額」的一千兩百倍。</w:t>
      </w:r>
    </w:p>
    <w:p>
      <w:pPr>
        <w:pStyle w:val="BodyText"/>
        <w:spacing w:line="356" w:lineRule="exact"/>
        <w:ind w:left="1239"/>
      </w:pPr>
      <w:r>
        <w:rPr>
          <w:spacing w:val="-1"/>
        </w:rPr>
        <w:t>三、被保險人保險年齡到達九十一歲之保險單週年日。</w:t>
      </w:r>
    </w:p>
    <w:p>
      <w:pPr>
        <w:pStyle w:val="BodyText"/>
        <w:spacing w:line="244" w:lineRule="auto" w:before="4"/>
        <w:ind w:left="1239" w:right="115"/>
        <w:jc w:val="both"/>
      </w:pPr>
      <w:r>
        <w:rPr/>
        <w:t>本契約於繳費期間因前項第一款原因終止，如有未到期保險費者，本</w:t>
      </w:r>
      <w:r>
        <w:rPr>
          <w:spacing w:val="10"/>
        </w:rPr>
        <w:t>公司應從當期已繳保險費扣除按日數比例計算已經過期間之保險費</w:t>
      </w:r>
      <w:r>
        <w:rPr/>
        <w:t>後，將其未到期保險費無息退還要保人。</w:t>
      </w:r>
    </w:p>
    <w:p>
      <w:pPr>
        <w:pStyle w:val="BodyText"/>
        <w:spacing w:before="10"/>
        <w:ind w:left="0"/>
        <w:rPr>
          <w:sz w:val="20"/>
        </w:rPr>
      </w:pPr>
    </w:p>
    <w:p>
      <w:pPr>
        <w:pStyle w:val="Heading1"/>
        <w:tabs>
          <w:tab w:pos="1537" w:val="left" w:leader="none"/>
        </w:tabs>
        <w:spacing w:before="1"/>
      </w:pPr>
      <w:r>
        <w:rPr/>
        <w:t>第二十條</w:t>
        <w:tab/>
      </w:r>
      <w:r>
        <w:rPr>
          <w:spacing w:val="-1"/>
        </w:rPr>
        <w:t>年</w:t>
      </w:r>
      <w:r>
        <w:rPr/>
        <w:t>齡的計算及錯誤的處理</w:t>
      </w:r>
    </w:p>
    <w:p>
      <w:pPr>
        <w:pStyle w:val="BodyText"/>
        <w:spacing w:line="330" w:lineRule="exact"/>
        <w:ind w:left="1239"/>
      </w:pPr>
      <w:r>
        <w:rPr/>
        <w:t>被保險人的投保年齡，以足歲計算，但是未滿一歲的零數超過六個月</w:t>
      </w:r>
    </w:p>
    <w:p>
      <w:pPr>
        <w:pStyle w:val="BodyText"/>
        <w:spacing w:line="244" w:lineRule="auto" w:before="3"/>
        <w:ind w:left="1239" w:right="112"/>
      </w:pPr>
      <w:r>
        <w:rPr/>
        <w:t>者加算一歲，要保人在申請投保時，應將被保險人的出生年月日在要保書填明。</w:t>
      </w:r>
    </w:p>
    <w:p>
      <w:pPr>
        <w:pStyle w:val="BodyText"/>
        <w:spacing w:line="356" w:lineRule="exact"/>
        <w:ind w:left="1239"/>
      </w:pPr>
      <w:r>
        <w:rPr>
          <w:spacing w:val="-1"/>
        </w:rPr>
        <w:t>被保險人的投保年齡發生錯誤時，依下列規定辦理：</w:t>
      </w:r>
    </w:p>
    <w:p>
      <w:pPr>
        <w:pStyle w:val="BodyText"/>
        <w:spacing w:line="244" w:lineRule="auto" w:before="4"/>
        <w:ind w:left="1784" w:right="115" w:hanging="545"/>
      </w:pPr>
      <w:r>
        <w:rPr/>
        <w:t>一、真實投保年齡較本公司保險費率表所載最高年齡為大者，本契約無效，其已繳保險費無息退還要保人。</w:t>
      </w:r>
    </w:p>
    <w:p>
      <w:pPr>
        <w:pStyle w:val="BodyText"/>
        <w:spacing w:line="242" w:lineRule="auto"/>
        <w:ind w:left="1784" w:right="113" w:hanging="545"/>
        <w:jc w:val="both"/>
      </w:pPr>
      <w:r>
        <w:rPr/>
        <w:t>二、因投保年齡的錯誤，而致溢繳保險費者，本公司無息退還溢繳部分的保險費。但在發生保險事故後始發覺且其錯誤發生在本公司者，本公司按原繳保險費與應繳保險費的比例提高住院日額，而不退還溢繳部分的保險費。</w:t>
      </w:r>
    </w:p>
    <w:p>
      <w:pPr>
        <w:pStyle w:val="BodyText"/>
        <w:spacing w:line="244" w:lineRule="auto" w:before="3"/>
        <w:ind w:left="1784" w:right="113" w:hanging="545"/>
      </w:pPr>
      <w:r>
        <w:rPr/>
        <w:t>三、因投保年齡的錯誤，而致短繳保險費者，要保人得補繳短繳的保險費或按照所付的保險費與被保險人的真實年齡比例減少住院日</w:t>
      </w:r>
    </w:p>
    <w:p>
      <w:pPr>
        <w:spacing w:after="0" w:line="244" w:lineRule="auto"/>
        <w:sectPr>
          <w:pgSz w:w="11910" w:h="16840"/>
          <w:pgMar w:header="0" w:footer="596" w:top="1360" w:bottom="780" w:left="1000" w:right="1020"/>
        </w:sectPr>
      </w:pPr>
    </w:p>
    <w:p>
      <w:pPr>
        <w:pStyle w:val="BodyText"/>
        <w:spacing w:line="244" w:lineRule="auto" w:before="24"/>
        <w:ind w:left="1784" w:right="117"/>
      </w:pPr>
      <w:r>
        <w:rPr/>
        <w:t>額。但在發生保險事故後始發覺且其錯誤不可歸責於本公司者，</w:t>
      </w:r>
      <w:r>
        <w:rPr>
          <w:spacing w:val="1"/>
        </w:rPr>
        <w:t> </w:t>
      </w:r>
      <w:r>
        <w:rPr/>
        <w:t>要保人不得請求補繳短繳的保險費。</w:t>
      </w:r>
    </w:p>
    <w:p>
      <w:pPr>
        <w:pStyle w:val="BodyText"/>
        <w:spacing w:line="242" w:lineRule="auto"/>
        <w:ind w:left="1239" w:right="115"/>
        <w:jc w:val="both"/>
      </w:pPr>
      <w:r>
        <w:rPr/>
        <w:t>前項第一款、第二款前段情形，其錯誤原因歸責於本公司者，應加計</w:t>
      </w:r>
      <w:r>
        <w:rPr>
          <w:spacing w:val="10"/>
        </w:rPr>
        <w:t>利息退還保險費，其利息按民法第二百零三條法定週年利率利率計</w:t>
      </w:r>
      <w:r>
        <w:rPr/>
        <w:t>算。</w:t>
      </w:r>
    </w:p>
    <w:p>
      <w:pPr>
        <w:pStyle w:val="BodyText"/>
        <w:spacing w:before="4"/>
        <w:ind w:left="0"/>
        <w:rPr>
          <w:sz w:val="21"/>
        </w:rPr>
      </w:pPr>
    </w:p>
    <w:p>
      <w:pPr>
        <w:pStyle w:val="Heading1"/>
        <w:tabs>
          <w:tab w:pos="1817" w:val="left" w:leader="none"/>
        </w:tabs>
      </w:pPr>
      <w:r>
        <w:rPr/>
        <w:t>第二十一條</w:t>
        <w:tab/>
        <w:t>保險事故的通知與保險金的申請時間</w:t>
      </w:r>
    </w:p>
    <w:p>
      <w:pPr>
        <w:pStyle w:val="BodyText"/>
        <w:spacing w:line="330" w:lineRule="exact"/>
        <w:ind w:left="1551"/>
      </w:pPr>
      <w:r>
        <w:rPr/>
        <w:t>要保人、被保險人或受益人應於知悉本公司應負保險責任之事故後</w:t>
      </w:r>
    </w:p>
    <w:p>
      <w:pPr>
        <w:pStyle w:val="BodyText"/>
        <w:spacing w:line="242" w:lineRule="auto" w:before="6"/>
        <w:ind w:left="1551" w:right="117"/>
      </w:pPr>
      <w:r>
        <w:rPr/>
        <w:drawing>
          <wp:anchor distT="0" distB="0" distL="0" distR="0" allowOverlap="1" layoutInCell="1" locked="0" behindDoc="1" simplePos="0" relativeHeight="487357440">
            <wp:simplePos x="0" y="0"/>
            <wp:positionH relativeFrom="page">
              <wp:posOffset>2871546</wp:posOffset>
            </wp:positionH>
            <wp:positionV relativeFrom="paragraph">
              <wp:posOffset>404210</wp:posOffset>
            </wp:positionV>
            <wp:extent cx="1839480" cy="4424731"/>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839480" cy="4424731"/>
                    </a:xfrm>
                    <a:prstGeom prst="rect">
                      <a:avLst/>
                    </a:prstGeom>
                  </pic:spPr>
                </pic:pic>
              </a:graphicData>
            </a:graphic>
          </wp:anchor>
        </w:drawing>
      </w:r>
      <w:r>
        <w:rPr/>
        <w:t>十日內通知本公司，並於通知後儘速檢具所需文件向本公司申請給付保險金。</w:t>
      </w:r>
    </w:p>
    <w:p>
      <w:pPr>
        <w:pStyle w:val="BodyText"/>
        <w:spacing w:line="242" w:lineRule="auto" w:before="2"/>
        <w:ind w:left="1551" w:right="117"/>
        <w:jc w:val="both"/>
      </w:pPr>
      <w:r>
        <w:rPr/>
        <w:t>本公司應於收齊前項文件後十五日內給付之。但因可歸責於本公司之事由致未在前述約定期限內為給付者，應按年利一分加計利息給付。</w:t>
      </w:r>
    </w:p>
    <w:p>
      <w:pPr>
        <w:pStyle w:val="BodyText"/>
        <w:spacing w:before="9"/>
        <w:ind w:left="0"/>
        <w:rPr>
          <w:sz w:val="21"/>
        </w:rPr>
      </w:pPr>
    </w:p>
    <w:p>
      <w:pPr>
        <w:pStyle w:val="Heading1"/>
        <w:tabs>
          <w:tab w:pos="1817" w:val="left" w:leader="none"/>
        </w:tabs>
        <w:spacing w:line="485" w:lineRule="exact"/>
      </w:pPr>
      <w:r>
        <w:rPr/>
        <w:t>第二十二條</w:t>
        <w:tab/>
      </w:r>
      <w:r>
        <w:rPr>
          <w:spacing w:val="-3"/>
        </w:rPr>
        <w:t>受</w:t>
      </w:r>
      <w:r>
        <w:rPr>
          <w:spacing w:val="-2"/>
        </w:rPr>
        <w:t>益人</w:t>
      </w:r>
    </w:p>
    <w:p>
      <w:pPr>
        <w:pStyle w:val="BodyText"/>
        <w:spacing w:line="329" w:lineRule="exact"/>
        <w:ind w:left="1551"/>
      </w:pPr>
      <w:r>
        <w:rPr/>
        <w:t>本契約各項保險金之受益人為被保險人本人，本公司不受理其指定</w:t>
      </w:r>
    </w:p>
    <w:p>
      <w:pPr>
        <w:pStyle w:val="BodyText"/>
        <w:spacing w:before="6"/>
        <w:ind w:left="1551"/>
      </w:pPr>
      <w:r>
        <w:rPr/>
        <w:t>及變更。</w:t>
      </w:r>
    </w:p>
    <w:p>
      <w:pPr>
        <w:pStyle w:val="BodyText"/>
        <w:spacing w:line="242" w:lineRule="auto" w:before="6"/>
        <w:ind w:left="1551" w:right="117"/>
      </w:pPr>
      <w:r>
        <w:rPr/>
        <w:t>被保險人身故時，如本契約保險金尚未給付或未完全給付，則以被保險人身故時之法定繼承人為該部分保險金之受益人。</w:t>
      </w:r>
    </w:p>
    <w:p>
      <w:pPr>
        <w:pStyle w:val="BodyText"/>
        <w:spacing w:line="244" w:lineRule="auto" w:before="3"/>
        <w:ind w:left="1551" w:right="117"/>
      </w:pPr>
      <w:r>
        <w:rPr/>
        <w:t>本契約受益人為法定繼承人時，其受益順序及應得比例適用民法繼承編之相關規定。</w:t>
      </w:r>
    </w:p>
    <w:p>
      <w:pPr>
        <w:pStyle w:val="BodyText"/>
        <w:spacing w:before="12"/>
        <w:ind w:left="0"/>
        <w:rPr>
          <w:sz w:val="20"/>
        </w:rPr>
      </w:pPr>
    </w:p>
    <w:p>
      <w:pPr>
        <w:pStyle w:val="Heading1"/>
        <w:tabs>
          <w:tab w:pos="1817" w:val="left" w:leader="none"/>
        </w:tabs>
      </w:pPr>
      <w:r>
        <w:rPr/>
        <w:t>第二十三條</w:t>
        <w:tab/>
        <w:t>醫療保險金的申領</w:t>
      </w:r>
    </w:p>
    <w:p>
      <w:pPr>
        <w:pStyle w:val="BodyText"/>
        <w:spacing w:line="330" w:lineRule="exact"/>
        <w:ind w:left="1551"/>
      </w:pPr>
      <w:r>
        <w:rPr>
          <w:spacing w:val="10"/>
        </w:rPr>
        <w:t>受益人申領「住院日額保險金」、「加護病房或燒燙傷病房保險</w:t>
      </w:r>
    </w:p>
    <w:p>
      <w:pPr>
        <w:pStyle w:val="BodyText"/>
        <w:spacing w:line="244" w:lineRule="auto" w:before="3"/>
        <w:ind w:left="1551" w:right="2172"/>
      </w:pPr>
      <w:r>
        <w:rPr>
          <w:spacing w:val="-1"/>
        </w:rPr>
        <w:t>金」或「營養補充保險金」時，應檢具下列文件：</w:t>
      </w:r>
      <w:r>
        <w:rPr>
          <w:spacing w:val="-137"/>
        </w:rPr>
        <w:t> </w:t>
      </w:r>
      <w:r>
        <w:rPr/>
        <w:t>一、保險單或其謄本。</w:t>
      </w:r>
    </w:p>
    <w:p>
      <w:pPr>
        <w:pStyle w:val="BodyText"/>
        <w:spacing w:line="356" w:lineRule="exact"/>
        <w:ind w:left="1551"/>
      </w:pPr>
      <w:r>
        <w:rPr>
          <w:spacing w:val="-1"/>
        </w:rPr>
        <w:t>二、保險金申請書。</w:t>
      </w:r>
    </w:p>
    <w:p>
      <w:pPr>
        <w:pStyle w:val="BodyText"/>
        <w:spacing w:line="242" w:lineRule="auto" w:before="4"/>
        <w:ind w:left="2146" w:right="106" w:hanging="596"/>
        <w:jc w:val="both"/>
      </w:pPr>
      <w:r>
        <w:rPr>
          <w:spacing w:val="10"/>
        </w:rPr>
        <w:t>三、醫療診斷書或住院證明。申請「加護病房或燒燙傷病房保險</w:t>
      </w:r>
      <w:r>
        <w:rPr/>
        <w:t>金」者，須列明進、出加護病房或燒燙傷病房日期；申請「營養補充保險金」者，須列明手術名稱及部位。（但要保人或被保險人為醫師時，不得為被保險人出具診斷書或住院證明。）</w:t>
      </w:r>
    </w:p>
    <w:p>
      <w:pPr>
        <w:pStyle w:val="BodyText"/>
        <w:spacing w:before="7"/>
        <w:ind w:left="1551"/>
      </w:pPr>
      <w:r>
        <w:rPr>
          <w:spacing w:val="-1"/>
        </w:rPr>
        <w:t>四、受益人的身分證明。</w:t>
      </w:r>
    </w:p>
    <w:p>
      <w:pPr>
        <w:pStyle w:val="BodyText"/>
        <w:spacing w:line="242" w:lineRule="auto" w:before="7"/>
        <w:ind w:left="1551" w:right="113"/>
        <w:jc w:val="both"/>
      </w:pPr>
      <w:r>
        <w:rPr/>
        <w:t>受益人申領保險金時，本公司基於審核保險金之需要，得徵詢其他醫師之醫學專業意見，並得經受益人同意調閱被保險人之就醫相關資料。因此所生之費用由本公司負擔。但不因此延展本公司依第二十一條約定應給付之期限。</w:t>
      </w:r>
    </w:p>
    <w:p>
      <w:pPr>
        <w:spacing w:after="0" w:line="242" w:lineRule="auto"/>
        <w:jc w:val="both"/>
        <w:sectPr>
          <w:pgSz w:w="11910" w:h="16840"/>
          <w:pgMar w:header="0" w:footer="596" w:top="1360" w:bottom="780" w:left="1000" w:right="1020"/>
        </w:sectPr>
      </w:pPr>
    </w:p>
    <w:p>
      <w:pPr>
        <w:pStyle w:val="Heading1"/>
        <w:tabs>
          <w:tab w:pos="1817" w:val="left" w:leader="none"/>
        </w:tabs>
        <w:spacing w:line="418" w:lineRule="exact"/>
      </w:pPr>
      <w:r>
        <w:rPr/>
        <w:t>第二十四條</w:t>
        <w:tab/>
        <w:t>骨折保險金的申領</w:t>
      </w:r>
    </w:p>
    <w:p>
      <w:pPr>
        <w:pStyle w:val="BodyText"/>
        <w:spacing w:line="330" w:lineRule="exact"/>
        <w:ind w:left="1551"/>
      </w:pPr>
      <w:r>
        <w:rPr>
          <w:spacing w:val="-1"/>
        </w:rPr>
        <w:t>受益人申領「骨折保險金」時，應檢具下列文件：</w:t>
      </w:r>
    </w:p>
    <w:p>
      <w:pPr>
        <w:pStyle w:val="BodyText"/>
        <w:spacing w:line="242" w:lineRule="auto" w:before="6"/>
        <w:ind w:left="1551" w:right="5532"/>
      </w:pPr>
      <w:r>
        <w:rPr>
          <w:spacing w:val="-1"/>
        </w:rPr>
        <w:t>一、保險單或其謄本。</w:t>
      </w:r>
      <w:r>
        <w:rPr/>
        <w:t>二、保險金申請書。</w:t>
      </w:r>
    </w:p>
    <w:p>
      <w:pPr>
        <w:pStyle w:val="BodyText"/>
        <w:spacing w:line="242" w:lineRule="auto" w:before="2"/>
        <w:ind w:left="2146" w:right="111" w:hanging="596"/>
        <w:jc w:val="both"/>
      </w:pPr>
      <w:r>
        <w:rPr>
          <w:spacing w:val="-3"/>
        </w:rPr>
        <w:t>三、醫療診斷書及 </w:t>
      </w:r>
      <w:r>
        <w:rPr/>
        <w:t>X</w:t>
      </w:r>
      <w:r>
        <w:rPr>
          <w:spacing w:val="-5"/>
        </w:rPr>
        <w:t> 光片；但必要時本公司得要求提供意外傷害事</w:t>
      </w:r>
      <w:r>
        <w:rPr/>
        <w:t>故證明文件。（但要保人或被保險人為醫師時，不得為被保險</w:t>
      </w:r>
      <w:r>
        <w:rPr>
          <w:spacing w:val="-9"/>
        </w:rPr>
        <w:t>人出具診斷書或 </w:t>
      </w:r>
      <w:r>
        <w:rPr/>
        <w:t>X</w:t>
      </w:r>
      <w:r>
        <w:rPr>
          <w:spacing w:val="-19"/>
        </w:rPr>
        <w:t> 光片。</w:t>
      </w:r>
      <w:r>
        <w:rPr/>
        <w:t>）</w:t>
      </w:r>
    </w:p>
    <w:p>
      <w:pPr>
        <w:pStyle w:val="BodyText"/>
        <w:spacing w:before="5"/>
        <w:ind w:left="1551"/>
      </w:pPr>
      <w:r>
        <w:rPr>
          <w:spacing w:val="-1"/>
        </w:rPr>
        <w:t>四、受益人的身分證明。</w:t>
      </w:r>
    </w:p>
    <w:p>
      <w:pPr>
        <w:pStyle w:val="BodyText"/>
        <w:spacing w:line="244" w:lineRule="auto" w:before="6"/>
        <w:ind w:left="1551" w:right="113"/>
        <w:jc w:val="both"/>
      </w:pPr>
      <w:r>
        <w:rPr/>
        <w:drawing>
          <wp:anchor distT="0" distB="0" distL="0" distR="0" allowOverlap="1" layoutInCell="1" locked="0" behindDoc="1" simplePos="0" relativeHeight="487357952">
            <wp:simplePos x="0" y="0"/>
            <wp:positionH relativeFrom="page">
              <wp:posOffset>2871546</wp:posOffset>
            </wp:positionH>
            <wp:positionV relativeFrom="paragraph">
              <wp:posOffset>404210</wp:posOffset>
            </wp:positionV>
            <wp:extent cx="1839480" cy="4424731"/>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839480" cy="4424731"/>
                    </a:xfrm>
                    <a:prstGeom prst="rect">
                      <a:avLst/>
                    </a:prstGeom>
                  </pic:spPr>
                </pic:pic>
              </a:graphicData>
            </a:graphic>
          </wp:anchor>
        </w:drawing>
      </w:r>
      <w:r>
        <w:rPr/>
        <w:t>受益人申領保險金時，本公司基於審核保險金之需要，得徵詢其他醫師之醫學專業意見，並得經受益人同意調閱被保險人之就醫相關資料。因此所生之費用由本公司負擔。但不因此延展本公司依第二十一條約定應給付之期限。</w:t>
      </w:r>
    </w:p>
    <w:p>
      <w:pPr>
        <w:pStyle w:val="BodyText"/>
        <w:spacing w:before="8"/>
        <w:ind w:left="0"/>
        <w:rPr>
          <w:sz w:val="20"/>
        </w:rPr>
      </w:pPr>
    </w:p>
    <w:p>
      <w:pPr>
        <w:pStyle w:val="Heading1"/>
        <w:tabs>
          <w:tab w:pos="1817" w:val="left" w:leader="none"/>
        </w:tabs>
      </w:pPr>
      <w:r>
        <w:rPr/>
        <w:t>第二十五條</w:t>
        <w:tab/>
        <w:t>欠繳保險費的扣除</w:t>
      </w:r>
    </w:p>
    <w:p>
      <w:pPr>
        <w:pStyle w:val="BodyText"/>
        <w:spacing w:line="330" w:lineRule="exact"/>
        <w:ind w:left="1551"/>
      </w:pPr>
      <w:r>
        <w:rPr/>
        <w:t>本公司給付各項保險金時，如要保人有欠繳保險費者，本公司得先</w:t>
      </w:r>
    </w:p>
    <w:p>
      <w:pPr>
        <w:pStyle w:val="BodyText"/>
        <w:spacing w:before="3"/>
        <w:ind w:left="1551"/>
      </w:pPr>
      <w:r>
        <w:rPr>
          <w:spacing w:val="-1"/>
        </w:rPr>
        <w:t>抵銷上述欠繳保險費後給付其餘額。</w:t>
      </w:r>
    </w:p>
    <w:p>
      <w:pPr>
        <w:pStyle w:val="BodyText"/>
        <w:spacing w:before="10"/>
        <w:ind w:left="0"/>
        <w:rPr>
          <w:sz w:val="21"/>
        </w:rPr>
      </w:pPr>
    </w:p>
    <w:p>
      <w:pPr>
        <w:pStyle w:val="Heading1"/>
        <w:tabs>
          <w:tab w:pos="1817" w:val="left" w:leader="none"/>
        </w:tabs>
        <w:spacing w:line="485" w:lineRule="exact"/>
      </w:pPr>
      <w:r>
        <w:rPr/>
        <w:t>第二十六條</w:t>
        <w:tab/>
      </w:r>
      <w:r>
        <w:rPr>
          <w:spacing w:val="-1"/>
        </w:rPr>
        <w:t>住院</w:t>
      </w:r>
      <w:r>
        <w:rPr/>
        <w:t>醫療保險金日額之減少</w:t>
      </w:r>
    </w:p>
    <w:p>
      <w:pPr>
        <w:pStyle w:val="BodyText"/>
        <w:spacing w:line="329" w:lineRule="exact"/>
        <w:ind w:left="1551"/>
      </w:pPr>
      <w:r>
        <w:rPr>
          <w:spacing w:val="10"/>
        </w:rPr>
        <w:t>要保人在本契約有效期間內， 得申請減少「住院醫療保險金日</w:t>
      </w:r>
    </w:p>
    <w:p>
      <w:pPr>
        <w:pStyle w:val="BodyText"/>
        <w:spacing w:line="244" w:lineRule="auto" w:before="6"/>
        <w:ind w:left="1551" w:right="117"/>
      </w:pPr>
      <w:r>
        <w:rPr/>
        <w:t>額」，但是減額後的「住院醫療保險金日額」，不得低於本保險最低承保日額，其減少部分依第十八條契約終止之約定處理。</w:t>
      </w:r>
    </w:p>
    <w:p>
      <w:pPr>
        <w:pStyle w:val="BodyText"/>
        <w:spacing w:line="244" w:lineRule="auto"/>
        <w:ind w:left="1551" w:right="117"/>
        <w:jc w:val="both"/>
      </w:pPr>
      <w:r>
        <w:rPr/>
        <w:t>要保人依前項約定辦理減少「住院醫療保險金日額」時，被保險人依第八條至第十一條所累計申領之各項保險金總額將依減少之比例同時縮小。</w:t>
      </w:r>
    </w:p>
    <w:p>
      <w:pPr>
        <w:pStyle w:val="Heading1"/>
        <w:tabs>
          <w:tab w:pos="1817" w:val="left" w:leader="none"/>
        </w:tabs>
        <w:spacing w:before="137"/>
      </w:pPr>
      <w:r>
        <w:rPr/>
        <w:t>第二十七條</w:t>
        <w:tab/>
      </w:r>
      <w:r>
        <w:rPr>
          <w:spacing w:val="-1"/>
        </w:rPr>
        <w:t>變更住</w:t>
      </w:r>
      <w:r>
        <w:rPr/>
        <w:t>所</w:t>
      </w:r>
    </w:p>
    <w:p>
      <w:pPr>
        <w:pStyle w:val="BodyText"/>
        <w:spacing w:line="330" w:lineRule="exact"/>
        <w:ind w:left="1551"/>
      </w:pPr>
      <w:r>
        <w:rPr>
          <w:spacing w:val="-1"/>
        </w:rPr>
        <w:t>要保人的住所有變更時，應即以書面或其他約定方式通知本公司。</w:t>
      </w:r>
    </w:p>
    <w:p>
      <w:pPr>
        <w:pStyle w:val="BodyText"/>
        <w:spacing w:line="242" w:lineRule="auto" w:before="6"/>
        <w:ind w:left="1551" w:right="117"/>
      </w:pPr>
      <w:r>
        <w:rPr/>
        <w:t>要保人不為前項通知者，本公司之各項通知，得以本契約所載要保人之最後住所發送之。</w:t>
      </w:r>
    </w:p>
    <w:p>
      <w:pPr>
        <w:pStyle w:val="Heading1"/>
        <w:tabs>
          <w:tab w:pos="1817" w:val="left" w:leader="none"/>
        </w:tabs>
        <w:spacing w:before="151"/>
      </w:pPr>
      <w:r>
        <w:rPr/>
        <w:t>第二十八條</w:t>
        <w:tab/>
      </w:r>
      <w:r>
        <w:rPr>
          <w:spacing w:val="-3"/>
        </w:rPr>
        <w:t>時</w:t>
      </w:r>
      <w:r>
        <w:rPr>
          <w:spacing w:val="-2"/>
        </w:rPr>
        <w:t>效</w:t>
      </w:r>
    </w:p>
    <w:p>
      <w:pPr>
        <w:pStyle w:val="BodyText"/>
        <w:spacing w:line="330" w:lineRule="exact"/>
        <w:ind w:left="1551"/>
      </w:pPr>
      <w:r>
        <w:rPr>
          <w:spacing w:val="10"/>
        </w:rPr>
        <w:t>由本契約所生的權利，自得為請求之日起，經過兩年不行使而消</w:t>
      </w:r>
    </w:p>
    <w:p>
      <w:pPr>
        <w:pStyle w:val="BodyText"/>
        <w:spacing w:before="3"/>
        <w:ind w:left="1551"/>
      </w:pPr>
      <w:r>
        <w:rPr/>
        <w:t>滅。</w:t>
      </w:r>
    </w:p>
    <w:p>
      <w:pPr>
        <w:pStyle w:val="Heading1"/>
        <w:tabs>
          <w:tab w:pos="1817" w:val="left" w:leader="none"/>
        </w:tabs>
        <w:spacing w:before="154"/>
      </w:pPr>
      <w:r>
        <w:rPr/>
        <w:t>第二十九條</w:t>
        <w:tab/>
      </w:r>
      <w:r>
        <w:rPr>
          <w:spacing w:val="-3"/>
        </w:rPr>
        <w:t>批</w:t>
      </w:r>
      <w:r>
        <w:rPr>
          <w:spacing w:val="-2"/>
        </w:rPr>
        <w:t>註</w:t>
      </w:r>
    </w:p>
    <w:p>
      <w:pPr>
        <w:pStyle w:val="BodyText"/>
        <w:spacing w:line="330" w:lineRule="exact"/>
        <w:ind w:left="1551"/>
      </w:pPr>
      <w:r>
        <w:rPr/>
        <w:t>本契約內容的變更，或記載事項的增刪，應經要保人與本公司雙方</w:t>
      </w:r>
    </w:p>
    <w:p>
      <w:pPr>
        <w:pStyle w:val="BodyText"/>
        <w:spacing w:before="4"/>
        <w:ind w:left="1551"/>
      </w:pPr>
      <w:r>
        <w:rPr>
          <w:spacing w:val="-1"/>
        </w:rPr>
        <w:t>書面或其他約定方式同意，並由本公司即予批註或發給批註書。</w:t>
      </w:r>
    </w:p>
    <w:p>
      <w:pPr>
        <w:spacing w:after="0"/>
        <w:sectPr>
          <w:pgSz w:w="11910" w:h="16840"/>
          <w:pgMar w:header="0" w:footer="596" w:top="1360" w:bottom="780" w:left="1000" w:right="1020"/>
        </w:sectPr>
      </w:pPr>
    </w:p>
    <w:p>
      <w:pPr>
        <w:pStyle w:val="Heading1"/>
        <w:tabs>
          <w:tab w:pos="1537" w:val="left" w:leader="none"/>
        </w:tabs>
        <w:spacing w:line="418" w:lineRule="exact"/>
      </w:pPr>
      <w:r>
        <w:rPr/>
        <w:t>第三十條</w:t>
        <w:tab/>
      </w:r>
      <w:r>
        <w:rPr>
          <w:spacing w:val="-1"/>
        </w:rPr>
        <w:t>管轄法</w:t>
      </w:r>
      <w:r>
        <w:rPr/>
        <w:t>院</w:t>
      </w:r>
    </w:p>
    <w:p>
      <w:pPr>
        <w:pStyle w:val="BodyText"/>
        <w:spacing w:line="330" w:lineRule="exact"/>
        <w:ind w:left="1254"/>
      </w:pPr>
      <w:r>
        <w:rPr/>
        <w:t>因本契約涉訟者，同意以要保人住所地地方法院為第一審管轄法院，</w:t>
      </w:r>
    </w:p>
    <w:p>
      <w:pPr>
        <w:pStyle w:val="BodyText"/>
        <w:spacing w:line="242" w:lineRule="auto" w:before="6"/>
        <w:ind w:left="1254" w:right="114"/>
        <w:jc w:val="both"/>
      </w:pPr>
      <w:r>
        <w:rPr/>
        <w:t>要保人的住所在中華民國境外時，以本公司總公司所在地地方法院為第一審管轄法院。但不得排除消費者保護法第四十七條及民事訴訟法第四百三十六條之九小額訴訟管轄法院之適用。</w:t>
      </w:r>
    </w:p>
    <w:p>
      <w:pPr>
        <w:pStyle w:val="BodyText"/>
        <w:ind w:left="0"/>
      </w:pPr>
    </w:p>
    <w:p>
      <w:pPr>
        <w:pStyle w:val="BodyText"/>
        <w:ind w:left="0"/>
      </w:pPr>
    </w:p>
    <w:p>
      <w:pPr>
        <w:pStyle w:val="BodyText"/>
        <w:ind w:left="0"/>
      </w:pPr>
    </w:p>
    <w:p>
      <w:pPr>
        <w:spacing w:before="217"/>
        <w:ind w:left="132" w:right="0" w:firstLine="0"/>
        <w:jc w:val="left"/>
        <w:rPr>
          <w:rFonts w:ascii="Microsoft JhengHei" w:eastAsia="Microsoft JhengHei" w:hint="eastAsia"/>
          <w:b/>
          <w:sz w:val="20"/>
        </w:rPr>
      </w:pPr>
      <w:r>
        <w:rPr/>
        <w:drawing>
          <wp:anchor distT="0" distB="0" distL="0" distR="0" allowOverlap="1" layoutInCell="1" locked="0" behindDoc="1" simplePos="0" relativeHeight="487358464">
            <wp:simplePos x="0" y="0"/>
            <wp:positionH relativeFrom="page">
              <wp:posOffset>2871546</wp:posOffset>
            </wp:positionH>
            <wp:positionV relativeFrom="paragraph">
              <wp:posOffset>413491</wp:posOffset>
            </wp:positionV>
            <wp:extent cx="1839480" cy="4424731"/>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839480" cy="4424731"/>
                    </a:xfrm>
                    <a:prstGeom prst="rect">
                      <a:avLst/>
                    </a:prstGeom>
                  </pic:spPr>
                </pic:pic>
              </a:graphicData>
            </a:graphic>
          </wp:anchor>
        </w:drawing>
      </w:r>
      <w:r>
        <w:rPr>
          <w:rFonts w:ascii="Microsoft JhengHei" w:eastAsia="Microsoft JhengHei" w:hint="eastAsia"/>
          <w:b/>
          <w:sz w:val="20"/>
        </w:rPr>
        <w:t>附表：骨折別表</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02"/>
        <w:gridCol w:w="4277"/>
      </w:tblGrid>
      <w:tr>
        <w:trPr>
          <w:trHeight w:val="260" w:hRule="atLeast"/>
        </w:trPr>
        <w:tc>
          <w:tcPr>
            <w:tcW w:w="802" w:type="dxa"/>
            <w:tcBorders>
              <w:bottom w:val="single" w:sz="4" w:space="0" w:color="000000"/>
              <w:right w:val="single" w:sz="4" w:space="0" w:color="000000"/>
            </w:tcBorders>
          </w:tcPr>
          <w:p>
            <w:pPr>
              <w:pStyle w:val="TableParagraph"/>
              <w:ind w:left="190" w:right="172"/>
              <w:rPr>
                <w:sz w:val="20"/>
              </w:rPr>
            </w:pPr>
            <w:r>
              <w:rPr>
                <w:w w:val="95"/>
                <w:sz w:val="20"/>
              </w:rPr>
              <w:t>項次</w:t>
            </w:r>
          </w:p>
        </w:tc>
        <w:tc>
          <w:tcPr>
            <w:tcW w:w="4277" w:type="dxa"/>
            <w:tcBorders>
              <w:left w:val="single" w:sz="4" w:space="0" w:color="000000"/>
              <w:bottom w:val="single" w:sz="4" w:space="0" w:color="000000"/>
            </w:tcBorders>
          </w:tcPr>
          <w:p>
            <w:pPr>
              <w:pStyle w:val="TableParagraph"/>
              <w:ind w:right="385"/>
              <w:rPr>
                <w:sz w:val="20"/>
              </w:rPr>
            </w:pPr>
            <w:r>
              <w:rPr>
                <w:w w:val="95"/>
                <w:sz w:val="20"/>
              </w:rPr>
              <w:t>項目</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1</w:t>
            </w:r>
          </w:p>
        </w:tc>
        <w:tc>
          <w:tcPr>
            <w:tcW w:w="4277" w:type="dxa"/>
            <w:tcBorders>
              <w:top w:val="single" w:sz="4" w:space="0" w:color="000000"/>
              <w:left w:val="single" w:sz="4" w:space="0" w:color="000000"/>
              <w:bottom w:val="single" w:sz="4" w:space="0" w:color="000000"/>
            </w:tcBorders>
          </w:tcPr>
          <w:p>
            <w:pPr>
              <w:pStyle w:val="TableParagraph"/>
              <w:ind w:right="385"/>
              <w:rPr>
                <w:sz w:val="20"/>
              </w:rPr>
            </w:pPr>
            <w:r>
              <w:rPr>
                <w:w w:val="95"/>
                <w:sz w:val="20"/>
              </w:rPr>
              <w:t>指骨</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2</w:t>
            </w:r>
          </w:p>
        </w:tc>
        <w:tc>
          <w:tcPr>
            <w:tcW w:w="4277" w:type="dxa"/>
            <w:tcBorders>
              <w:top w:val="single" w:sz="4" w:space="0" w:color="000000"/>
              <w:left w:val="single" w:sz="4" w:space="0" w:color="000000"/>
              <w:bottom w:val="single" w:sz="4" w:space="0" w:color="000000"/>
            </w:tcBorders>
          </w:tcPr>
          <w:p>
            <w:pPr>
              <w:pStyle w:val="TableParagraph"/>
              <w:ind w:right="385"/>
              <w:rPr>
                <w:sz w:val="20"/>
              </w:rPr>
            </w:pPr>
            <w:r>
              <w:rPr>
                <w:w w:val="95"/>
                <w:sz w:val="20"/>
              </w:rPr>
              <w:t>趾骨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3</w:t>
            </w:r>
          </w:p>
        </w:tc>
        <w:tc>
          <w:tcPr>
            <w:tcW w:w="4277" w:type="dxa"/>
            <w:tcBorders>
              <w:top w:val="single" w:sz="4" w:space="0" w:color="000000"/>
              <w:left w:val="single" w:sz="4" w:space="0" w:color="000000"/>
              <w:bottom w:val="single" w:sz="4" w:space="0" w:color="000000"/>
            </w:tcBorders>
          </w:tcPr>
          <w:p>
            <w:pPr>
              <w:pStyle w:val="TableParagraph"/>
              <w:ind w:right="388"/>
              <w:rPr>
                <w:sz w:val="20"/>
              </w:rPr>
            </w:pPr>
            <w:r>
              <w:rPr>
                <w:sz w:val="20"/>
              </w:rPr>
              <w:t>鼻骨、眶骨〈含顴骨〉</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4</w:t>
            </w:r>
          </w:p>
        </w:tc>
        <w:tc>
          <w:tcPr>
            <w:tcW w:w="4277" w:type="dxa"/>
            <w:tcBorders>
              <w:top w:val="single" w:sz="4" w:space="0" w:color="000000"/>
              <w:left w:val="single" w:sz="4" w:space="0" w:color="000000"/>
              <w:bottom w:val="single" w:sz="4" w:space="0" w:color="000000"/>
            </w:tcBorders>
          </w:tcPr>
          <w:p>
            <w:pPr>
              <w:pStyle w:val="TableParagraph"/>
              <w:ind w:right="385"/>
              <w:rPr>
                <w:sz w:val="20"/>
              </w:rPr>
            </w:pPr>
            <w:r>
              <w:rPr>
                <w:w w:val="95"/>
                <w:sz w:val="20"/>
              </w:rPr>
              <w:t>掌骨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5</w:t>
            </w:r>
          </w:p>
        </w:tc>
        <w:tc>
          <w:tcPr>
            <w:tcW w:w="4277" w:type="dxa"/>
            <w:tcBorders>
              <w:top w:val="single" w:sz="4" w:space="0" w:color="000000"/>
              <w:left w:val="single" w:sz="4" w:space="0" w:color="000000"/>
              <w:bottom w:val="single" w:sz="4" w:space="0" w:color="000000"/>
            </w:tcBorders>
          </w:tcPr>
          <w:p>
            <w:pPr>
              <w:pStyle w:val="TableParagraph"/>
              <w:ind w:right="385"/>
              <w:rPr>
                <w:sz w:val="20"/>
              </w:rPr>
            </w:pPr>
            <w:r>
              <w:rPr>
                <w:w w:val="95"/>
                <w:sz w:val="20"/>
              </w:rPr>
              <w:t>蹠骨</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6</w:t>
            </w:r>
          </w:p>
        </w:tc>
        <w:tc>
          <w:tcPr>
            <w:tcW w:w="4277" w:type="dxa"/>
            <w:tcBorders>
              <w:top w:val="single" w:sz="4" w:space="0" w:color="000000"/>
              <w:left w:val="single" w:sz="4" w:space="0" w:color="000000"/>
              <w:bottom w:val="single" w:sz="4" w:space="0" w:color="000000"/>
            </w:tcBorders>
          </w:tcPr>
          <w:p>
            <w:pPr>
              <w:pStyle w:val="TableParagraph"/>
              <w:ind w:right="385"/>
              <w:rPr>
                <w:sz w:val="20"/>
              </w:rPr>
            </w:pPr>
            <w:r>
              <w:rPr>
                <w:w w:val="95"/>
                <w:sz w:val="20"/>
              </w:rPr>
              <w:t>肋骨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7</w:t>
            </w:r>
          </w:p>
        </w:tc>
        <w:tc>
          <w:tcPr>
            <w:tcW w:w="4277" w:type="dxa"/>
            <w:tcBorders>
              <w:top w:val="single" w:sz="4" w:space="0" w:color="000000"/>
              <w:left w:val="single" w:sz="4" w:space="0" w:color="000000"/>
              <w:bottom w:val="single" w:sz="4" w:space="0" w:color="000000"/>
            </w:tcBorders>
          </w:tcPr>
          <w:p>
            <w:pPr>
              <w:pStyle w:val="TableParagraph"/>
              <w:ind w:right="385"/>
              <w:rPr>
                <w:sz w:val="20"/>
              </w:rPr>
            </w:pPr>
            <w:r>
              <w:rPr>
                <w:w w:val="95"/>
                <w:sz w:val="20"/>
              </w:rPr>
              <w:t>鎖骨</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8</w:t>
            </w:r>
          </w:p>
        </w:tc>
        <w:tc>
          <w:tcPr>
            <w:tcW w:w="4277" w:type="dxa"/>
            <w:tcBorders>
              <w:top w:val="single" w:sz="4" w:space="0" w:color="000000"/>
              <w:left w:val="single" w:sz="4" w:space="0" w:color="000000"/>
              <w:bottom w:val="single" w:sz="4" w:space="0" w:color="000000"/>
            </w:tcBorders>
          </w:tcPr>
          <w:p>
            <w:pPr>
              <w:pStyle w:val="TableParagraph"/>
              <w:ind w:right="388"/>
              <w:rPr>
                <w:sz w:val="20"/>
              </w:rPr>
            </w:pPr>
            <w:r>
              <w:rPr>
                <w:sz w:val="20"/>
              </w:rPr>
              <w:t>下顎（齒槽醫療除外）</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8" w:right="0"/>
              <w:rPr>
                <w:sz w:val="20"/>
              </w:rPr>
            </w:pPr>
            <w:r>
              <w:rPr>
                <w:w w:val="99"/>
                <w:sz w:val="20"/>
              </w:rPr>
              <w:t>9</w:t>
            </w:r>
          </w:p>
        </w:tc>
        <w:tc>
          <w:tcPr>
            <w:tcW w:w="4277" w:type="dxa"/>
            <w:tcBorders>
              <w:top w:val="single" w:sz="4" w:space="0" w:color="000000"/>
              <w:left w:val="single" w:sz="4" w:space="0" w:color="000000"/>
              <w:bottom w:val="single" w:sz="4" w:space="0" w:color="000000"/>
            </w:tcBorders>
          </w:tcPr>
          <w:p>
            <w:pPr>
              <w:pStyle w:val="TableParagraph"/>
              <w:ind w:right="388"/>
              <w:rPr>
                <w:sz w:val="20"/>
              </w:rPr>
            </w:pPr>
            <w:r>
              <w:rPr>
                <w:sz w:val="20"/>
              </w:rPr>
              <w:t>橈骨或尺骨</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10</w:t>
            </w:r>
          </w:p>
        </w:tc>
        <w:tc>
          <w:tcPr>
            <w:tcW w:w="4277" w:type="dxa"/>
            <w:tcBorders>
              <w:top w:val="single" w:sz="4" w:space="0" w:color="000000"/>
              <w:left w:val="single" w:sz="4" w:space="0" w:color="000000"/>
              <w:bottom w:val="single" w:sz="4" w:space="0" w:color="000000"/>
            </w:tcBorders>
          </w:tcPr>
          <w:p>
            <w:pPr>
              <w:pStyle w:val="TableParagraph"/>
              <w:ind w:left="427" w:right="389"/>
              <w:rPr>
                <w:sz w:val="20"/>
              </w:rPr>
            </w:pPr>
            <w:r>
              <w:rPr>
                <w:sz w:val="20"/>
              </w:rPr>
              <w:t>膝蓋骨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11</w:t>
            </w:r>
          </w:p>
        </w:tc>
        <w:tc>
          <w:tcPr>
            <w:tcW w:w="4277" w:type="dxa"/>
            <w:tcBorders>
              <w:top w:val="single" w:sz="4" w:space="0" w:color="000000"/>
              <w:left w:val="single" w:sz="4" w:space="0" w:color="000000"/>
              <w:bottom w:val="single" w:sz="4" w:space="0" w:color="000000"/>
            </w:tcBorders>
          </w:tcPr>
          <w:p>
            <w:pPr>
              <w:pStyle w:val="TableParagraph"/>
              <w:ind w:left="427" w:right="389"/>
              <w:rPr>
                <w:sz w:val="20"/>
              </w:rPr>
            </w:pPr>
            <w:r>
              <w:rPr>
                <w:sz w:val="20"/>
              </w:rPr>
              <w:t>肩胛骨</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12</w:t>
            </w:r>
          </w:p>
        </w:tc>
        <w:tc>
          <w:tcPr>
            <w:tcW w:w="4277" w:type="dxa"/>
            <w:tcBorders>
              <w:top w:val="single" w:sz="4" w:space="0" w:color="000000"/>
              <w:left w:val="single" w:sz="4" w:space="0" w:color="000000"/>
              <w:bottom w:val="single" w:sz="4" w:space="0" w:color="000000"/>
            </w:tcBorders>
          </w:tcPr>
          <w:p>
            <w:pPr>
              <w:pStyle w:val="TableParagraph"/>
              <w:ind w:right="389"/>
              <w:rPr>
                <w:sz w:val="20"/>
              </w:rPr>
            </w:pPr>
            <w:r>
              <w:rPr>
                <w:sz w:val="20"/>
              </w:rPr>
              <w:t>椎骨（包括胸椎、腰椎及尾骨）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13</w:t>
            </w:r>
          </w:p>
        </w:tc>
        <w:tc>
          <w:tcPr>
            <w:tcW w:w="4277" w:type="dxa"/>
            <w:tcBorders>
              <w:top w:val="single" w:sz="4" w:space="0" w:color="000000"/>
              <w:left w:val="single" w:sz="4" w:space="0" w:color="000000"/>
              <w:bottom w:val="single" w:sz="4" w:space="0" w:color="000000"/>
            </w:tcBorders>
          </w:tcPr>
          <w:p>
            <w:pPr>
              <w:pStyle w:val="TableParagraph"/>
              <w:ind w:right="389"/>
              <w:rPr>
                <w:sz w:val="20"/>
              </w:rPr>
            </w:pPr>
            <w:r>
              <w:rPr>
                <w:sz w:val="20"/>
              </w:rPr>
              <w:t>骨盤（包括腸骨、恥骨、坐骨、薦骨）</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14</w:t>
            </w:r>
          </w:p>
        </w:tc>
        <w:tc>
          <w:tcPr>
            <w:tcW w:w="4277" w:type="dxa"/>
            <w:tcBorders>
              <w:top w:val="single" w:sz="4" w:space="0" w:color="000000"/>
              <w:left w:val="single" w:sz="4" w:space="0" w:color="000000"/>
              <w:bottom w:val="single" w:sz="4" w:space="0" w:color="000000"/>
            </w:tcBorders>
          </w:tcPr>
          <w:p>
            <w:pPr>
              <w:pStyle w:val="TableParagraph"/>
              <w:ind w:left="427" w:right="389"/>
              <w:rPr>
                <w:sz w:val="20"/>
              </w:rPr>
            </w:pPr>
            <w:r>
              <w:rPr>
                <w:sz w:val="20"/>
              </w:rPr>
              <w:t>頭蓋骨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15</w:t>
            </w:r>
          </w:p>
        </w:tc>
        <w:tc>
          <w:tcPr>
            <w:tcW w:w="4277" w:type="dxa"/>
            <w:tcBorders>
              <w:top w:val="single" w:sz="4" w:space="0" w:color="000000"/>
              <w:left w:val="single" w:sz="4" w:space="0" w:color="000000"/>
              <w:bottom w:val="single" w:sz="4" w:space="0" w:color="000000"/>
            </w:tcBorders>
          </w:tcPr>
          <w:p>
            <w:pPr>
              <w:pStyle w:val="TableParagraph"/>
              <w:ind w:right="385"/>
              <w:rPr>
                <w:sz w:val="20"/>
              </w:rPr>
            </w:pPr>
            <w:r>
              <w:rPr>
                <w:w w:val="95"/>
                <w:sz w:val="20"/>
              </w:rPr>
              <w:t>臂骨</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16</w:t>
            </w:r>
          </w:p>
        </w:tc>
        <w:tc>
          <w:tcPr>
            <w:tcW w:w="4277" w:type="dxa"/>
            <w:tcBorders>
              <w:top w:val="single" w:sz="4" w:space="0" w:color="000000"/>
              <w:left w:val="single" w:sz="4" w:space="0" w:color="000000"/>
              <w:bottom w:val="single" w:sz="4" w:space="0" w:color="000000"/>
            </w:tcBorders>
          </w:tcPr>
          <w:p>
            <w:pPr>
              <w:pStyle w:val="TableParagraph"/>
              <w:ind w:right="388"/>
              <w:rPr>
                <w:sz w:val="20"/>
              </w:rPr>
            </w:pPr>
            <w:r>
              <w:rPr>
                <w:sz w:val="20"/>
              </w:rPr>
              <w:t>橈骨及尺骨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17</w:t>
            </w:r>
          </w:p>
        </w:tc>
        <w:tc>
          <w:tcPr>
            <w:tcW w:w="4277" w:type="dxa"/>
            <w:tcBorders>
              <w:top w:val="single" w:sz="4" w:space="0" w:color="000000"/>
              <w:left w:val="single" w:sz="4" w:space="0" w:color="000000"/>
              <w:bottom w:val="single" w:sz="4" w:space="0" w:color="000000"/>
            </w:tcBorders>
          </w:tcPr>
          <w:p>
            <w:pPr>
              <w:pStyle w:val="TableParagraph"/>
              <w:ind w:left="426" w:right="389"/>
              <w:rPr>
                <w:sz w:val="20"/>
              </w:rPr>
            </w:pPr>
            <w:r>
              <w:rPr>
                <w:sz w:val="20"/>
              </w:rPr>
              <w:t>腕骨（一手或雙手）</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18</w:t>
            </w:r>
          </w:p>
        </w:tc>
        <w:tc>
          <w:tcPr>
            <w:tcW w:w="4277" w:type="dxa"/>
            <w:tcBorders>
              <w:top w:val="single" w:sz="4" w:space="0" w:color="000000"/>
              <w:left w:val="single" w:sz="4" w:space="0" w:color="000000"/>
              <w:bottom w:val="single" w:sz="4" w:space="0" w:color="000000"/>
            </w:tcBorders>
          </w:tcPr>
          <w:p>
            <w:pPr>
              <w:pStyle w:val="TableParagraph"/>
              <w:ind w:right="388"/>
              <w:rPr>
                <w:sz w:val="20"/>
              </w:rPr>
            </w:pPr>
            <w:r>
              <w:rPr>
                <w:sz w:val="20"/>
              </w:rPr>
              <w:t>脛骨或腓骨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19</w:t>
            </w:r>
          </w:p>
        </w:tc>
        <w:tc>
          <w:tcPr>
            <w:tcW w:w="4277" w:type="dxa"/>
            <w:tcBorders>
              <w:top w:val="single" w:sz="4" w:space="0" w:color="000000"/>
              <w:left w:val="single" w:sz="4" w:space="0" w:color="000000"/>
              <w:bottom w:val="single" w:sz="4" w:space="0" w:color="000000"/>
            </w:tcBorders>
          </w:tcPr>
          <w:p>
            <w:pPr>
              <w:pStyle w:val="TableParagraph"/>
              <w:ind w:left="426" w:right="389"/>
              <w:rPr>
                <w:sz w:val="20"/>
              </w:rPr>
            </w:pPr>
            <w:r>
              <w:rPr>
                <w:sz w:val="20"/>
              </w:rPr>
              <w:t>踝骨（一足或雙足）</w:t>
            </w:r>
          </w:p>
        </w:tc>
      </w:tr>
      <w:tr>
        <w:trPr>
          <w:trHeight w:val="261"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20</w:t>
            </w:r>
          </w:p>
        </w:tc>
        <w:tc>
          <w:tcPr>
            <w:tcW w:w="4277" w:type="dxa"/>
            <w:tcBorders>
              <w:top w:val="single" w:sz="4" w:space="0" w:color="000000"/>
              <w:left w:val="single" w:sz="4" w:space="0" w:color="000000"/>
              <w:bottom w:val="single" w:sz="4" w:space="0" w:color="000000"/>
            </w:tcBorders>
          </w:tcPr>
          <w:p>
            <w:pPr>
              <w:pStyle w:val="TableParagraph"/>
              <w:ind w:right="385"/>
              <w:rPr>
                <w:sz w:val="20"/>
              </w:rPr>
            </w:pPr>
            <w:r>
              <w:rPr>
                <w:w w:val="95"/>
                <w:sz w:val="20"/>
              </w:rPr>
              <w:t>股骨</w:t>
            </w:r>
          </w:p>
        </w:tc>
      </w:tr>
      <w:tr>
        <w:trPr>
          <w:trHeight w:val="258" w:hRule="atLeast"/>
        </w:trPr>
        <w:tc>
          <w:tcPr>
            <w:tcW w:w="802" w:type="dxa"/>
            <w:tcBorders>
              <w:top w:val="single" w:sz="4" w:space="0" w:color="000000"/>
              <w:bottom w:val="single" w:sz="4" w:space="0" w:color="000000"/>
              <w:right w:val="single" w:sz="4" w:space="0" w:color="000000"/>
            </w:tcBorders>
          </w:tcPr>
          <w:p>
            <w:pPr>
              <w:pStyle w:val="TableParagraph"/>
              <w:ind w:left="190"/>
              <w:rPr>
                <w:sz w:val="20"/>
              </w:rPr>
            </w:pPr>
            <w:r>
              <w:rPr>
                <w:sz w:val="20"/>
              </w:rPr>
              <w:t>21</w:t>
            </w:r>
          </w:p>
        </w:tc>
        <w:tc>
          <w:tcPr>
            <w:tcW w:w="4277" w:type="dxa"/>
            <w:tcBorders>
              <w:top w:val="single" w:sz="4" w:space="0" w:color="000000"/>
              <w:left w:val="single" w:sz="4" w:space="0" w:color="000000"/>
              <w:bottom w:val="single" w:sz="4" w:space="0" w:color="000000"/>
            </w:tcBorders>
          </w:tcPr>
          <w:p>
            <w:pPr>
              <w:pStyle w:val="TableParagraph"/>
              <w:ind w:right="388"/>
              <w:rPr>
                <w:sz w:val="20"/>
              </w:rPr>
            </w:pPr>
            <w:r>
              <w:rPr>
                <w:sz w:val="20"/>
              </w:rPr>
              <w:t>脛骨及腓骨</w:t>
            </w:r>
          </w:p>
        </w:tc>
      </w:tr>
      <w:tr>
        <w:trPr>
          <w:trHeight w:val="258" w:hRule="atLeast"/>
        </w:trPr>
        <w:tc>
          <w:tcPr>
            <w:tcW w:w="802" w:type="dxa"/>
            <w:tcBorders>
              <w:top w:val="single" w:sz="4" w:space="0" w:color="000000"/>
              <w:right w:val="single" w:sz="4" w:space="0" w:color="000000"/>
            </w:tcBorders>
          </w:tcPr>
          <w:p>
            <w:pPr>
              <w:pStyle w:val="TableParagraph"/>
              <w:ind w:left="190"/>
              <w:rPr>
                <w:sz w:val="20"/>
              </w:rPr>
            </w:pPr>
            <w:r>
              <w:rPr>
                <w:sz w:val="20"/>
              </w:rPr>
              <w:t>22</w:t>
            </w:r>
          </w:p>
        </w:tc>
        <w:tc>
          <w:tcPr>
            <w:tcW w:w="4277" w:type="dxa"/>
            <w:tcBorders>
              <w:top w:val="single" w:sz="4" w:space="0" w:color="000000"/>
              <w:left w:val="single" w:sz="4" w:space="0" w:color="000000"/>
            </w:tcBorders>
          </w:tcPr>
          <w:p>
            <w:pPr>
              <w:pStyle w:val="TableParagraph"/>
              <w:ind w:right="388"/>
              <w:rPr>
                <w:sz w:val="20"/>
              </w:rPr>
            </w:pPr>
            <w:r>
              <w:rPr>
                <w:sz w:val="20"/>
              </w:rPr>
              <w:t>大腿骨頸</w:t>
            </w:r>
          </w:p>
        </w:tc>
      </w:tr>
    </w:tbl>
    <w:sectPr>
      <w:pgSz w:w="11910" w:h="16840"/>
      <w:pgMar w:header="0" w:footer="596" w:top="1360" w:bottom="78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609985pt;margin-top:801.120178pt;width:75.1pt;height:12pt;mso-position-horizontal-relative:page;mso-position-vertical-relative:page;z-index:-15963136"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10</w:t>
                </w:r>
                <w:r>
                  <w:rPr/>
                  <w:fldChar w:fldCharType="end"/>
                </w:r>
                <w:r>
                  <w:rPr>
                    <w:rFonts w:ascii="Microsoft JhengHei" w:eastAsia="Microsoft JhengHei" w:hint="eastAsia"/>
                    <w:b/>
                    <w:w w:val="95"/>
                    <w:sz w:val="20"/>
                  </w:rPr>
                  <w:t>頁，共11頁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2919" w:hanging="428"/>
        <w:jc w:val="left"/>
      </w:pPr>
      <w:rPr>
        <w:rFonts w:hint="default" w:ascii="SimSun" w:hAnsi="SimSun" w:eastAsia="SimSun" w:cs="SimSun"/>
        <w:spacing w:val="-2"/>
        <w:w w:val="100"/>
        <w:sz w:val="26"/>
        <w:szCs w:val="26"/>
        <w:lang w:val="en-US" w:eastAsia="zh-TW" w:bidi="ar-SA"/>
      </w:rPr>
    </w:lvl>
    <w:lvl w:ilvl="1">
      <w:start w:val="0"/>
      <w:numFmt w:val="bullet"/>
      <w:lvlText w:val="•"/>
      <w:lvlJc w:val="left"/>
      <w:pPr>
        <w:ind w:left="3616" w:hanging="428"/>
      </w:pPr>
      <w:rPr>
        <w:rFonts w:hint="default"/>
        <w:lang w:val="en-US" w:eastAsia="zh-TW" w:bidi="ar-SA"/>
      </w:rPr>
    </w:lvl>
    <w:lvl w:ilvl="2">
      <w:start w:val="0"/>
      <w:numFmt w:val="bullet"/>
      <w:lvlText w:val="•"/>
      <w:lvlJc w:val="left"/>
      <w:pPr>
        <w:ind w:left="4313" w:hanging="428"/>
      </w:pPr>
      <w:rPr>
        <w:rFonts w:hint="default"/>
        <w:lang w:val="en-US" w:eastAsia="zh-TW" w:bidi="ar-SA"/>
      </w:rPr>
    </w:lvl>
    <w:lvl w:ilvl="3">
      <w:start w:val="0"/>
      <w:numFmt w:val="bullet"/>
      <w:lvlText w:val="•"/>
      <w:lvlJc w:val="left"/>
      <w:pPr>
        <w:ind w:left="5009" w:hanging="428"/>
      </w:pPr>
      <w:rPr>
        <w:rFonts w:hint="default"/>
        <w:lang w:val="en-US" w:eastAsia="zh-TW" w:bidi="ar-SA"/>
      </w:rPr>
    </w:lvl>
    <w:lvl w:ilvl="4">
      <w:start w:val="0"/>
      <w:numFmt w:val="bullet"/>
      <w:lvlText w:val="•"/>
      <w:lvlJc w:val="left"/>
      <w:pPr>
        <w:ind w:left="5706" w:hanging="428"/>
      </w:pPr>
      <w:rPr>
        <w:rFonts w:hint="default"/>
        <w:lang w:val="en-US" w:eastAsia="zh-TW" w:bidi="ar-SA"/>
      </w:rPr>
    </w:lvl>
    <w:lvl w:ilvl="5">
      <w:start w:val="0"/>
      <w:numFmt w:val="bullet"/>
      <w:lvlText w:val="•"/>
      <w:lvlJc w:val="left"/>
      <w:pPr>
        <w:ind w:left="6403" w:hanging="428"/>
      </w:pPr>
      <w:rPr>
        <w:rFonts w:hint="default"/>
        <w:lang w:val="en-US" w:eastAsia="zh-TW" w:bidi="ar-SA"/>
      </w:rPr>
    </w:lvl>
    <w:lvl w:ilvl="6">
      <w:start w:val="0"/>
      <w:numFmt w:val="bullet"/>
      <w:lvlText w:val="•"/>
      <w:lvlJc w:val="left"/>
      <w:pPr>
        <w:ind w:left="7099" w:hanging="428"/>
      </w:pPr>
      <w:rPr>
        <w:rFonts w:hint="default"/>
        <w:lang w:val="en-US" w:eastAsia="zh-TW" w:bidi="ar-SA"/>
      </w:rPr>
    </w:lvl>
    <w:lvl w:ilvl="7">
      <w:start w:val="0"/>
      <w:numFmt w:val="bullet"/>
      <w:lvlText w:val="•"/>
      <w:lvlJc w:val="left"/>
      <w:pPr>
        <w:ind w:left="7796" w:hanging="428"/>
      </w:pPr>
      <w:rPr>
        <w:rFonts w:hint="default"/>
        <w:lang w:val="en-US" w:eastAsia="zh-TW" w:bidi="ar-SA"/>
      </w:rPr>
    </w:lvl>
    <w:lvl w:ilvl="8">
      <w:start w:val="0"/>
      <w:numFmt w:val="bullet"/>
      <w:lvlText w:val="•"/>
      <w:lvlJc w:val="left"/>
      <w:pPr>
        <w:ind w:left="8493" w:hanging="428"/>
      </w:pPr>
      <w:rPr>
        <w:rFonts w:hint="default"/>
        <w:lang w:val="en-US" w:eastAsia="zh-TW" w:bidi="ar-SA"/>
      </w:rPr>
    </w:lvl>
  </w:abstractNum>
  <w:abstractNum w:abstractNumId="4">
    <w:multiLevelType w:val="hybridMultilevel"/>
    <w:lvl w:ilvl="0">
      <w:start w:val="4"/>
      <w:numFmt w:val="decimal"/>
      <w:lvlText w:val="%1."/>
      <w:lvlJc w:val="left"/>
      <w:pPr>
        <w:ind w:left="2362" w:hanging="283"/>
        <w:jc w:val="left"/>
      </w:pPr>
      <w:rPr>
        <w:rFonts w:hint="default" w:ascii="SimSun" w:hAnsi="SimSun" w:eastAsia="SimSun" w:cs="SimSun"/>
        <w:spacing w:val="-2"/>
        <w:w w:val="100"/>
        <w:sz w:val="26"/>
        <w:szCs w:val="26"/>
        <w:lang w:val="en-US" w:eastAsia="zh-TW" w:bidi="ar-SA"/>
      </w:rPr>
    </w:lvl>
    <w:lvl w:ilvl="1">
      <w:start w:val="0"/>
      <w:numFmt w:val="bullet"/>
      <w:lvlText w:val="•"/>
      <w:lvlJc w:val="left"/>
      <w:pPr>
        <w:ind w:left="3112" w:hanging="283"/>
      </w:pPr>
      <w:rPr>
        <w:rFonts w:hint="default"/>
        <w:lang w:val="en-US" w:eastAsia="zh-TW" w:bidi="ar-SA"/>
      </w:rPr>
    </w:lvl>
    <w:lvl w:ilvl="2">
      <w:start w:val="0"/>
      <w:numFmt w:val="bullet"/>
      <w:lvlText w:val="•"/>
      <w:lvlJc w:val="left"/>
      <w:pPr>
        <w:ind w:left="3865" w:hanging="283"/>
      </w:pPr>
      <w:rPr>
        <w:rFonts w:hint="default"/>
        <w:lang w:val="en-US" w:eastAsia="zh-TW" w:bidi="ar-SA"/>
      </w:rPr>
    </w:lvl>
    <w:lvl w:ilvl="3">
      <w:start w:val="0"/>
      <w:numFmt w:val="bullet"/>
      <w:lvlText w:val="•"/>
      <w:lvlJc w:val="left"/>
      <w:pPr>
        <w:ind w:left="4617" w:hanging="283"/>
      </w:pPr>
      <w:rPr>
        <w:rFonts w:hint="default"/>
        <w:lang w:val="en-US" w:eastAsia="zh-TW" w:bidi="ar-SA"/>
      </w:rPr>
    </w:lvl>
    <w:lvl w:ilvl="4">
      <w:start w:val="0"/>
      <w:numFmt w:val="bullet"/>
      <w:lvlText w:val="•"/>
      <w:lvlJc w:val="left"/>
      <w:pPr>
        <w:ind w:left="5370" w:hanging="283"/>
      </w:pPr>
      <w:rPr>
        <w:rFonts w:hint="default"/>
        <w:lang w:val="en-US" w:eastAsia="zh-TW" w:bidi="ar-SA"/>
      </w:rPr>
    </w:lvl>
    <w:lvl w:ilvl="5">
      <w:start w:val="0"/>
      <w:numFmt w:val="bullet"/>
      <w:lvlText w:val="•"/>
      <w:lvlJc w:val="left"/>
      <w:pPr>
        <w:ind w:left="6123" w:hanging="283"/>
      </w:pPr>
      <w:rPr>
        <w:rFonts w:hint="default"/>
        <w:lang w:val="en-US" w:eastAsia="zh-TW" w:bidi="ar-SA"/>
      </w:rPr>
    </w:lvl>
    <w:lvl w:ilvl="6">
      <w:start w:val="0"/>
      <w:numFmt w:val="bullet"/>
      <w:lvlText w:val="•"/>
      <w:lvlJc w:val="left"/>
      <w:pPr>
        <w:ind w:left="6875" w:hanging="283"/>
      </w:pPr>
      <w:rPr>
        <w:rFonts w:hint="default"/>
        <w:lang w:val="en-US" w:eastAsia="zh-TW" w:bidi="ar-SA"/>
      </w:rPr>
    </w:lvl>
    <w:lvl w:ilvl="7">
      <w:start w:val="0"/>
      <w:numFmt w:val="bullet"/>
      <w:lvlText w:val="•"/>
      <w:lvlJc w:val="left"/>
      <w:pPr>
        <w:ind w:left="7628" w:hanging="283"/>
      </w:pPr>
      <w:rPr>
        <w:rFonts w:hint="default"/>
        <w:lang w:val="en-US" w:eastAsia="zh-TW" w:bidi="ar-SA"/>
      </w:rPr>
    </w:lvl>
    <w:lvl w:ilvl="8">
      <w:start w:val="0"/>
      <w:numFmt w:val="bullet"/>
      <w:lvlText w:val="•"/>
      <w:lvlJc w:val="left"/>
      <w:pPr>
        <w:ind w:left="8381" w:hanging="283"/>
      </w:pPr>
      <w:rPr>
        <w:rFonts w:hint="default"/>
        <w:lang w:val="en-US" w:eastAsia="zh-TW" w:bidi="ar-SA"/>
      </w:rPr>
    </w:lvl>
  </w:abstractNum>
  <w:abstractNum w:abstractNumId="3">
    <w:multiLevelType w:val="hybridMultilevel"/>
    <w:lvl w:ilvl="0">
      <w:start w:val="1"/>
      <w:numFmt w:val="lowerLetter"/>
      <w:lvlText w:val="%1."/>
      <w:lvlJc w:val="left"/>
      <w:pPr>
        <w:ind w:left="2650" w:hanging="283"/>
        <w:jc w:val="left"/>
      </w:pPr>
      <w:rPr>
        <w:rFonts w:hint="default" w:ascii="SimSun" w:hAnsi="SimSun" w:eastAsia="SimSun" w:cs="SimSun"/>
        <w:spacing w:val="-2"/>
        <w:w w:val="100"/>
        <w:sz w:val="26"/>
        <w:szCs w:val="26"/>
        <w:lang w:val="en-US" w:eastAsia="zh-TW" w:bidi="ar-SA"/>
      </w:rPr>
    </w:lvl>
    <w:lvl w:ilvl="1">
      <w:start w:val="0"/>
      <w:numFmt w:val="bullet"/>
      <w:lvlText w:val="•"/>
      <w:lvlJc w:val="left"/>
      <w:pPr>
        <w:ind w:left="3382" w:hanging="283"/>
      </w:pPr>
      <w:rPr>
        <w:rFonts w:hint="default"/>
        <w:lang w:val="en-US" w:eastAsia="zh-TW" w:bidi="ar-SA"/>
      </w:rPr>
    </w:lvl>
    <w:lvl w:ilvl="2">
      <w:start w:val="0"/>
      <w:numFmt w:val="bullet"/>
      <w:lvlText w:val="•"/>
      <w:lvlJc w:val="left"/>
      <w:pPr>
        <w:ind w:left="4105" w:hanging="283"/>
      </w:pPr>
      <w:rPr>
        <w:rFonts w:hint="default"/>
        <w:lang w:val="en-US" w:eastAsia="zh-TW" w:bidi="ar-SA"/>
      </w:rPr>
    </w:lvl>
    <w:lvl w:ilvl="3">
      <w:start w:val="0"/>
      <w:numFmt w:val="bullet"/>
      <w:lvlText w:val="•"/>
      <w:lvlJc w:val="left"/>
      <w:pPr>
        <w:ind w:left="4827" w:hanging="283"/>
      </w:pPr>
      <w:rPr>
        <w:rFonts w:hint="default"/>
        <w:lang w:val="en-US" w:eastAsia="zh-TW" w:bidi="ar-SA"/>
      </w:rPr>
    </w:lvl>
    <w:lvl w:ilvl="4">
      <w:start w:val="0"/>
      <w:numFmt w:val="bullet"/>
      <w:lvlText w:val="•"/>
      <w:lvlJc w:val="left"/>
      <w:pPr>
        <w:ind w:left="5550" w:hanging="283"/>
      </w:pPr>
      <w:rPr>
        <w:rFonts w:hint="default"/>
        <w:lang w:val="en-US" w:eastAsia="zh-TW" w:bidi="ar-SA"/>
      </w:rPr>
    </w:lvl>
    <w:lvl w:ilvl="5">
      <w:start w:val="0"/>
      <w:numFmt w:val="bullet"/>
      <w:lvlText w:val="•"/>
      <w:lvlJc w:val="left"/>
      <w:pPr>
        <w:ind w:left="6273" w:hanging="283"/>
      </w:pPr>
      <w:rPr>
        <w:rFonts w:hint="default"/>
        <w:lang w:val="en-US" w:eastAsia="zh-TW" w:bidi="ar-SA"/>
      </w:rPr>
    </w:lvl>
    <w:lvl w:ilvl="6">
      <w:start w:val="0"/>
      <w:numFmt w:val="bullet"/>
      <w:lvlText w:val="•"/>
      <w:lvlJc w:val="left"/>
      <w:pPr>
        <w:ind w:left="6995" w:hanging="283"/>
      </w:pPr>
      <w:rPr>
        <w:rFonts w:hint="default"/>
        <w:lang w:val="en-US" w:eastAsia="zh-TW" w:bidi="ar-SA"/>
      </w:rPr>
    </w:lvl>
    <w:lvl w:ilvl="7">
      <w:start w:val="0"/>
      <w:numFmt w:val="bullet"/>
      <w:lvlText w:val="•"/>
      <w:lvlJc w:val="left"/>
      <w:pPr>
        <w:ind w:left="7718" w:hanging="283"/>
      </w:pPr>
      <w:rPr>
        <w:rFonts w:hint="default"/>
        <w:lang w:val="en-US" w:eastAsia="zh-TW" w:bidi="ar-SA"/>
      </w:rPr>
    </w:lvl>
    <w:lvl w:ilvl="8">
      <w:start w:val="0"/>
      <w:numFmt w:val="bullet"/>
      <w:lvlText w:val="•"/>
      <w:lvlJc w:val="left"/>
      <w:pPr>
        <w:ind w:left="8441" w:hanging="283"/>
      </w:pPr>
      <w:rPr>
        <w:rFonts w:hint="default"/>
        <w:lang w:val="en-US" w:eastAsia="zh-TW" w:bidi="ar-SA"/>
      </w:rPr>
    </w:lvl>
  </w:abstractNum>
  <w:abstractNum w:abstractNumId="2">
    <w:multiLevelType w:val="hybridMultilevel"/>
    <w:lvl w:ilvl="0">
      <w:start w:val="1"/>
      <w:numFmt w:val="decimal"/>
      <w:lvlText w:val="%1."/>
      <w:lvlJc w:val="left"/>
      <w:pPr>
        <w:ind w:left="2372" w:hanging="286"/>
        <w:jc w:val="left"/>
      </w:pPr>
      <w:rPr>
        <w:rFonts w:hint="default" w:ascii="SimSun" w:hAnsi="SimSun" w:eastAsia="SimSun" w:cs="SimSun"/>
        <w:spacing w:val="1"/>
        <w:w w:val="100"/>
        <w:sz w:val="26"/>
        <w:szCs w:val="26"/>
        <w:lang w:val="en-US" w:eastAsia="zh-TW" w:bidi="ar-SA"/>
      </w:rPr>
    </w:lvl>
    <w:lvl w:ilvl="1">
      <w:start w:val="1"/>
      <w:numFmt w:val="lowerLetter"/>
      <w:lvlText w:val="%2."/>
      <w:lvlJc w:val="left"/>
      <w:pPr>
        <w:ind w:left="2650" w:hanging="283"/>
        <w:jc w:val="left"/>
      </w:pPr>
      <w:rPr>
        <w:rFonts w:hint="default" w:ascii="SimSun" w:hAnsi="SimSun" w:eastAsia="SimSun" w:cs="SimSun"/>
        <w:spacing w:val="-2"/>
        <w:w w:val="100"/>
        <w:sz w:val="26"/>
        <w:szCs w:val="26"/>
        <w:lang w:val="en-US" w:eastAsia="zh-TW" w:bidi="ar-SA"/>
      </w:rPr>
    </w:lvl>
    <w:lvl w:ilvl="2">
      <w:start w:val="0"/>
      <w:numFmt w:val="bullet"/>
      <w:lvlText w:val="•"/>
      <w:lvlJc w:val="left"/>
      <w:pPr>
        <w:ind w:left="3462" w:hanging="283"/>
      </w:pPr>
      <w:rPr>
        <w:rFonts w:hint="default"/>
        <w:lang w:val="en-US" w:eastAsia="zh-TW" w:bidi="ar-SA"/>
      </w:rPr>
    </w:lvl>
    <w:lvl w:ilvl="3">
      <w:start w:val="0"/>
      <w:numFmt w:val="bullet"/>
      <w:lvlText w:val="•"/>
      <w:lvlJc w:val="left"/>
      <w:pPr>
        <w:ind w:left="4265" w:hanging="283"/>
      </w:pPr>
      <w:rPr>
        <w:rFonts w:hint="default"/>
        <w:lang w:val="en-US" w:eastAsia="zh-TW" w:bidi="ar-SA"/>
      </w:rPr>
    </w:lvl>
    <w:lvl w:ilvl="4">
      <w:start w:val="0"/>
      <w:numFmt w:val="bullet"/>
      <w:lvlText w:val="•"/>
      <w:lvlJc w:val="left"/>
      <w:pPr>
        <w:ind w:left="5068" w:hanging="283"/>
      </w:pPr>
      <w:rPr>
        <w:rFonts w:hint="default"/>
        <w:lang w:val="en-US" w:eastAsia="zh-TW" w:bidi="ar-SA"/>
      </w:rPr>
    </w:lvl>
    <w:lvl w:ilvl="5">
      <w:start w:val="0"/>
      <w:numFmt w:val="bullet"/>
      <w:lvlText w:val="•"/>
      <w:lvlJc w:val="left"/>
      <w:pPr>
        <w:ind w:left="5871" w:hanging="283"/>
      </w:pPr>
      <w:rPr>
        <w:rFonts w:hint="default"/>
        <w:lang w:val="en-US" w:eastAsia="zh-TW" w:bidi="ar-SA"/>
      </w:rPr>
    </w:lvl>
    <w:lvl w:ilvl="6">
      <w:start w:val="0"/>
      <w:numFmt w:val="bullet"/>
      <w:lvlText w:val="•"/>
      <w:lvlJc w:val="left"/>
      <w:pPr>
        <w:ind w:left="6674" w:hanging="283"/>
      </w:pPr>
      <w:rPr>
        <w:rFonts w:hint="default"/>
        <w:lang w:val="en-US" w:eastAsia="zh-TW" w:bidi="ar-SA"/>
      </w:rPr>
    </w:lvl>
    <w:lvl w:ilvl="7">
      <w:start w:val="0"/>
      <w:numFmt w:val="bullet"/>
      <w:lvlText w:val="•"/>
      <w:lvlJc w:val="left"/>
      <w:pPr>
        <w:ind w:left="7477" w:hanging="283"/>
      </w:pPr>
      <w:rPr>
        <w:rFonts w:hint="default"/>
        <w:lang w:val="en-US" w:eastAsia="zh-TW" w:bidi="ar-SA"/>
      </w:rPr>
    </w:lvl>
    <w:lvl w:ilvl="8">
      <w:start w:val="0"/>
      <w:numFmt w:val="bullet"/>
      <w:lvlText w:val="•"/>
      <w:lvlJc w:val="left"/>
      <w:pPr>
        <w:ind w:left="8280" w:hanging="283"/>
      </w:pPr>
      <w:rPr>
        <w:rFonts w:hint="default"/>
        <w:lang w:val="en-US" w:eastAsia="zh-TW" w:bidi="ar-SA"/>
      </w:rPr>
    </w:lvl>
  </w:abstractNum>
  <w:abstractNum w:abstractNumId="1">
    <w:multiLevelType w:val="hybridMultilevel"/>
    <w:lvl w:ilvl="0">
      <w:start w:val="1"/>
      <w:numFmt w:val="decimal"/>
      <w:lvlText w:val="%1."/>
      <w:lvlJc w:val="left"/>
      <w:pPr>
        <w:ind w:left="2372" w:hanging="286"/>
        <w:jc w:val="left"/>
      </w:pPr>
      <w:rPr>
        <w:rFonts w:hint="default" w:ascii="SimSun" w:hAnsi="SimSun" w:eastAsia="SimSun" w:cs="SimSun"/>
        <w:spacing w:val="1"/>
        <w:w w:val="100"/>
        <w:sz w:val="26"/>
        <w:szCs w:val="26"/>
        <w:lang w:val="en-US" w:eastAsia="zh-TW" w:bidi="ar-SA"/>
      </w:rPr>
    </w:lvl>
    <w:lvl w:ilvl="1">
      <w:start w:val="0"/>
      <w:numFmt w:val="bullet"/>
      <w:lvlText w:val="•"/>
      <w:lvlJc w:val="left"/>
      <w:pPr>
        <w:ind w:left="3130" w:hanging="286"/>
      </w:pPr>
      <w:rPr>
        <w:rFonts w:hint="default"/>
        <w:lang w:val="en-US" w:eastAsia="zh-TW" w:bidi="ar-SA"/>
      </w:rPr>
    </w:lvl>
    <w:lvl w:ilvl="2">
      <w:start w:val="0"/>
      <w:numFmt w:val="bullet"/>
      <w:lvlText w:val="•"/>
      <w:lvlJc w:val="left"/>
      <w:pPr>
        <w:ind w:left="3881" w:hanging="286"/>
      </w:pPr>
      <w:rPr>
        <w:rFonts w:hint="default"/>
        <w:lang w:val="en-US" w:eastAsia="zh-TW" w:bidi="ar-SA"/>
      </w:rPr>
    </w:lvl>
    <w:lvl w:ilvl="3">
      <w:start w:val="0"/>
      <w:numFmt w:val="bullet"/>
      <w:lvlText w:val="•"/>
      <w:lvlJc w:val="left"/>
      <w:pPr>
        <w:ind w:left="4631" w:hanging="286"/>
      </w:pPr>
      <w:rPr>
        <w:rFonts w:hint="default"/>
        <w:lang w:val="en-US" w:eastAsia="zh-TW" w:bidi="ar-SA"/>
      </w:rPr>
    </w:lvl>
    <w:lvl w:ilvl="4">
      <w:start w:val="0"/>
      <w:numFmt w:val="bullet"/>
      <w:lvlText w:val="•"/>
      <w:lvlJc w:val="left"/>
      <w:pPr>
        <w:ind w:left="5382" w:hanging="286"/>
      </w:pPr>
      <w:rPr>
        <w:rFonts w:hint="default"/>
        <w:lang w:val="en-US" w:eastAsia="zh-TW" w:bidi="ar-SA"/>
      </w:rPr>
    </w:lvl>
    <w:lvl w:ilvl="5">
      <w:start w:val="0"/>
      <w:numFmt w:val="bullet"/>
      <w:lvlText w:val="•"/>
      <w:lvlJc w:val="left"/>
      <w:pPr>
        <w:ind w:left="6133" w:hanging="286"/>
      </w:pPr>
      <w:rPr>
        <w:rFonts w:hint="default"/>
        <w:lang w:val="en-US" w:eastAsia="zh-TW" w:bidi="ar-SA"/>
      </w:rPr>
    </w:lvl>
    <w:lvl w:ilvl="6">
      <w:start w:val="0"/>
      <w:numFmt w:val="bullet"/>
      <w:lvlText w:val="•"/>
      <w:lvlJc w:val="left"/>
      <w:pPr>
        <w:ind w:left="6883" w:hanging="286"/>
      </w:pPr>
      <w:rPr>
        <w:rFonts w:hint="default"/>
        <w:lang w:val="en-US" w:eastAsia="zh-TW" w:bidi="ar-SA"/>
      </w:rPr>
    </w:lvl>
    <w:lvl w:ilvl="7">
      <w:start w:val="0"/>
      <w:numFmt w:val="bullet"/>
      <w:lvlText w:val="•"/>
      <w:lvlJc w:val="left"/>
      <w:pPr>
        <w:ind w:left="7634" w:hanging="286"/>
      </w:pPr>
      <w:rPr>
        <w:rFonts w:hint="default"/>
        <w:lang w:val="en-US" w:eastAsia="zh-TW" w:bidi="ar-SA"/>
      </w:rPr>
    </w:lvl>
    <w:lvl w:ilvl="8">
      <w:start w:val="0"/>
      <w:numFmt w:val="bullet"/>
      <w:lvlText w:val="•"/>
      <w:lvlJc w:val="left"/>
      <w:pPr>
        <w:ind w:left="8385" w:hanging="286"/>
      </w:pPr>
      <w:rPr>
        <w:rFonts w:hint="default"/>
        <w:lang w:val="en-US" w:eastAsia="zh-TW" w:bidi="ar-SA"/>
      </w:rPr>
    </w:lvl>
  </w:abstractNum>
  <w:abstractNum w:abstractNumId="0">
    <w:multiLevelType w:val="hybridMultilevel"/>
    <w:lvl w:ilvl="0">
      <w:start w:val="1"/>
      <w:numFmt w:val="decimal"/>
      <w:lvlText w:val="%1."/>
      <w:lvlJc w:val="left"/>
      <w:pPr>
        <w:ind w:left="2362" w:hanging="283"/>
        <w:jc w:val="left"/>
      </w:pPr>
      <w:rPr>
        <w:rFonts w:hint="default" w:ascii="SimSun" w:hAnsi="SimSun" w:eastAsia="SimSun" w:cs="SimSun"/>
        <w:spacing w:val="-2"/>
        <w:w w:val="100"/>
        <w:sz w:val="26"/>
        <w:szCs w:val="26"/>
        <w:lang w:val="en-US" w:eastAsia="zh-TW" w:bidi="ar-SA"/>
      </w:rPr>
    </w:lvl>
    <w:lvl w:ilvl="1">
      <w:start w:val="0"/>
      <w:numFmt w:val="bullet"/>
      <w:lvlText w:val="•"/>
      <w:lvlJc w:val="left"/>
      <w:pPr>
        <w:ind w:left="3112" w:hanging="283"/>
      </w:pPr>
      <w:rPr>
        <w:rFonts w:hint="default"/>
        <w:lang w:val="en-US" w:eastAsia="zh-TW" w:bidi="ar-SA"/>
      </w:rPr>
    </w:lvl>
    <w:lvl w:ilvl="2">
      <w:start w:val="0"/>
      <w:numFmt w:val="bullet"/>
      <w:lvlText w:val="•"/>
      <w:lvlJc w:val="left"/>
      <w:pPr>
        <w:ind w:left="3865" w:hanging="283"/>
      </w:pPr>
      <w:rPr>
        <w:rFonts w:hint="default"/>
        <w:lang w:val="en-US" w:eastAsia="zh-TW" w:bidi="ar-SA"/>
      </w:rPr>
    </w:lvl>
    <w:lvl w:ilvl="3">
      <w:start w:val="0"/>
      <w:numFmt w:val="bullet"/>
      <w:lvlText w:val="•"/>
      <w:lvlJc w:val="left"/>
      <w:pPr>
        <w:ind w:left="4617" w:hanging="283"/>
      </w:pPr>
      <w:rPr>
        <w:rFonts w:hint="default"/>
        <w:lang w:val="en-US" w:eastAsia="zh-TW" w:bidi="ar-SA"/>
      </w:rPr>
    </w:lvl>
    <w:lvl w:ilvl="4">
      <w:start w:val="0"/>
      <w:numFmt w:val="bullet"/>
      <w:lvlText w:val="•"/>
      <w:lvlJc w:val="left"/>
      <w:pPr>
        <w:ind w:left="5370" w:hanging="283"/>
      </w:pPr>
      <w:rPr>
        <w:rFonts w:hint="default"/>
        <w:lang w:val="en-US" w:eastAsia="zh-TW" w:bidi="ar-SA"/>
      </w:rPr>
    </w:lvl>
    <w:lvl w:ilvl="5">
      <w:start w:val="0"/>
      <w:numFmt w:val="bullet"/>
      <w:lvlText w:val="•"/>
      <w:lvlJc w:val="left"/>
      <w:pPr>
        <w:ind w:left="6123" w:hanging="283"/>
      </w:pPr>
      <w:rPr>
        <w:rFonts w:hint="default"/>
        <w:lang w:val="en-US" w:eastAsia="zh-TW" w:bidi="ar-SA"/>
      </w:rPr>
    </w:lvl>
    <w:lvl w:ilvl="6">
      <w:start w:val="0"/>
      <w:numFmt w:val="bullet"/>
      <w:lvlText w:val="•"/>
      <w:lvlJc w:val="left"/>
      <w:pPr>
        <w:ind w:left="6875" w:hanging="283"/>
      </w:pPr>
      <w:rPr>
        <w:rFonts w:hint="default"/>
        <w:lang w:val="en-US" w:eastAsia="zh-TW" w:bidi="ar-SA"/>
      </w:rPr>
    </w:lvl>
    <w:lvl w:ilvl="7">
      <w:start w:val="0"/>
      <w:numFmt w:val="bullet"/>
      <w:lvlText w:val="•"/>
      <w:lvlJc w:val="left"/>
      <w:pPr>
        <w:ind w:left="7628" w:hanging="283"/>
      </w:pPr>
      <w:rPr>
        <w:rFonts w:hint="default"/>
        <w:lang w:val="en-US" w:eastAsia="zh-TW" w:bidi="ar-SA"/>
      </w:rPr>
    </w:lvl>
    <w:lvl w:ilvl="8">
      <w:start w:val="0"/>
      <w:numFmt w:val="bullet"/>
      <w:lvlText w:val="•"/>
      <w:lvlJc w:val="left"/>
      <w:pPr>
        <w:ind w:left="8381" w:hanging="283"/>
      </w:pPr>
      <w:rPr>
        <w:rFonts w:hint="default"/>
        <w:lang w:val="en-US" w:eastAsia="zh-TW"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944"/>
    </w:pPr>
    <w:rPr>
      <w:rFonts w:ascii="SimSun" w:hAnsi="SimSun" w:eastAsia="SimSun" w:cs="SimSun"/>
      <w:sz w:val="28"/>
      <w:szCs w:val="28"/>
      <w:lang w:val="en-US" w:eastAsia="zh-TW" w:bidi="ar-SA"/>
    </w:rPr>
  </w:style>
  <w:style w:styleId="Heading1" w:type="paragraph">
    <w:name w:val="Heading 1"/>
    <w:basedOn w:val="Normal"/>
    <w:uiPriority w:val="1"/>
    <w:qFormat/>
    <w:pPr>
      <w:spacing w:line="486" w:lineRule="exact"/>
      <w:ind w:left="132"/>
      <w:outlineLvl w:val="1"/>
    </w:pPr>
    <w:rPr>
      <w:rFonts w:ascii="Microsoft JhengHei" w:hAnsi="Microsoft JhengHei" w:eastAsia="Microsoft JhengHei" w:cs="Microsoft JhengHei"/>
      <w:b/>
      <w:bCs/>
      <w:sz w:val="28"/>
      <w:szCs w:val="28"/>
      <w:lang w:val="en-US" w:eastAsia="zh-TW" w:bidi="ar-SA"/>
    </w:rPr>
  </w:style>
  <w:style w:styleId="Title" w:type="paragraph">
    <w:name w:val="Title"/>
    <w:basedOn w:val="Normal"/>
    <w:uiPriority w:val="1"/>
    <w:qFormat/>
    <w:pPr>
      <w:spacing w:line="575" w:lineRule="exact"/>
      <w:ind w:left="132"/>
    </w:pPr>
    <w:rPr>
      <w:rFonts w:ascii="Microsoft JhengHei" w:hAnsi="Microsoft JhengHei" w:eastAsia="Microsoft JhengHei" w:cs="Microsoft JhengHei"/>
      <w:b/>
      <w:bCs/>
      <w:sz w:val="44"/>
      <w:szCs w:val="44"/>
      <w:lang w:val="en-US" w:eastAsia="zh-TW" w:bidi="ar-SA"/>
    </w:rPr>
  </w:style>
  <w:style w:styleId="ListParagraph" w:type="paragraph">
    <w:name w:val="List Paragraph"/>
    <w:basedOn w:val="Normal"/>
    <w:uiPriority w:val="1"/>
    <w:qFormat/>
    <w:pPr>
      <w:ind w:left="2362" w:hanging="284"/>
    </w:pPr>
    <w:rPr>
      <w:rFonts w:ascii="SimSun" w:hAnsi="SimSun" w:eastAsia="SimSun" w:cs="SimSun"/>
      <w:lang w:val="en-US" w:eastAsia="zh-TW" w:bidi="ar-SA"/>
    </w:rPr>
  </w:style>
  <w:style w:styleId="TableParagraph" w:type="paragraph">
    <w:name w:val="Table Paragraph"/>
    <w:basedOn w:val="Normal"/>
    <w:uiPriority w:val="1"/>
    <w:qFormat/>
    <w:pPr>
      <w:spacing w:line="216" w:lineRule="exact"/>
      <w:ind w:left="428" w:right="171"/>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2023-11-01T01:27:40Z</dcterms:created>
  <dcterms:modified xsi:type="dcterms:W3CDTF">2023-11-01T01:27:40Z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2023-01-03T00:00:00Z</vt:filetime>
  </property>
  <property fmtid="{D5CDD505-2E9C-101B-9397-08002B2CF9AE}" pid="3" name="Creator">
    <vt:lpwstr>Microsoft® Word 2016</vt:lpwstr>
  </property>
  <property fmtid="{D5CDD505-2E9C-101B-9397-08002B2CF9AE}" pid="4" name="LastSaved">
    <vt:filetime>2023-11-01T00:00:00Z</vt:filetime>
  </property>
</Properties>
</file>