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w w:val="95"/>
        </w:rPr>
        <w:t>國泰人壽樂平安傷害保險</w:t>
      </w:r>
    </w:p>
    <w:p>
      <w:pPr>
        <w:pStyle w:val="Heading1"/>
        <w:spacing w:line="170" w:lineRule="auto" w:before="18"/>
        <w:ind w:left="434" w:right="250" w:hanging="282"/>
        <w:jc w:val="both"/>
      </w:pPr>
      <w:r>
        <w:rPr/>
        <w:t>（給付項目：意外事故身故保險金或喪葬費用保險金、意外事故失能保險金、每月生活照護保險金、重大燒燙傷保險金、意外骨折保險金、傷害醫療日額保險金、意外創傷縫合處置保險金）</w:t>
      </w:r>
    </w:p>
    <w:p>
      <w:pPr>
        <w:spacing w:line="170" w:lineRule="auto" w:before="0"/>
        <w:ind w:left="434" w:right="251" w:hanging="282"/>
        <w:jc w:val="both"/>
        <w:rPr>
          <w:rFonts w:ascii="Microsoft JhengHei" w:eastAsia="Microsoft JhengHei" w:hint="eastAsia"/>
          <w:b/>
          <w:sz w:val="28"/>
        </w:rPr>
      </w:pPr>
      <w:r>
        <w:rPr>
          <w:rFonts w:ascii="Microsoft JhengHei" w:eastAsia="Microsoft JhengHei" w:hint="eastAsia"/>
          <w:b/>
          <w:w w:val="95"/>
          <w:sz w:val="28"/>
        </w:rPr>
        <w:t>（</w:t>
      </w:r>
      <w:r>
        <w:rPr>
          <w:rFonts w:ascii="Microsoft JhengHei" w:eastAsia="Microsoft JhengHei" w:hint="eastAsia"/>
          <w:b/>
          <w:spacing w:val="4"/>
          <w:w w:val="95"/>
          <w:sz w:val="28"/>
        </w:rPr>
        <w:t>申訴電話：市話免費撥打 </w:t>
      </w:r>
      <w:r>
        <w:rPr>
          <w:rFonts w:ascii="Microsoft JhengHei" w:eastAsia="Microsoft JhengHei" w:hint="eastAsia"/>
          <w:b/>
          <w:w w:val="95"/>
          <w:sz w:val="28"/>
        </w:rPr>
        <w:t>0800-036-599</w:t>
      </w:r>
      <w:r>
        <w:rPr>
          <w:rFonts w:ascii="Microsoft JhengHei" w:eastAsia="Microsoft JhengHei" w:hint="eastAsia"/>
          <w:b/>
          <w:spacing w:val="9"/>
          <w:w w:val="95"/>
          <w:sz w:val="28"/>
        </w:rPr>
        <w:t>、付費撥打 </w:t>
      </w:r>
      <w:r>
        <w:rPr>
          <w:rFonts w:ascii="Microsoft JhengHei" w:eastAsia="Microsoft JhengHei" w:hint="eastAsia"/>
          <w:b/>
          <w:w w:val="95"/>
          <w:sz w:val="28"/>
        </w:rPr>
        <w:t>02-2162-6201；傳真：</w:t>
      </w:r>
      <w:r>
        <w:rPr>
          <w:rFonts w:ascii="Microsoft JhengHei" w:eastAsia="Microsoft JhengHei" w:hint="eastAsia"/>
          <w:b/>
          <w:spacing w:val="-65"/>
          <w:w w:val="95"/>
          <w:sz w:val="28"/>
        </w:rPr>
        <w:t> </w:t>
      </w:r>
      <w:r>
        <w:rPr>
          <w:rFonts w:ascii="Microsoft JhengHei" w:eastAsia="Microsoft JhengHei" w:hint="eastAsia"/>
          <w:b/>
          <w:w w:val="84"/>
          <w:sz w:val="28"/>
        </w:rPr>
        <w:t>0</w:t>
      </w:r>
      <w:r>
        <w:rPr>
          <w:rFonts w:ascii="Microsoft JhengHei" w:eastAsia="Microsoft JhengHei" w:hint="eastAsia"/>
          <w:b/>
          <w:spacing w:val="-2"/>
          <w:w w:val="84"/>
          <w:sz w:val="28"/>
        </w:rPr>
        <w:t>8</w:t>
      </w:r>
      <w:r>
        <w:rPr>
          <w:rFonts w:ascii="Microsoft JhengHei" w:eastAsia="Microsoft JhengHei" w:hint="eastAsia"/>
          <w:b/>
          <w:w w:val="84"/>
          <w:sz w:val="28"/>
        </w:rPr>
        <w:t>0</w:t>
      </w:r>
      <w:r>
        <w:rPr>
          <w:rFonts w:ascii="Microsoft JhengHei" w:eastAsia="Microsoft JhengHei" w:hint="eastAsia"/>
          <w:b/>
          <w:spacing w:val="-1"/>
          <w:w w:val="84"/>
          <w:sz w:val="28"/>
        </w:rPr>
        <w:t>0</w:t>
      </w:r>
      <w:r>
        <w:rPr>
          <w:rFonts w:ascii="Microsoft JhengHei" w:eastAsia="Microsoft JhengHei" w:hint="eastAsia"/>
          <w:b/>
          <w:spacing w:val="1"/>
          <w:w w:val="115"/>
          <w:sz w:val="28"/>
        </w:rPr>
        <w:t>-</w:t>
      </w:r>
      <w:r>
        <w:rPr>
          <w:rFonts w:ascii="Microsoft JhengHei" w:eastAsia="Microsoft JhengHei" w:hint="eastAsia"/>
          <w:b/>
          <w:spacing w:val="-2"/>
          <w:w w:val="84"/>
          <w:sz w:val="28"/>
        </w:rPr>
        <w:t>2</w:t>
      </w:r>
      <w:r>
        <w:rPr>
          <w:rFonts w:ascii="Microsoft JhengHei" w:eastAsia="Microsoft JhengHei" w:hint="eastAsia"/>
          <w:b/>
          <w:w w:val="84"/>
          <w:sz w:val="28"/>
        </w:rPr>
        <w:t>1</w:t>
      </w:r>
      <w:r>
        <w:rPr>
          <w:rFonts w:ascii="Microsoft JhengHei" w:eastAsia="Microsoft JhengHei" w:hint="eastAsia"/>
          <w:b/>
          <w:spacing w:val="-1"/>
          <w:w w:val="84"/>
          <w:sz w:val="28"/>
        </w:rPr>
        <w:t>1</w:t>
      </w:r>
      <w:r>
        <w:rPr>
          <w:rFonts w:ascii="Microsoft JhengHei" w:eastAsia="Microsoft JhengHei" w:hint="eastAsia"/>
          <w:b/>
          <w:spacing w:val="1"/>
          <w:w w:val="115"/>
          <w:sz w:val="28"/>
        </w:rPr>
        <w:t>-</w:t>
      </w:r>
      <w:r>
        <w:rPr>
          <w:rFonts w:ascii="Microsoft JhengHei" w:eastAsia="Microsoft JhengHei" w:hint="eastAsia"/>
          <w:b/>
          <w:spacing w:val="-2"/>
          <w:w w:val="84"/>
          <w:sz w:val="28"/>
        </w:rPr>
        <w:t>568</w:t>
      </w:r>
      <w:r>
        <w:rPr>
          <w:rFonts w:ascii="Microsoft JhengHei" w:eastAsia="Microsoft JhengHei" w:hint="eastAsia"/>
          <w:b/>
          <w:w w:val="100"/>
          <w:sz w:val="28"/>
        </w:rPr>
        <w:t>；電子信箱</w:t>
      </w:r>
      <w:r>
        <w:rPr>
          <w:rFonts w:ascii="Microsoft JhengHei" w:eastAsia="Microsoft JhengHei" w:hint="eastAsia"/>
          <w:b/>
          <w:spacing w:val="-2"/>
          <w:w w:val="110"/>
          <w:sz w:val="28"/>
        </w:rPr>
        <w:t>(</w:t>
      </w:r>
      <w:r>
        <w:rPr>
          <w:rFonts w:ascii="Microsoft JhengHei" w:eastAsia="Microsoft JhengHei" w:hint="eastAsia"/>
          <w:b/>
          <w:spacing w:val="1"/>
          <w:w w:val="110"/>
          <w:sz w:val="28"/>
        </w:rPr>
        <w:t>E</w:t>
      </w:r>
      <w:r>
        <w:rPr>
          <w:rFonts w:ascii="Microsoft JhengHei" w:eastAsia="Microsoft JhengHei" w:hint="eastAsia"/>
          <w:b/>
          <w:spacing w:val="-2"/>
          <w:w w:val="115"/>
          <w:sz w:val="28"/>
        </w:rPr>
        <w:t>-</w:t>
      </w:r>
      <w:r>
        <w:rPr>
          <w:rFonts w:ascii="Microsoft JhengHei" w:eastAsia="Microsoft JhengHei" w:hint="eastAsia"/>
          <w:b/>
          <w:w w:val="52"/>
          <w:sz w:val="28"/>
        </w:rPr>
        <w:t>m</w:t>
      </w:r>
      <w:r>
        <w:rPr>
          <w:rFonts w:ascii="Microsoft JhengHei" w:eastAsia="Microsoft JhengHei" w:hint="eastAsia"/>
          <w:b/>
          <w:spacing w:val="-2"/>
          <w:w w:val="89"/>
          <w:sz w:val="28"/>
        </w:rPr>
        <w:t>a</w:t>
      </w:r>
      <w:r>
        <w:rPr>
          <w:rFonts w:ascii="Microsoft JhengHei" w:eastAsia="Microsoft JhengHei" w:hint="eastAsia"/>
          <w:b/>
          <w:w w:val="182"/>
          <w:sz w:val="28"/>
        </w:rPr>
        <w:t>i</w:t>
      </w:r>
      <w:r>
        <w:rPr>
          <w:rFonts w:ascii="Microsoft JhengHei" w:eastAsia="Microsoft JhengHei" w:hint="eastAsia"/>
          <w:b/>
          <w:spacing w:val="-2"/>
          <w:w w:val="182"/>
          <w:sz w:val="28"/>
        </w:rPr>
        <w:t>l</w:t>
      </w:r>
      <w:r>
        <w:rPr>
          <w:rFonts w:ascii="Microsoft JhengHei" w:eastAsia="Microsoft JhengHei" w:hint="eastAsia"/>
          <w:b/>
          <w:spacing w:val="-1"/>
          <w:w w:val="142"/>
          <w:sz w:val="28"/>
        </w:rPr>
        <w:t>)</w:t>
      </w:r>
      <w:r>
        <w:rPr>
          <w:rFonts w:ascii="Microsoft JhengHei" w:eastAsia="Microsoft JhengHei" w:hint="eastAsia"/>
          <w:b/>
          <w:w w:val="100"/>
          <w:sz w:val="28"/>
        </w:rPr>
        <w:t>：</w:t>
      </w:r>
      <w:hyperlink r:id="rId6">
        <w:r>
          <w:rPr>
            <w:rFonts w:ascii="Microsoft JhengHei" w:eastAsia="Microsoft JhengHei" w:hint="eastAsia"/>
            <w:b/>
            <w:spacing w:val="-2"/>
            <w:w w:val="106"/>
            <w:sz w:val="28"/>
          </w:rPr>
          <w:t>s</w:t>
        </w:r>
        <w:r>
          <w:rPr>
            <w:rFonts w:ascii="Microsoft JhengHei" w:eastAsia="Microsoft JhengHei" w:hint="eastAsia"/>
            <w:b/>
            <w:w w:val="87"/>
            <w:sz w:val="28"/>
          </w:rPr>
          <w:t>e</w:t>
        </w:r>
        <w:r>
          <w:rPr>
            <w:rFonts w:ascii="Microsoft JhengHei" w:eastAsia="Microsoft JhengHei" w:hint="eastAsia"/>
            <w:b/>
            <w:spacing w:val="-2"/>
            <w:w w:val="127"/>
            <w:sz w:val="28"/>
          </w:rPr>
          <w:t>r</w:t>
        </w:r>
        <w:r>
          <w:rPr>
            <w:rFonts w:ascii="Microsoft JhengHei" w:eastAsia="Microsoft JhengHei" w:hint="eastAsia"/>
            <w:b/>
            <w:w w:val="92"/>
            <w:sz w:val="28"/>
          </w:rPr>
          <w:t>v</w:t>
        </w:r>
        <w:r>
          <w:rPr>
            <w:rFonts w:ascii="Microsoft JhengHei" w:eastAsia="Microsoft JhengHei" w:hint="eastAsia"/>
            <w:b/>
            <w:spacing w:val="-2"/>
            <w:w w:val="182"/>
            <w:sz w:val="28"/>
          </w:rPr>
          <w:t>i</w:t>
        </w:r>
        <w:r>
          <w:rPr>
            <w:rFonts w:ascii="Microsoft JhengHei" w:eastAsia="Microsoft JhengHei" w:hint="eastAsia"/>
            <w:b/>
            <w:w w:val="99"/>
            <w:sz w:val="28"/>
          </w:rPr>
          <w:t>c</w:t>
        </w:r>
        <w:r>
          <w:rPr>
            <w:rFonts w:ascii="Microsoft JhengHei" w:eastAsia="Microsoft JhengHei" w:hint="eastAsia"/>
            <w:b/>
            <w:spacing w:val="-2"/>
            <w:w w:val="87"/>
            <w:sz w:val="28"/>
          </w:rPr>
          <w:t>e</w:t>
        </w:r>
        <w:r>
          <w:rPr>
            <w:rFonts w:ascii="Microsoft JhengHei" w:eastAsia="Microsoft JhengHei" w:hint="eastAsia"/>
            <w:b/>
            <w:w w:val="48"/>
            <w:sz w:val="28"/>
          </w:rPr>
          <w:t>@</w:t>
        </w:r>
        <w:r>
          <w:rPr>
            <w:rFonts w:ascii="Microsoft JhengHei" w:eastAsia="Microsoft JhengHei" w:hint="eastAsia"/>
            <w:b/>
            <w:spacing w:val="-2"/>
            <w:w w:val="99"/>
            <w:sz w:val="28"/>
          </w:rPr>
          <w:t>c</w:t>
        </w:r>
        <w:r>
          <w:rPr>
            <w:rFonts w:ascii="Microsoft JhengHei" w:eastAsia="Microsoft JhengHei" w:hint="eastAsia"/>
            <w:b/>
            <w:w w:val="89"/>
            <w:sz w:val="28"/>
          </w:rPr>
          <w:t>a</w:t>
        </w:r>
        <w:r>
          <w:rPr>
            <w:rFonts w:ascii="Microsoft JhengHei" w:eastAsia="Microsoft JhengHei" w:hint="eastAsia"/>
            <w:b/>
            <w:spacing w:val="-2"/>
            <w:w w:val="130"/>
            <w:sz w:val="28"/>
          </w:rPr>
          <w:t>t</w:t>
        </w:r>
        <w:r>
          <w:rPr>
            <w:rFonts w:ascii="Microsoft JhengHei" w:eastAsia="Microsoft JhengHei" w:hint="eastAsia"/>
            <w:b/>
            <w:spacing w:val="-2"/>
            <w:w w:val="80"/>
            <w:sz w:val="28"/>
          </w:rPr>
          <w:t>h</w:t>
        </w:r>
        <w:r>
          <w:rPr>
            <w:rFonts w:ascii="Microsoft JhengHei" w:eastAsia="Microsoft JhengHei" w:hint="eastAsia"/>
            <w:b/>
            <w:w w:val="89"/>
            <w:sz w:val="28"/>
          </w:rPr>
          <w:t>a</w:t>
        </w:r>
        <w:r>
          <w:rPr>
            <w:rFonts w:ascii="Microsoft JhengHei" w:eastAsia="Microsoft JhengHei" w:hint="eastAsia"/>
            <w:b/>
            <w:spacing w:val="-2"/>
            <w:w w:val="92"/>
            <w:sz w:val="28"/>
          </w:rPr>
          <w:t>y</w:t>
        </w:r>
        <w:r>
          <w:rPr>
            <w:rFonts w:ascii="Microsoft JhengHei" w:eastAsia="Microsoft JhengHei" w:hint="eastAsia"/>
            <w:b/>
            <w:w w:val="182"/>
            <w:sz w:val="28"/>
          </w:rPr>
          <w:t>l</w:t>
        </w:r>
        <w:r>
          <w:rPr>
            <w:rFonts w:ascii="Microsoft JhengHei" w:eastAsia="Microsoft JhengHei" w:hint="eastAsia"/>
            <w:b/>
            <w:spacing w:val="-2"/>
            <w:w w:val="182"/>
            <w:sz w:val="28"/>
          </w:rPr>
          <w:t>i</w:t>
        </w:r>
        <w:r>
          <w:rPr>
            <w:rFonts w:ascii="Microsoft JhengHei" w:eastAsia="Microsoft JhengHei" w:hint="eastAsia"/>
            <w:b/>
            <w:w w:val="137"/>
            <w:sz w:val="28"/>
          </w:rPr>
          <w:t>f</w:t>
        </w:r>
        <w:r>
          <w:rPr>
            <w:rFonts w:ascii="Microsoft JhengHei" w:eastAsia="Microsoft JhengHei" w:hint="eastAsia"/>
            <w:b/>
            <w:spacing w:val="-2"/>
            <w:w w:val="87"/>
            <w:sz w:val="28"/>
          </w:rPr>
          <w:t>e</w:t>
        </w:r>
        <w:r>
          <w:rPr>
            <w:rFonts w:ascii="Microsoft JhengHei" w:eastAsia="Microsoft JhengHei" w:hint="eastAsia"/>
            <w:b/>
            <w:w w:val="197"/>
            <w:sz w:val="28"/>
          </w:rPr>
          <w:t>.</w:t>
        </w:r>
        <w:r>
          <w:rPr>
            <w:rFonts w:ascii="Microsoft JhengHei" w:eastAsia="Microsoft JhengHei" w:hint="eastAsia"/>
            <w:b/>
            <w:spacing w:val="-2"/>
            <w:w w:val="99"/>
            <w:sz w:val="28"/>
          </w:rPr>
          <w:t>c</w:t>
        </w:r>
        <w:r>
          <w:rPr>
            <w:rFonts w:ascii="Microsoft JhengHei" w:eastAsia="Microsoft JhengHei" w:hint="eastAsia"/>
            <w:b/>
            <w:w w:val="78"/>
            <w:sz w:val="28"/>
          </w:rPr>
          <w:t>o</w:t>
        </w:r>
        <w:r>
          <w:rPr>
            <w:rFonts w:ascii="Microsoft JhengHei" w:eastAsia="Microsoft JhengHei" w:hint="eastAsia"/>
            <w:b/>
            <w:spacing w:val="-2"/>
            <w:w w:val="52"/>
            <w:sz w:val="28"/>
          </w:rPr>
          <w:t>m</w:t>
        </w:r>
        <w:r>
          <w:rPr>
            <w:rFonts w:ascii="Microsoft JhengHei" w:eastAsia="Microsoft JhengHei" w:hint="eastAsia"/>
            <w:b/>
            <w:w w:val="197"/>
            <w:sz w:val="28"/>
          </w:rPr>
          <w:t>.</w:t>
        </w:r>
        <w:r>
          <w:rPr>
            <w:rFonts w:ascii="Microsoft JhengHei" w:eastAsia="Microsoft JhengHei" w:hint="eastAsia"/>
            <w:b/>
            <w:spacing w:val="-2"/>
            <w:w w:val="130"/>
            <w:sz w:val="28"/>
          </w:rPr>
          <w:t>t</w:t>
        </w:r>
        <w:r>
          <w:rPr>
            <w:rFonts w:ascii="Microsoft JhengHei" w:eastAsia="Microsoft JhengHei" w:hint="eastAsia"/>
            <w:b/>
            <w:spacing w:val="2"/>
            <w:w w:val="62"/>
            <w:sz w:val="28"/>
          </w:rPr>
          <w:t>w</w:t>
        </w:r>
      </w:hyperlink>
      <w:r>
        <w:rPr>
          <w:rFonts w:ascii="Microsoft JhengHei" w:eastAsia="Microsoft JhengHei" w:hint="eastAsia"/>
          <w:b/>
          <w:w w:val="100"/>
          <w:sz w:val="28"/>
        </w:rPr>
        <w:t>）</w:t>
      </w:r>
    </w:p>
    <w:p>
      <w:pPr>
        <w:pStyle w:val="BodyText"/>
        <w:spacing w:before="12"/>
        <w:ind w:left="0"/>
        <w:rPr>
          <w:rFonts w:ascii="Microsoft JhengHei"/>
          <w:b/>
          <w:sz w:val="18"/>
        </w:rPr>
      </w:pPr>
    </w:p>
    <w:p>
      <w:pPr>
        <w:pStyle w:val="BodyText"/>
        <w:ind w:left="152"/>
      </w:pPr>
      <w:r>
        <w:rPr/>
        <w:t>109.05.14國壽字第109050001號函備查</w:t>
      </w:r>
    </w:p>
    <w:p>
      <w:pPr>
        <w:pStyle w:val="BodyText"/>
        <w:spacing w:before="4"/>
        <w:ind w:left="152"/>
      </w:pPr>
      <w:r>
        <w:rPr/>
        <w:t>109.09.01依109.07.08金管保壽字第1090423012號函修正</w:t>
      </w:r>
    </w:p>
    <w:p>
      <w:pPr>
        <w:pStyle w:val="BodyText"/>
        <w:spacing w:before="6"/>
        <w:ind w:left="152"/>
      </w:pPr>
      <w:r>
        <w:rPr/>
        <w:drawing>
          <wp:anchor distT="0" distB="0" distL="0" distR="0" allowOverlap="1" layoutInCell="1" locked="0" behindDoc="1" simplePos="0" relativeHeight="486319104">
            <wp:simplePos x="0" y="0"/>
            <wp:positionH relativeFrom="page">
              <wp:posOffset>2874040</wp:posOffset>
            </wp:positionH>
            <wp:positionV relativeFrom="paragraph">
              <wp:posOffset>38749</wp:posOffset>
            </wp:positionV>
            <wp:extent cx="1837644" cy="442846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837644" cy="4428464"/>
                    </a:xfrm>
                    <a:prstGeom prst="rect">
                      <a:avLst/>
                    </a:prstGeom>
                  </pic:spPr>
                </pic:pic>
              </a:graphicData>
            </a:graphic>
          </wp:anchor>
        </w:drawing>
      </w:r>
      <w:r>
        <w:rPr/>
        <w:t>110.07.01國壽字第110070115號函備查</w:t>
      </w:r>
    </w:p>
    <w:p>
      <w:pPr>
        <w:pStyle w:val="BodyText"/>
        <w:spacing w:before="6"/>
        <w:ind w:left="152"/>
      </w:pPr>
      <w:r>
        <w:rPr>
          <w:spacing w:val="-1"/>
        </w:rPr>
        <w:t>112.02.08</w:t>
      </w:r>
      <w:r>
        <w:rPr>
          <w:spacing w:val="-48"/>
        </w:rPr>
        <w:t> 依 </w:t>
      </w:r>
      <w:r>
        <w:rPr>
          <w:spacing w:val="-1"/>
        </w:rPr>
        <w:t>111.08.30</w:t>
      </w:r>
      <w:r>
        <w:rPr>
          <w:spacing w:val="-20"/>
        </w:rPr>
        <w:t> 金管保壽字第 </w:t>
      </w:r>
      <w:r>
        <w:rPr/>
        <w:t>1110445485</w:t>
      </w:r>
      <w:r>
        <w:rPr>
          <w:spacing w:val="-15"/>
        </w:rPr>
        <w:t> 號函修正</w:t>
      </w:r>
    </w:p>
    <w:p>
      <w:pPr>
        <w:pStyle w:val="BodyText"/>
        <w:spacing w:before="7"/>
        <w:ind w:left="0"/>
        <w:rPr>
          <w:sz w:val="21"/>
        </w:rPr>
      </w:pPr>
    </w:p>
    <w:p>
      <w:pPr>
        <w:pStyle w:val="Heading1"/>
        <w:tabs>
          <w:tab w:pos="1276" w:val="left" w:leader="none"/>
        </w:tabs>
        <w:spacing w:before="1"/>
      </w:pPr>
      <w:r>
        <w:rPr/>
        <w:t>第一條</w:t>
        <w:tab/>
      </w:r>
      <w:r>
        <w:rPr>
          <w:spacing w:val="-1"/>
        </w:rPr>
        <w:t>保</w:t>
      </w:r>
      <w:r>
        <w:rPr/>
        <w:t>險契約的構成</w:t>
      </w:r>
    </w:p>
    <w:p>
      <w:pPr>
        <w:pStyle w:val="BodyText"/>
        <w:spacing w:line="330" w:lineRule="exact"/>
        <w:ind w:left="993"/>
      </w:pPr>
      <w:r>
        <w:rPr>
          <w:spacing w:val="-14"/>
        </w:rPr>
        <w:t>本保險單條款、附著之要保書、批註及其他約定書，均為本保險契約</w:t>
      </w:r>
      <w:r>
        <w:rPr>
          <w:spacing w:val="-3"/>
        </w:rPr>
        <w:t>（</w:t>
      </w:r>
      <w:r>
        <w:rPr/>
        <w:t>以</w:t>
      </w:r>
    </w:p>
    <w:p>
      <w:pPr>
        <w:pStyle w:val="BodyText"/>
        <w:spacing w:before="6"/>
        <w:ind w:left="993"/>
      </w:pPr>
      <w:r>
        <w:rPr>
          <w:spacing w:val="-1"/>
        </w:rPr>
        <w:t>下簡稱本契約</w:t>
      </w:r>
      <w:r>
        <w:rPr/>
        <w:t>）的構成部分。</w:t>
      </w:r>
    </w:p>
    <w:p>
      <w:pPr>
        <w:pStyle w:val="BodyText"/>
        <w:spacing w:line="242" w:lineRule="auto" w:before="6"/>
        <w:ind w:left="993" w:right="254"/>
      </w:pPr>
      <w:r>
        <w:rPr/>
        <w:t>本契約的解釋，應探求契約當事人的真意，不得拘泥於所用的文字；如有疑義時，以作有利於被保險人的解釋為原則。</w:t>
      </w:r>
    </w:p>
    <w:p>
      <w:pPr>
        <w:pStyle w:val="BodyText"/>
        <w:spacing w:before="5"/>
        <w:ind w:left="0"/>
        <w:rPr>
          <w:sz w:val="21"/>
        </w:rPr>
      </w:pPr>
    </w:p>
    <w:p>
      <w:pPr>
        <w:pStyle w:val="Heading1"/>
        <w:tabs>
          <w:tab w:pos="1276" w:val="left" w:leader="none"/>
        </w:tabs>
        <w:spacing w:before="1"/>
      </w:pPr>
      <w:r>
        <w:rPr/>
        <w:t>第二條</w:t>
        <w:tab/>
        <w:t>名詞定義</w:t>
      </w:r>
    </w:p>
    <w:p>
      <w:pPr>
        <w:pStyle w:val="BodyText"/>
        <w:spacing w:line="330" w:lineRule="exact"/>
        <w:ind w:left="993"/>
      </w:pPr>
      <w:r>
        <w:rPr>
          <w:spacing w:val="-1"/>
        </w:rPr>
        <w:t>本契約名詞定義如下：</w:t>
      </w:r>
    </w:p>
    <w:p>
      <w:pPr>
        <w:pStyle w:val="BodyText"/>
        <w:spacing w:line="244" w:lineRule="auto" w:before="3"/>
        <w:ind w:left="993" w:right="2049"/>
      </w:pPr>
      <w:r>
        <w:rPr>
          <w:spacing w:val="-18"/>
        </w:rPr>
        <w:t>一、「傷害」：指遭受「意外傷害事故」而蒙受之傷害。</w:t>
      </w:r>
      <w:r>
        <w:rPr>
          <w:spacing w:val="1"/>
        </w:rPr>
        <w:t> </w:t>
      </w:r>
      <w:r>
        <w:rPr>
          <w:spacing w:val="-19"/>
        </w:rPr>
        <w:t>二、「意外傷害事故」：指非由疾病引起之外來突發事故。</w:t>
      </w:r>
    </w:p>
    <w:p>
      <w:pPr>
        <w:pStyle w:val="BodyText"/>
        <w:spacing w:line="244" w:lineRule="auto"/>
        <w:ind w:left="1413" w:right="253" w:hanging="420"/>
      </w:pPr>
      <w:r>
        <w:rPr>
          <w:spacing w:val="-18"/>
        </w:rPr>
        <w:t>三、「一般意外傷害事故」：指非「特定意外傷害事故」之「意外傷害事</w:t>
      </w:r>
      <w:r>
        <w:rPr>
          <w:spacing w:val="-47"/>
        </w:rPr>
        <w:t>故」。</w:t>
      </w:r>
    </w:p>
    <w:p>
      <w:pPr>
        <w:pStyle w:val="BodyText"/>
        <w:spacing w:line="244" w:lineRule="auto"/>
        <w:ind w:left="1413" w:right="247" w:hanging="420"/>
      </w:pPr>
      <w:r>
        <w:rPr>
          <w:spacing w:val="-27"/>
        </w:rPr>
        <w:t>四、「特定意外傷害事故」：指「航空交通意外傷害事故」、「水陸交通意</w:t>
      </w:r>
      <w:r>
        <w:rPr>
          <w:spacing w:val="-23"/>
        </w:rPr>
        <w:t>外傷害事故」、「火災意外傷害事故」及「天然災害意外傷害事故」。</w:t>
      </w:r>
    </w:p>
    <w:p>
      <w:pPr>
        <w:pStyle w:val="BodyText"/>
        <w:spacing w:line="244" w:lineRule="auto"/>
        <w:ind w:left="1413" w:right="248" w:hanging="420"/>
      </w:pPr>
      <w:r>
        <w:rPr>
          <w:spacing w:val="-23"/>
        </w:rPr>
        <w:t>五、「航空交通意外傷害事故」：指「搭乘」「空中大眾交通工具」並因而</w:t>
      </w:r>
      <w:r>
        <w:rPr>
          <w:spacing w:val="-12"/>
        </w:rPr>
        <w:t>遭受之「意外傷害事故」。</w:t>
      </w:r>
    </w:p>
    <w:p>
      <w:pPr>
        <w:pStyle w:val="BodyText"/>
        <w:spacing w:line="242" w:lineRule="auto"/>
        <w:ind w:left="1413" w:right="246" w:hanging="420"/>
        <w:jc w:val="both"/>
      </w:pPr>
      <w:r>
        <w:rPr>
          <w:spacing w:val="-27"/>
        </w:rPr>
        <w:t>六、「水陸交通意外傷害事故」：指在「中華民國境內」「搭乘」「水上大</w:t>
      </w:r>
      <w:r>
        <w:rPr>
          <w:spacing w:val="-9"/>
        </w:rPr>
        <w:t>眾交通工具」或「陸地大眾交通工具」，並因而遭受之「意外傷害事</w:t>
      </w:r>
      <w:r>
        <w:rPr>
          <w:spacing w:val="-47"/>
        </w:rPr>
        <w:t>故」。</w:t>
      </w:r>
    </w:p>
    <w:p>
      <w:pPr>
        <w:pStyle w:val="BodyText"/>
        <w:spacing w:line="244" w:lineRule="auto"/>
        <w:ind w:left="1413" w:right="255" w:hanging="420"/>
      </w:pPr>
      <w:r>
        <w:rPr>
          <w:spacing w:val="-18"/>
        </w:rPr>
        <w:t>七、「火災意外傷害事故」：指在「中華民國境內」直接因所處場所遭受</w:t>
      </w:r>
      <w:r>
        <w:rPr>
          <w:spacing w:val="-12"/>
        </w:rPr>
        <w:t>火災之「意外傷害事故」。</w:t>
      </w:r>
    </w:p>
    <w:p>
      <w:pPr>
        <w:pStyle w:val="BodyText"/>
        <w:spacing w:line="354" w:lineRule="exact"/>
        <w:ind w:left="993"/>
      </w:pPr>
      <w:r>
        <w:rPr>
          <w:spacing w:val="-29"/>
        </w:rPr>
        <w:t>八、「天然災害意外傷害事故」：指在「中華民國境內」，因遭受「地震」、</w:t>
      </w:r>
    </w:p>
    <w:p>
      <w:pPr>
        <w:pStyle w:val="BodyText"/>
        <w:spacing w:before="1"/>
        <w:ind w:left="1413"/>
      </w:pPr>
      <w:r>
        <w:rPr>
          <w:spacing w:val="-24"/>
        </w:rPr>
        <w:t>「颱風」、「洪水」或「土石流」而導致之「意外傷害事故」。</w:t>
      </w:r>
    </w:p>
    <w:p>
      <w:pPr>
        <w:pStyle w:val="BodyText"/>
        <w:spacing w:line="244" w:lineRule="auto" w:before="6"/>
        <w:ind w:left="1413" w:right="250" w:hanging="420"/>
      </w:pPr>
      <w:r>
        <w:rPr>
          <w:spacing w:val="-18"/>
        </w:rPr>
        <w:t>九、「搭乘」：指被保險人以「乘客」身分開始登上「大眾交通工具」至</w:t>
      </w:r>
      <w:r>
        <w:rPr/>
        <w:t>完全離開為止，此期間內之行為。</w:t>
      </w:r>
    </w:p>
    <w:p>
      <w:pPr>
        <w:spacing w:after="0" w:line="244" w:lineRule="auto"/>
        <w:sectPr>
          <w:footerReference w:type="default" r:id="rId5"/>
          <w:type w:val="continuous"/>
          <w:pgSz w:w="11910" w:h="16840"/>
          <w:pgMar w:footer="746" w:top="1380" w:bottom="940" w:left="980" w:right="880"/>
          <w:pgNumType w:start="1"/>
        </w:sectPr>
      </w:pPr>
    </w:p>
    <w:p>
      <w:pPr>
        <w:pStyle w:val="BodyText"/>
        <w:spacing w:line="242" w:lineRule="auto" w:before="26"/>
        <w:ind w:left="1413" w:right="250" w:hanging="420"/>
      </w:pPr>
      <w:r>
        <w:rPr>
          <w:spacing w:val="-18"/>
        </w:rPr>
        <w:t>十、「乘客」：指以持票方式乘坐「大眾交通工具」之人，不含駕駛員及</w:t>
      </w:r>
      <w:r>
        <w:rPr/>
        <w:t>受雇服務於該「大眾交通工具」之人員。</w:t>
      </w:r>
    </w:p>
    <w:p>
      <w:pPr>
        <w:pStyle w:val="BodyText"/>
        <w:spacing w:line="244" w:lineRule="auto" w:before="3"/>
        <w:ind w:left="1693" w:right="254" w:hanging="701"/>
        <w:jc w:val="both"/>
      </w:pPr>
      <w:r>
        <w:rPr>
          <w:spacing w:val="-18"/>
        </w:rPr>
        <w:t>十一、「大眾交通工具」：指領有合法營業執照，對不特定人開放，以大</w:t>
      </w:r>
      <w:r>
        <w:rPr>
          <w:spacing w:val="-1"/>
        </w:rPr>
        <w:t>眾運輸為目的，其營運時間及路線係經當地政府機關核可之交通運</w:t>
      </w:r>
      <w:r>
        <w:rPr/>
        <w:t>輸工具，其內容如下：</w:t>
      </w:r>
    </w:p>
    <w:p>
      <w:pPr>
        <w:pStyle w:val="BodyText"/>
        <w:spacing w:line="244" w:lineRule="auto"/>
        <w:ind w:left="2390" w:right="247" w:hanging="701"/>
      </w:pPr>
      <w:r>
        <w:rPr>
          <w:spacing w:val="-1"/>
        </w:rPr>
        <w:t>（一</w:t>
      </w:r>
      <w:r>
        <w:rPr>
          <w:spacing w:val="-147"/>
        </w:rPr>
        <w:t>）</w:t>
      </w:r>
      <w:r>
        <w:rPr>
          <w:spacing w:val="-13"/>
        </w:rPr>
        <w:t>「空中大眾交通工具」：指定時營運</w:t>
      </w:r>
      <w:r>
        <w:rPr/>
        <w:t>（含加班班次）於固定路線之航空飛行器等大眾交通工具。</w:t>
      </w:r>
    </w:p>
    <w:p>
      <w:pPr>
        <w:pStyle w:val="BodyText"/>
        <w:spacing w:line="244" w:lineRule="auto"/>
        <w:ind w:left="2390" w:right="247" w:hanging="701"/>
      </w:pPr>
      <w:r>
        <w:rPr>
          <w:spacing w:val="-1"/>
        </w:rPr>
        <w:t>（二</w:t>
      </w:r>
      <w:r>
        <w:rPr>
          <w:spacing w:val="-147"/>
        </w:rPr>
        <w:t>）</w:t>
      </w:r>
      <w:r>
        <w:rPr>
          <w:spacing w:val="-13"/>
        </w:rPr>
        <w:t>「水上大眾交通工具」：指定時營運</w:t>
      </w:r>
      <w:r>
        <w:rPr/>
        <w:t>（含加班班次）於固定路線之水上運行大眾交通工具。</w:t>
      </w:r>
    </w:p>
    <w:p>
      <w:pPr>
        <w:pStyle w:val="BodyText"/>
        <w:spacing w:line="244" w:lineRule="auto"/>
        <w:ind w:left="2390" w:right="247" w:hanging="701"/>
      </w:pPr>
      <w:r>
        <w:rPr/>
        <w:drawing>
          <wp:anchor distT="0" distB="0" distL="0" distR="0" allowOverlap="1" layoutInCell="1" locked="0" behindDoc="1" simplePos="0" relativeHeight="486319616">
            <wp:simplePos x="0" y="0"/>
            <wp:positionH relativeFrom="page">
              <wp:posOffset>2874040</wp:posOffset>
            </wp:positionH>
            <wp:positionV relativeFrom="paragraph">
              <wp:posOffset>167527</wp:posOffset>
            </wp:positionV>
            <wp:extent cx="1837644" cy="4428464"/>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7" cstate="print"/>
                    <a:stretch>
                      <a:fillRect/>
                    </a:stretch>
                  </pic:blipFill>
                  <pic:spPr>
                    <a:xfrm>
                      <a:off x="0" y="0"/>
                      <a:ext cx="1837644" cy="4428464"/>
                    </a:xfrm>
                    <a:prstGeom prst="rect">
                      <a:avLst/>
                    </a:prstGeom>
                  </pic:spPr>
                </pic:pic>
              </a:graphicData>
            </a:graphic>
          </wp:anchor>
        </w:drawing>
      </w:r>
      <w:r>
        <w:rPr>
          <w:spacing w:val="-1"/>
        </w:rPr>
        <w:t>（三</w:t>
      </w:r>
      <w:r>
        <w:rPr>
          <w:spacing w:val="-147"/>
        </w:rPr>
        <w:t>）</w:t>
      </w:r>
      <w:r>
        <w:rPr>
          <w:spacing w:val="-13"/>
        </w:rPr>
        <w:t>「陸地大眾交通工具」：指定時營運</w:t>
      </w:r>
      <w:r>
        <w:rPr/>
        <w:t>（含加班班次）於固定路線之陸上或地下運行大眾交通工具。</w:t>
      </w:r>
    </w:p>
    <w:p>
      <w:pPr>
        <w:pStyle w:val="BodyText"/>
        <w:spacing w:line="244" w:lineRule="auto"/>
        <w:ind w:left="1693" w:right="255" w:hanging="701"/>
      </w:pPr>
      <w:r>
        <w:rPr>
          <w:spacing w:val="-18"/>
        </w:rPr>
        <w:t>十二、「中華民國境內」：指台、澎、金、馬等由中華民國政府所管轄之</w:t>
      </w:r>
      <w:r>
        <w:rPr/>
        <w:t>範圍。</w:t>
      </w:r>
    </w:p>
    <w:p>
      <w:pPr>
        <w:pStyle w:val="BodyText"/>
        <w:spacing w:line="244" w:lineRule="auto"/>
        <w:ind w:left="1693" w:right="255" w:hanging="701"/>
      </w:pPr>
      <w:r>
        <w:rPr>
          <w:spacing w:val="-18"/>
        </w:rPr>
        <w:t>十三、「地震」：指因地殼突然運動、火山活動或隕石撞擊所引起的地面</w:t>
      </w:r>
      <w:r>
        <w:rPr/>
        <w:t>震動，依中央氣象局所正式發佈的地震消息者為準。</w:t>
      </w:r>
    </w:p>
    <w:p>
      <w:pPr>
        <w:pStyle w:val="BodyText"/>
        <w:spacing w:line="244" w:lineRule="auto"/>
        <w:ind w:left="1693" w:right="255" w:hanging="701"/>
      </w:pPr>
      <w:r>
        <w:rPr>
          <w:spacing w:val="-18"/>
        </w:rPr>
        <w:t>十四、「颱風」：指因熱帶氣旋產生的劇烈天氣變化與降水等現象，依中</w:t>
      </w:r>
      <w:r>
        <w:rPr/>
        <w:t>央氣象局所正式發佈有陸上颱風警報者為準。</w:t>
      </w:r>
    </w:p>
    <w:p>
      <w:pPr>
        <w:pStyle w:val="BodyText"/>
        <w:spacing w:line="244" w:lineRule="auto"/>
        <w:ind w:left="1693" w:right="251" w:hanging="701"/>
        <w:jc w:val="both"/>
      </w:pPr>
      <w:r>
        <w:rPr>
          <w:spacing w:val="-18"/>
        </w:rPr>
        <w:t>十五、「洪水」：指由海水倒灌、海潮、河川、湖泊、水道之水位突然暴</w:t>
      </w:r>
      <w:r>
        <w:rPr>
          <w:spacing w:val="-1"/>
        </w:rPr>
        <w:t>漲、氾濫，或水壩、水庫、堤岸崩潰，或豪雨、雷雨之積水導致地</w:t>
      </w:r>
      <w:r>
        <w:rPr/>
        <w:t>面遭水迅速淹沒的現象。</w:t>
      </w:r>
    </w:p>
    <w:p>
      <w:pPr>
        <w:pStyle w:val="BodyText"/>
        <w:spacing w:line="242" w:lineRule="auto"/>
        <w:ind w:left="1693" w:right="250" w:hanging="701"/>
        <w:jc w:val="both"/>
      </w:pPr>
      <w:r>
        <w:rPr>
          <w:spacing w:val="-18"/>
        </w:rPr>
        <w:t>十六、「土石流」：指泥、砂、礫及巨石等物質與水之混合物受重力作用</w:t>
      </w:r>
      <w:r>
        <w:rPr>
          <w:spacing w:val="-1"/>
        </w:rPr>
        <w:t>後所產生之流動體，在重力的作用下，沿坡面或溝渠由高處往低處</w:t>
      </w:r>
      <w:r>
        <w:rPr/>
        <w:t>流動之自然現象。</w:t>
      </w:r>
    </w:p>
    <w:p>
      <w:pPr>
        <w:pStyle w:val="BodyText"/>
        <w:spacing w:line="244" w:lineRule="auto"/>
        <w:ind w:left="1693" w:right="255" w:hanging="701"/>
      </w:pPr>
      <w:r>
        <w:rPr>
          <w:spacing w:val="-18"/>
        </w:rPr>
        <w:t>十七、「重大燒燙傷」：指「顏面燒燙傷合併五官功能障礙」或「燒燙傷</w:t>
      </w:r>
      <w:r>
        <w:rPr/>
        <w:t>面積達全身百分之二十以上」者（詳如附表一</w:t>
      </w:r>
      <w:r>
        <w:rPr>
          <w:spacing w:val="-140"/>
        </w:rPr>
        <w:t>）</w:t>
      </w:r>
      <w:r>
        <w:rPr/>
        <w:t>。</w:t>
      </w:r>
    </w:p>
    <w:p>
      <w:pPr>
        <w:pStyle w:val="BodyText"/>
        <w:spacing w:line="242" w:lineRule="auto"/>
        <w:ind w:left="1693" w:right="249" w:hanging="701"/>
        <w:jc w:val="both"/>
      </w:pPr>
      <w:r>
        <w:rPr>
          <w:spacing w:val="-23"/>
        </w:rPr>
        <w:t>十八、「住院」：指蒙受傷害經醫師診斷其必須入住「醫院」，且正式辦理</w:t>
      </w:r>
      <w:r>
        <w:rPr>
          <w:spacing w:val="-1"/>
        </w:rPr>
        <w:t>住院手續並確實在「醫院」接受診療者。但不包含全民健康保險法</w:t>
      </w:r>
      <w:r>
        <w:rPr/>
        <w:t>第五十一條所稱之日間住院及精神衛生法第三十五條所稱之日間留院。</w:t>
      </w:r>
    </w:p>
    <w:p>
      <w:pPr>
        <w:pStyle w:val="BodyText"/>
        <w:spacing w:line="242" w:lineRule="auto"/>
        <w:ind w:left="1693" w:right="255" w:hanging="701"/>
        <w:jc w:val="both"/>
      </w:pPr>
      <w:r>
        <w:rPr>
          <w:spacing w:val="-18"/>
        </w:rPr>
        <w:t>十九、「醫院」：指依照醫療法規定領有開業執照並設有病房收治病人之</w:t>
      </w:r>
      <w:r>
        <w:rPr/>
        <w:t>公、私立及醫療法人醫院。</w:t>
      </w:r>
    </w:p>
    <w:p>
      <w:pPr>
        <w:pStyle w:val="BodyText"/>
        <w:spacing w:line="244" w:lineRule="auto"/>
        <w:ind w:left="993" w:right="1211"/>
      </w:pPr>
      <w:r>
        <w:rPr>
          <w:spacing w:val="-18"/>
        </w:rPr>
        <w:t>二十、「診所」：指依照醫療法規定設立並具備開業執照之診所。二十一、「醫師」：指領有醫師證書及執業證書，合法執業者。</w:t>
      </w:r>
    </w:p>
    <w:p>
      <w:pPr>
        <w:pStyle w:val="BodyText"/>
        <w:spacing w:line="242" w:lineRule="auto"/>
        <w:ind w:left="1972" w:right="255" w:hanging="980"/>
      </w:pPr>
      <w:r>
        <w:rPr>
          <w:spacing w:val="-18"/>
        </w:rPr>
        <w:t>二十二、「專科醫師」：指經醫師考試及格並完成專科醫師訓練，且經衛</w:t>
      </w:r>
      <w:r>
        <w:rPr/>
        <w:t>生福利部甄審合格，領有專科醫師證書之執業醫師。</w:t>
      </w:r>
    </w:p>
    <w:p>
      <w:pPr>
        <w:pStyle w:val="BodyText"/>
        <w:spacing w:line="244" w:lineRule="auto"/>
        <w:ind w:left="1972" w:right="180" w:hanging="980"/>
        <w:jc w:val="both"/>
      </w:pPr>
      <w:r>
        <w:rPr>
          <w:spacing w:val="-18"/>
        </w:rPr>
        <w:t>二十三、「住院日數」：按被保險人實際住進急性病房或慢性病房</w:t>
      </w:r>
      <w:r>
        <w:rPr/>
        <w:t>（含加</w:t>
      </w:r>
      <w:r>
        <w:rPr>
          <w:spacing w:val="-1"/>
        </w:rPr>
        <w:t>護病房及燒燙傷病房</w:t>
      </w:r>
      <w:r>
        <w:rPr>
          <w:spacing w:val="-75"/>
        </w:rPr>
        <w:t>）</w:t>
      </w:r>
      <w:r>
        <w:rPr>
          <w:spacing w:val="-16"/>
        </w:rPr>
        <w:t>之住院日數</w:t>
      </w:r>
      <w:r>
        <w:rPr/>
        <w:t>（含住院及出院當日</w:t>
      </w:r>
      <w:r>
        <w:rPr>
          <w:spacing w:val="-75"/>
        </w:rPr>
        <w:t>）</w:t>
      </w:r>
      <w:r>
        <w:rPr/>
        <w:t>計算之，</w:t>
      </w:r>
      <w:r>
        <w:rPr>
          <w:spacing w:val="-138"/>
        </w:rPr>
        <w:t> </w:t>
      </w:r>
      <w:r>
        <w:rPr/>
        <w:t>但被保險人出院後又於同一日住院診療或同一日內分別住進不</w:t>
      </w:r>
    </w:p>
    <w:p>
      <w:pPr>
        <w:spacing w:after="0" w:line="244" w:lineRule="auto"/>
        <w:jc w:val="both"/>
        <w:sectPr>
          <w:pgSz w:w="11910" w:h="16840"/>
          <w:pgMar w:header="0" w:footer="746" w:top="1360" w:bottom="1020" w:left="980" w:right="880"/>
        </w:sectPr>
      </w:pPr>
    </w:p>
    <w:p>
      <w:pPr>
        <w:pStyle w:val="BodyText"/>
        <w:spacing w:before="26"/>
        <w:ind w:left="1972"/>
      </w:pPr>
      <w:r>
        <w:rPr>
          <w:spacing w:val="-1"/>
        </w:rPr>
        <w:t>同病房時，該日不得重複計入住院日數。</w:t>
      </w:r>
    </w:p>
    <w:p>
      <w:pPr>
        <w:pStyle w:val="BodyText"/>
        <w:spacing w:line="244" w:lineRule="auto" w:before="4"/>
        <w:ind w:left="1972" w:right="248" w:hanging="980"/>
        <w:jc w:val="both"/>
      </w:pPr>
      <w:r>
        <w:rPr>
          <w:spacing w:val="-18"/>
        </w:rPr>
        <w:t>二十四、「傷害醫療保險金日額」：指保險單所記載本契約</w:t>
      </w:r>
      <w:r>
        <w:rPr/>
        <w:t>（不含其他附</w:t>
      </w:r>
      <w:r>
        <w:rPr>
          <w:spacing w:val="-1"/>
        </w:rPr>
        <w:t>約、附加條款、批註條款）的傷害醫療保險金日額，如該金額有</w:t>
      </w:r>
      <w:r>
        <w:rPr/>
        <w:t>所變更時，以變更後之金額為準。</w:t>
      </w:r>
    </w:p>
    <w:p>
      <w:pPr>
        <w:pStyle w:val="BodyText"/>
        <w:spacing w:line="242" w:lineRule="auto"/>
        <w:ind w:left="1972" w:right="253" w:hanging="980"/>
        <w:jc w:val="both"/>
      </w:pPr>
      <w:r>
        <w:rPr>
          <w:spacing w:val="-18"/>
        </w:rPr>
        <w:t>二十五、「保險年齡」：按投保時被保險人之足歲計算，但是未滿一歲的</w:t>
      </w:r>
      <w:r>
        <w:rPr>
          <w:spacing w:val="-1"/>
        </w:rPr>
        <w:t>零數超過六個月者加算一歲，之後須每經過一個保險單年度始加</w:t>
      </w:r>
      <w:r>
        <w:rPr/>
        <w:t>計一歲。</w:t>
      </w:r>
    </w:p>
    <w:p>
      <w:pPr>
        <w:pStyle w:val="BodyText"/>
        <w:spacing w:line="242" w:lineRule="auto" w:before="2"/>
        <w:ind w:left="1972" w:right="251" w:hanging="980"/>
        <w:jc w:val="both"/>
      </w:pPr>
      <w:r>
        <w:rPr/>
        <w:drawing>
          <wp:anchor distT="0" distB="0" distL="0" distR="0" allowOverlap="1" layoutInCell="1" locked="0" behindDoc="1" simplePos="0" relativeHeight="486320128">
            <wp:simplePos x="0" y="0"/>
            <wp:positionH relativeFrom="page">
              <wp:posOffset>2874040</wp:posOffset>
            </wp:positionH>
            <wp:positionV relativeFrom="paragraph">
              <wp:posOffset>630569</wp:posOffset>
            </wp:positionV>
            <wp:extent cx="1837644" cy="4428464"/>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837644" cy="4428464"/>
                    </a:xfrm>
                    <a:prstGeom prst="rect">
                      <a:avLst/>
                    </a:prstGeom>
                  </pic:spPr>
                </pic:pic>
              </a:graphicData>
            </a:graphic>
          </wp:anchor>
        </w:drawing>
      </w:r>
      <w:r>
        <w:rPr>
          <w:spacing w:val="-18"/>
        </w:rPr>
        <w:t>二十六、「失能診斷確定週年日」：指被保險人發生第十五條約定之保險</w:t>
      </w:r>
      <w:r>
        <w:rPr>
          <w:spacing w:val="-1"/>
        </w:rPr>
        <w:t>事故時，自該事故之失能診斷確定日起每屆滿一年之相當日</w:t>
      </w:r>
      <w:r>
        <w:rPr/>
        <w:t>（如無相當日則為該月之末日</w:t>
      </w:r>
      <w:r>
        <w:rPr>
          <w:spacing w:val="-140"/>
        </w:rPr>
        <w:t>）</w:t>
      </w:r>
      <w:r>
        <w:rPr/>
        <w:t>。</w:t>
      </w:r>
    </w:p>
    <w:p>
      <w:pPr>
        <w:pStyle w:val="BodyText"/>
        <w:spacing w:line="244" w:lineRule="auto" w:before="5"/>
        <w:ind w:left="1972" w:right="250" w:hanging="980"/>
        <w:jc w:val="both"/>
      </w:pPr>
      <w:r>
        <w:rPr>
          <w:spacing w:val="-18"/>
        </w:rPr>
        <w:t>二十七、「營業費用」：指本契約變更為「減額繳清保險」時，本公司所</w:t>
      </w:r>
      <w:r>
        <w:rPr>
          <w:spacing w:val="-1"/>
        </w:rPr>
        <w:t>收取之費用，以「原傷害醫療保險金日額百分之一」與「保單價</w:t>
      </w:r>
      <w:r>
        <w:rPr>
          <w:spacing w:val="-12"/>
        </w:rPr>
        <w:t>值準備金與解約金之差額」，二者較小者為準。</w:t>
      </w:r>
    </w:p>
    <w:p>
      <w:pPr>
        <w:pStyle w:val="BodyText"/>
        <w:spacing w:before="11"/>
        <w:ind w:left="0"/>
        <w:rPr>
          <w:sz w:val="20"/>
        </w:rPr>
      </w:pPr>
    </w:p>
    <w:p>
      <w:pPr>
        <w:pStyle w:val="Heading1"/>
        <w:tabs>
          <w:tab w:pos="1276" w:val="left" w:leader="none"/>
        </w:tabs>
      </w:pPr>
      <w:r>
        <w:rPr/>
        <w:t>第三條</w:t>
        <w:tab/>
      </w:r>
      <w:r>
        <w:rPr>
          <w:spacing w:val="-1"/>
        </w:rPr>
        <w:t>契約</w:t>
      </w:r>
      <w:r>
        <w:rPr/>
        <w:t>撤銷權</w:t>
      </w:r>
    </w:p>
    <w:p>
      <w:pPr>
        <w:pStyle w:val="BodyText"/>
        <w:spacing w:line="330" w:lineRule="exact"/>
        <w:ind w:left="993"/>
      </w:pPr>
      <w:r>
        <w:rPr/>
        <w:t>要保人於保險單送達的翌日起算十日內，得以書面或其他約定方式檢同</w:t>
      </w:r>
    </w:p>
    <w:p>
      <w:pPr>
        <w:pStyle w:val="BodyText"/>
        <w:spacing w:before="6"/>
        <w:ind w:left="993"/>
      </w:pPr>
      <w:r>
        <w:rPr>
          <w:spacing w:val="-1"/>
        </w:rPr>
        <w:t>保險單向本公司撤銷本契約。</w:t>
      </w:r>
    </w:p>
    <w:p>
      <w:pPr>
        <w:pStyle w:val="BodyText"/>
        <w:spacing w:line="244" w:lineRule="auto" w:before="3"/>
        <w:ind w:left="993" w:right="251"/>
        <w:jc w:val="both"/>
      </w:pPr>
      <w:r>
        <w:rPr/>
        <w:t>要保人依前項規定行使本契約撤銷權者，撤銷的效力應自要保人書面或其他約定方式之意思表示到達翌日零時起生效，本契約自始無效，本公</w:t>
      </w:r>
      <w:r>
        <w:rPr>
          <w:spacing w:val="10"/>
        </w:rPr>
        <w:t>司應無息退還要保人所繳保險費；本契約撤銷生效後所發生的保險事</w:t>
      </w:r>
      <w:r>
        <w:rPr/>
        <w:t>故，本公司不負保險責任。但契約撤銷生效前，若發生保險事故者，視為未撤銷，本公司仍應依本契約規定負保險責任。</w:t>
      </w:r>
    </w:p>
    <w:p>
      <w:pPr>
        <w:pStyle w:val="BodyText"/>
        <w:spacing w:before="9"/>
        <w:ind w:left="0"/>
        <w:rPr>
          <w:sz w:val="20"/>
        </w:rPr>
      </w:pPr>
    </w:p>
    <w:p>
      <w:pPr>
        <w:pStyle w:val="Heading1"/>
        <w:tabs>
          <w:tab w:pos="1276" w:val="left" w:leader="none"/>
        </w:tabs>
      </w:pPr>
      <w:r>
        <w:rPr/>
        <w:t>第四條</w:t>
        <w:tab/>
      </w:r>
      <w:r>
        <w:rPr>
          <w:spacing w:val="-1"/>
        </w:rPr>
        <w:t>保險</w:t>
      </w:r>
      <w:r>
        <w:rPr/>
        <w:t>責任的開始及交付保險費</w:t>
      </w:r>
    </w:p>
    <w:p>
      <w:pPr>
        <w:pStyle w:val="BodyText"/>
        <w:spacing w:line="330" w:lineRule="exact"/>
        <w:ind w:left="993"/>
      </w:pPr>
      <w:r>
        <w:rPr/>
        <w:t>本公司應自同意承保並收取第一期保險費後負保險責任，並應發給保險</w:t>
      </w:r>
    </w:p>
    <w:p>
      <w:pPr>
        <w:pStyle w:val="BodyText"/>
        <w:spacing w:before="6"/>
        <w:ind w:left="993"/>
      </w:pPr>
      <w:r>
        <w:rPr>
          <w:spacing w:val="-1"/>
        </w:rPr>
        <w:t>單作為承保的憑證。</w:t>
      </w:r>
    </w:p>
    <w:p>
      <w:pPr>
        <w:pStyle w:val="BodyText"/>
        <w:spacing w:line="244" w:lineRule="auto" w:before="4"/>
        <w:ind w:left="993" w:right="254"/>
      </w:pPr>
      <w:r>
        <w:rPr/>
        <w:t>本公司如於同意承保前，預收相當於第一期保險費之金額時，其應負之保險責任，以同意承保時溯自預收相當於第一期保險費金額時開始。</w:t>
      </w:r>
      <w:r>
        <w:rPr>
          <w:spacing w:val="1"/>
        </w:rPr>
        <w:t> </w:t>
      </w:r>
      <w:r>
        <w:rPr/>
        <w:t>前項情形，在本公司為同意承保與否之意思表示前發生應予給付之保險事故時，本公司仍負保險責任。</w:t>
      </w:r>
    </w:p>
    <w:p>
      <w:pPr>
        <w:pStyle w:val="BodyText"/>
        <w:spacing w:before="9"/>
        <w:ind w:left="0"/>
        <w:rPr>
          <w:sz w:val="20"/>
        </w:rPr>
      </w:pPr>
    </w:p>
    <w:p>
      <w:pPr>
        <w:pStyle w:val="Heading1"/>
        <w:tabs>
          <w:tab w:pos="1276" w:val="left" w:leader="none"/>
        </w:tabs>
      </w:pPr>
      <w:r>
        <w:rPr/>
        <w:t>第五條</w:t>
        <w:tab/>
        <w:t>保險範圍</w:t>
      </w:r>
    </w:p>
    <w:p>
      <w:pPr>
        <w:pStyle w:val="BodyText"/>
        <w:spacing w:line="330" w:lineRule="exact"/>
        <w:ind w:left="993"/>
      </w:pPr>
      <w:r>
        <w:rPr/>
        <w:t>被保險人於本契約有效期間內，因遭受「意外傷害事故」致其身體蒙受</w:t>
      </w:r>
    </w:p>
    <w:p>
      <w:pPr>
        <w:pStyle w:val="BodyText"/>
        <w:spacing w:before="6"/>
        <w:ind w:left="993"/>
      </w:pPr>
      <w:r>
        <w:rPr>
          <w:spacing w:val="-13"/>
        </w:rPr>
        <w:t>「傷害」而身故、失能、致成「重大燒燙傷」、骨折、「住院」診療、於</w:t>
      </w:r>
    </w:p>
    <w:p>
      <w:pPr>
        <w:pStyle w:val="BodyText"/>
        <w:spacing w:line="244" w:lineRule="auto" w:before="4"/>
        <w:ind w:left="993" w:right="246"/>
      </w:pPr>
      <w:r>
        <w:rPr/>
        <w:t>「醫院」或「診所」接受創傷縫合處置治療者，本公司依照本契約第十二條至第十九條之約定，給付保險金。</w:t>
      </w:r>
    </w:p>
    <w:p>
      <w:pPr>
        <w:spacing w:after="0" w:line="244" w:lineRule="auto"/>
        <w:sectPr>
          <w:pgSz w:w="11910" w:h="16840"/>
          <w:pgMar w:header="0" w:footer="746" w:top="1360" w:bottom="1020" w:left="980" w:right="880"/>
        </w:sectPr>
      </w:pPr>
    </w:p>
    <w:p>
      <w:pPr>
        <w:pStyle w:val="Heading1"/>
        <w:tabs>
          <w:tab w:pos="1273" w:val="left" w:leader="none"/>
        </w:tabs>
        <w:spacing w:line="419" w:lineRule="exact"/>
      </w:pPr>
      <w:r>
        <w:rPr/>
        <w:t>第六條</w:t>
        <w:tab/>
        <w:t>第二期以後保險費的交付、寬限期間及契約效力的停止</w:t>
      </w:r>
    </w:p>
    <w:p>
      <w:pPr>
        <w:pStyle w:val="BodyText"/>
        <w:spacing w:line="329" w:lineRule="exact"/>
        <w:ind w:left="993"/>
      </w:pPr>
      <w:r>
        <w:rPr/>
        <w:t>分期繳納的第二期以後保險費，應照本契約所載交付方法及日期，向本</w:t>
      </w:r>
    </w:p>
    <w:p>
      <w:pPr>
        <w:pStyle w:val="BodyText"/>
        <w:spacing w:line="242" w:lineRule="auto" w:before="6"/>
        <w:ind w:left="993" w:right="249"/>
        <w:jc w:val="both"/>
      </w:pPr>
      <w:r>
        <w:rPr/>
        <w:t>公司所在地或指定地點交付，本公司將交付開發之憑證。第二期以後分期保險費到期未交付時，年繳或半年繳者，自催告到達翌日起三十日內為寬限期間；月繳或季繳者，則不另為催告，自保險單所載交付日期之翌日起三十日為寬限期間。</w:t>
      </w:r>
    </w:p>
    <w:p>
      <w:pPr>
        <w:pStyle w:val="BodyText"/>
        <w:spacing w:line="244" w:lineRule="auto" w:before="7"/>
        <w:ind w:left="993" w:right="251"/>
        <w:jc w:val="both"/>
      </w:pPr>
      <w:r>
        <w:rPr/>
        <w:t>約定以金融機構轉帳或其他方式交付第二期以後的分期保險費者，本公司於知悉未能依此項約定受領保險費時，應催告要保人交付保險費，自催告到達翌日起三十日內為寬限期間。</w:t>
      </w:r>
    </w:p>
    <w:p>
      <w:pPr>
        <w:pStyle w:val="BodyText"/>
        <w:spacing w:line="244" w:lineRule="auto"/>
        <w:ind w:left="993" w:right="254"/>
        <w:jc w:val="both"/>
      </w:pPr>
      <w:r>
        <w:rPr/>
        <w:drawing>
          <wp:anchor distT="0" distB="0" distL="0" distR="0" allowOverlap="1" layoutInCell="1" locked="0" behindDoc="1" simplePos="0" relativeHeight="486320640">
            <wp:simplePos x="0" y="0"/>
            <wp:positionH relativeFrom="page">
              <wp:posOffset>2874040</wp:posOffset>
            </wp:positionH>
            <wp:positionV relativeFrom="paragraph">
              <wp:posOffset>167527</wp:posOffset>
            </wp:positionV>
            <wp:extent cx="1837644" cy="4428464"/>
            <wp:effectExtent l="0" t="0" r="0" b="0"/>
            <wp:wrapNone/>
            <wp:docPr id="7" name="image1.png"/>
            <wp:cNvGraphicFramePr>
              <a:graphicFrameLocks noChangeAspect="1"/>
            </wp:cNvGraphicFramePr>
            <a:graphic>
              <a:graphicData uri="http://schemas.openxmlformats.org/drawingml/2006/picture">
                <pic:pic>
                  <pic:nvPicPr>
                    <pic:cNvPr id="8" name="image1.png"/>
                    <pic:cNvPicPr/>
                  </pic:nvPicPr>
                  <pic:blipFill>
                    <a:blip r:embed="rId7" cstate="print"/>
                    <a:stretch>
                      <a:fillRect/>
                    </a:stretch>
                  </pic:blipFill>
                  <pic:spPr>
                    <a:xfrm>
                      <a:off x="0" y="0"/>
                      <a:ext cx="1837644" cy="4428464"/>
                    </a:xfrm>
                    <a:prstGeom prst="rect">
                      <a:avLst/>
                    </a:prstGeom>
                  </pic:spPr>
                </pic:pic>
              </a:graphicData>
            </a:graphic>
          </wp:anchor>
        </w:drawing>
      </w:r>
      <w:r>
        <w:rPr/>
        <w:t>前二項對要保人之催告，本公司另應通知被保險人以確保其權益。對被保險人之通知，依最後留存於本公司之聯絡資料，以書面、電子郵件、簡訊或其他約定方式擇一發出通知者，視為已完成。</w:t>
      </w:r>
    </w:p>
    <w:p>
      <w:pPr>
        <w:pStyle w:val="BodyText"/>
        <w:spacing w:line="242" w:lineRule="auto"/>
        <w:ind w:left="993" w:right="254"/>
      </w:pPr>
      <w:r>
        <w:rPr/>
        <w:t>逾寬限期間仍未交付者，本契約自寬限期間終了翌日起停止效力。如在寬限期間內發生保險事故時，本公司仍負保險責任。</w:t>
      </w:r>
    </w:p>
    <w:p>
      <w:pPr>
        <w:pStyle w:val="BodyText"/>
        <w:spacing w:before="10"/>
        <w:ind w:left="0"/>
        <w:rPr>
          <w:sz w:val="20"/>
        </w:rPr>
      </w:pPr>
    </w:p>
    <w:p>
      <w:pPr>
        <w:pStyle w:val="Heading1"/>
        <w:tabs>
          <w:tab w:pos="1276" w:val="left" w:leader="none"/>
        </w:tabs>
      </w:pPr>
      <w:r>
        <w:rPr/>
        <w:t>第七條</w:t>
        <w:tab/>
      </w:r>
      <w:r>
        <w:rPr>
          <w:spacing w:val="-1"/>
        </w:rPr>
        <w:t>保</w:t>
      </w:r>
      <w:r>
        <w:rPr/>
        <w:t>險費的墊繳及契約效力的停止</w:t>
      </w:r>
    </w:p>
    <w:p>
      <w:pPr>
        <w:pStyle w:val="BodyText"/>
        <w:spacing w:line="330" w:lineRule="exact"/>
        <w:ind w:left="993"/>
      </w:pPr>
      <w:r>
        <w:rPr/>
        <w:t>要保人得於要保書或繳費寬限期間終了前以書面或其他約定方式聲明，</w:t>
      </w:r>
    </w:p>
    <w:p>
      <w:pPr>
        <w:pStyle w:val="BodyText"/>
        <w:spacing w:line="244" w:lineRule="auto" w:before="4"/>
        <w:ind w:left="993" w:right="249"/>
        <w:jc w:val="both"/>
      </w:pPr>
      <w:r>
        <w:rPr/>
        <w:t>第二期以後的分期保險費於超過寬限期間仍未交付者，本公司應以本契約當時的保單價值準備金（如有保險單借款者，以扣除其借款本息後的餘額）自動墊繳本契約及附加於本契約之所有附約、附加條款、批註條款應繳的保險費及利息，使其繼續有效。但要保人亦得於次一墊繳日前以書面或其他約定方式通知本公司停止保險費的自動墊繳。墊繳保險費的利息，自寬限期間終了的翌日起，按墊繳當時本公司公告的保險費墊</w:t>
      </w:r>
      <w:r>
        <w:rPr>
          <w:spacing w:val="-4"/>
          <w:w w:val="100"/>
        </w:rPr>
        <w:t>繳利率計算</w:t>
      </w:r>
      <w:r>
        <w:rPr>
          <w:w w:val="100"/>
        </w:rPr>
        <w:t>（</w:t>
      </w:r>
      <w:r>
        <w:rPr>
          <w:spacing w:val="-3"/>
          <w:w w:val="100"/>
        </w:rPr>
        <w:t>不得超過本保險單辦理保險單借款的利率</w:t>
      </w:r>
      <w:r>
        <w:rPr>
          <w:spacing w:val="-147"/>
          <w:w w:val="100"/>
        </w:rPr>
        <w:t>）</w:t>
      </w:r>
      <w:r>
        <w:rPr>
          <w:spacing w:val="-5"/>
          <w:w w:val="100"/>
        </w:rPr>
        <w:t>，並應於墊繳日</w:t>
      </w:r>
      <w:r>
        <w:rPr/>
        <w:t>後之翌日起開始償付利息；但要保人自應償付利息之日起，未付利息已逾一年以上而經催告後仍未償付者，本公司得將其利息滾入墊繳保險費後再行計息。</w:t>
      </w:r>
    </w:p>
    <w:p>
      <w:pPr>
        <w:pStyle w:val="BodyText"/>
        <w:spacing w:line="343" w:lineRule="exact"/>
        <w:ind w:left="993"/>
      </w:pPr>
      <w:r>
        <w:rPr/>
        <w:t>前項每次墊繳保險費的本息，本公司應即出具憑證交予要保人，並於憑</w:t>
      </w:r>
    </w:p>
    <w:p>
      <w:pPr>
        <w:pStyle w:val="BodyText"/>
        <w:spacing w:line="242" w:lineRule="auto" w:before="6"/>
        <w:ind w:left="993" w:right="254"/>
        <w:jc w:val="both"/>
      </w:pPr>
      <w:r>
        <w:rPr/>
        <w:t>證上載明墊繳之本息及本契約保單價值準備金之餘額。保單價值準備金之餘額不足墊繳一日的保險費且經催告到達後屆三十日仍不交付時，本契約效力停止。</w:t>
      </w:r>
    </w:p>
    <w:p>
      <w:pPr>
        <w:pStyle w:val="BodyText"/>
        <w:spacing w:line="244" w:lineRule="auto" w:before="5"/>
        <w:ind w:left="993" w:right="254"/>
      </w:pPr>
      <w:r>
        <w:rPr/>
        <w:t>前項對要保人之催告，另應以第六條第三項方式通知被保險人以確保其權益。</w:t>
      </w:r>
    </w:p>
    <w:p>
      <w:pPr>
        <w:pStyle w:val="BodyText"/>
        <w:spacing w:before="12"/>
        <w:ind w:left="0"/>
        <w:rPr>
          <w:sz w:val="20"/>
        </w:rPr>
      </w:pPr>
    </w:p>
    <w:p>
      <w:pPr>
        <w:pStyle w:val="Heading1"/>
        <w:tabs>
          <w:tab w:pos="1276" w:val="left" w:leader="none"/>
        </w:tabs>
      </w:pPr>
      <w:r>
        <w:rPr/>
        <w:t>第八條</w:t>
        <w:tab/>
        <w:t>本契約效力的恢復</w:t>
      </w:r>
    </w:p>
    <w:p>
      <w:pPr>
        <w:pStyle w:val="BodyText"/>
        <w:spacing w:line="330" w:lineRule="exact"/>
        <w:ind w:left="993"/>
      </w:pPr>
      <w:r>
        <w:rPr/>
        <w:t>本契約停止效力後，要保人得在停效日起二年內，申請復效。但保險期</w:t>
      </w:r>
    </w:p>
    <w:p>
      <w:pPr>
        <w:pStyle w:val="BodyText"/>
        <w:spacing w:before="6"/>
        <w:ind w:left="993"/>
      </w:pPr>
      <w:r>
        <w:rPr>
          <w:spacing w:val="-1"/>
        </w:rPr>
        <w:t>間屆滿後不得申請復效。</w:t>
      </w:r>
    </w:p>
    <w:p>
      <w:pPr>
        <w:pStyle w:val="BodyText"/>
        <w:spacing w:before="6"/>
        <w:ind w:left="993"/>
      </w:pPr>
      <w:r>
        <w:rPr/>
        <w:t>要保人於停止效力之日起六個月內提出前項復效申請，並經要保人清償</w:t>
      </w:r>
    </w:p>
    <w:p>
      <w:pPr>
        <w:spacing w:after="0"/>
        <w:sectPr>
          <w:pgSz w:w="11910" w:h="16840"/>
          <w:pgMar w:header="0" w:footer="746" w:top="1360" w:bottom="1020" w:left="980" w:right="880"/>
        </w:sectPr>
      </w:pPr>
    </w:p>
    <w:p>
      <w:pPr>
        <w:pStyle w:val="BodyText"/>
        <w:spacing w:line="242" w:lineRule="auto" w:before="26"/>
        <w:ind w:left="993" w:right="249"/>
      </w:pPr>
      <w:r>
        <w:rPr/>
        <w:t>保險費扣除停效期間的危險保險費後之餘額，自翌日上午零時起，開始恢復其效力。</w:t>
      </w:r>
    </w:p>
    <w:p>
      <w:pPr>
        <w:pStyle w:val="BodyText"/>
        <w:spacing w:line="242" w:lineRule="auto" w:before="3"/>
        <w:ind w:left="993" w:right="254"/>
        <w:jc w:val="both"/>
      </w:pPr>
      <w:r>
        <w:rPr/>
        <w:t>要保人於停止效力之日起六個月後提出第一項之復效申請者，本公司得於要保人之復效申請送達本公司之日起五日內要求要保人提供被保險人之可保證明。要保人如未於十日內交齊本公司要求提供之可保證明者，</w:t>
      </w:r>
      <w:r>
        <w:rPr>
          <w:spacing w:val="-138"/>
        </w:rPr>
        <w:t> </w:t>
      </w:r>
      <w:r>
        <w:rPr/>
        <w:t>本公司得退回該次復效之申請。</w:t>
      </w:r>
    </w:p>
    <w:p>
      <w:pPr>
        <w:pStyle w:val="BodyText"/>
        <w:spacing w:line="244" w:lineRule="auto" w:before="7"/>
        <w:ind w:left="993" w:right="254"/>
      </w:pPr>
      <w:r>
        <w:rPr/>
        <w:t>被保險人之危險程度有重大變更已達拒絕承保程度者，本公司得拒絕其復效。</w:t>
      </w:r>
    </w:p>
    <w:p>
      <w:pPr>
        <w:pStyle w:val="BodyText"/>
        <w:spacing w:line="242" w:lineRule="auto"/>
        <w:ind w:left="993" w:right="254"/>
        <w:jc w:val="both"/>
      </w:pPr>
      <w:r>
        <w:rPr/>
        <w:drawing>
          <wp:anchor distT="0" distB="0" distL="0" distR="0" allowOverlap="1" layoutInCell="1" locked="0" behindDoc="1" simplePos="0" relativeHeight="486321152">
            <wp:simplePos x="0" y="0"/>
            <wp:positionH relativeFrom="page">
              <wp:posOffset>2874040</wp:posOffset>
            </wp:positionH>
            <wp:positionV relativeFrom="paragraph">
              <wp:posOffset>397651</wp:posOffset>
            </wp:positionV>
            <wp:extent cx="1837644" cy="4428464"/>
            <wp:effectExtent l="0" t="0" r="0" b="0"/>
            <wp:wrapNone/>
            <wp:docPr id="9" name="image1.png"/>
            <wp:cNvGraphicFramePr>
              <a:graphicFrameLocks noChangeAspect="1"/>
            </wp:cNvGraphicFramePr>
            <a:graphic>
              <a:graphicData uri="http://schemas.openxmlformats.org/drawingml/2006/picture">
                <pic:pic>
                  <pic:nvPicPr>
                    <pic:cNvPr id="10" name="image1.png"/>
                    <pic:cNvPicPr/>
                  </pic:nvPicPr>
                  <pic:blipFill>
                    <a:blip r:embed="rId7" cstate="print"/>
                    <a:stretch>
                      <a:fillRect/>
                    </a:stretch>
                  </pic:blipFill>
                  <pic:spPr>
                    <a:xfrm>
                      <a:off x="0" y="0"/>
                      <a:ext cx="1837644" cy="4428464"/>
                    </a:xfrm>
                    <a:prstGeom prst="rect">
                      <a:avLst/>
                    </a:prstGeom>
                  </pic:spPr>
                </pic:pic>
              </a:graphicData>
            </a:graphic>
          </wp:anchor>
        </w:drawing>
      </w:r>
      <w:r>
        <w:rPr/>
        <w:t>本公司未於第三項約定期限內要求要保人提供可保證明，或於收齊可保證明後十五日內不為拒絕者，視為同意復效，並經要保人清償第二項所約定之金額後，自翌日上午零時起，開始恢復其效力。</w:t>
      </w:r>
    </w:p>
    <w:p>
      <w:pPr>
        <w:pStyle w:val="BodyText"/>
        <w:spacing w:line="242" w:lineRule="auto" w:before="4"/>
        <w:ind w:left="993" w:right="254"/>
        <w:jc w:val="both"/>
      </w:pPr>
      <w:r>
        <w:rPr/>
        <w:t>要保人依第三項提出申請復效者，除有同項後段或第四項之情形外，於交齊可保證明，並清償第二項所約定之金額後，自翌日上午零時起，開始恢復其效力。</w:t>
      </w:r>
    </w:p>
    <w:p>
      <w:pPr>
        <w:pStyle w:val="BodyText"/>
        <w:spacing w:line="242" w:lineRule="auto" w:before="5"/>
        <w:ind w:left="993" w:right="250"/>
        <w:jc w:val="both"/>
      </w:pPr>
      <w:r>
        <w:rPr/>
        <w:t>本契約因第七條第二項或第三十七條約定停止效力而申請復效者，除復效程序依前六項約定辦理外，要保人清償保險單借款本息與墊繳保險費及其利息，其未償餘額合計不得逾依第三十七條第一項約定之保險單借款可借金額上限。</w:t>
      </w:r>
    </w:p>
    <w:p>
      <w:pPr>
        <w:pStyle w:val="BodyText"/>
        <w:spacing w:line="244" w:lineRule="auto" w:before="7"/>
        <w:ind w:left="993" w:right="253"/>
        <w:jc w:val="both"/>
      </w:pPr>
      <w:r>
        <w:rPr/>
        <w:t>基於保戶服務，本公司於保險契約停止效力後至得申請復效之期限屆滿前三個月，將以書面、電子郵件、簡訊或其他約定方式擇一通知要保人有行使第一項申請復效之權利，並載明要保人未於第一項約定期限屆滿前恢復保險單效力者，契約效力將自第一項約定期限屆滿之日翌日上午零時起終止，以提醒要保人注意。</w:t>
      </w:r>
    </w:p>
    <w:p>
      <w:pPr>
        <w:pStyle w:val="BodyText"/>
        <w:spacing w:line="244" w:lineRule="auto"/>
        <w:ind w:left="993" w:right="250"/>
        <w:jc w:val="both"/>
      </w:pPr>
      <w:r>
        <w:rPr/>
        <w:t>第一項約定期限屆滿時，本契約效力即行終止，本契約若累積達有保單價值準備金，而要保人未申請墊繳保險費或變更契約內容時，本公司應主動退還剩餘之保單價值準備金。</w:t>
      </w:r>
    </w:p>
    <w:p>
      <w:pPr>
        <w:pStyle w:val="BodyText"/>
        <w:spacing w:before="3"/>
        <w:ind w:left="0"/>
        <w:rPr>
          <w:sz w:val="20"/>
        </w:rPr>
      </w:pPr>
    </w:p>
    <w:p>
      <w:pPr>
        <w:pStyle w:val="Heading1"/>
        <w:tabs>
          <w:tab w:pos="1276" w:val="left" w:leader="none"/>
        </w:tabs>
      </w:pPr>
      <w:r>
        <w:rPr/>
        <w:t>第九條</w:t>
        <w:tab/>
        <w:t>告知義務與本契約的解除</w:t>
      </w:r>
    </w:p>
    <w:p>
      <w:pPr>
        <w:pStyle w:val="BodyText"/>
        <w:spacing w:line="330" w:lineRule="exact"/>
        <w:ind w:left="993"/>
      </w:pPr>
      <w:r>
        <w:rPr/>
        <w:t>要保人或被保險人在訂立本契約時，對於本公司要保書書面詢問的告知</w:t>
      </w:r>
    </w:p>
    <w:p>
      <w:pPr>
        <w:pStyle w:val="BodyText"/>
        <w:spacing w:line="244" w:lineRule="auto" w:before="6"/>
        <w:ind w:left="993" w:right="184"/>
        <w:jc w:val="both"/>
      </w:pPr>
      <w:r>
        <w:rPr/>
        <w:t>事項應據實說明，如有為隱匿或遺漏不為說明，或為不實的說明，足以變更或減少本公司對於危險的估計者，本公司得解除契約，其保險事故</w:t>
      </w:r>
      <w:r>
        <w:rPr>
          <w:spacing w:val="-3"/>
        </w:rPr>
        <w:t>發生後亦同。但危險的發生未基於其說明或未說明的事實時，不在此限。</w:t>
      </w:r>
      <w:r>
        <w:rPr/>
        <w:t>前項解除契約權，自本公司知有解除之原因後，經過一個月不行使而消滅；或自契約訂立後，經過二年不行使而消滅。</w:t>
      </w:r>
    </w:p>
    <w:p>
      <w:pPr>
        <w:pStyle w:val="BodyText"/>
        <w:spacing w:before="6"/>
        <w:ind w:left="0"/>
        <w:rPr>
          <w:sz w:val="20"/>
        </w:rPr>
      </w:pPr>
    </w:p>
    <w:p>
      <w:pPr>
        <w:pStyle w:val="Heading1"/>
        <w:tabs>
          <w:tab w:pos="1276" w:val="left" w:leader="none"/>
        </w:tabs>
      </w:pPr>
      <w:r>
        <w:rPr/>
        <w:t>第十條</w:t>
        <w:tab/>
        <w:t>契約的終止（一）</w:t>
      </w:r>
    </w:p>
    <w:p>
      <w:pPr>
        <w:pStyle w:val="BodyText"/>
        <w:spacing w:line="330" w:lineRule="exact"/>
        <w:ind w:left="993"/>
      </w:pPr>
      <w:r>
        <w:rPr/>
        <w:t>要保人得隨時終止本契約。</w:t>
      </w:r>
    </w:p>
    <w:p>
      <w:pPr>
        <w:pStyle w:val="BodyText"/>
        <w:spacing w:before="6"/>
        <w:ind w:left="993"/>
      </w:pPr>
      <w:r>
        <w:rPr/>
        <w:t>前項契約之終止，自本公司收到要保人書面或其他約定方式通知時，開</w:t>
      </w:r>
    </w:p>
    <w:p>
      <w:pPr>
        <w:spacing w:after="0"/>
        <w:sectPr>
          <w:pgSz w:w="11910" w:h="16840"/>
          <w:pgMar w:header="0" w:footer="746" w:top="1360" w:bottom="1020" w:left="980" w:right="880"/>
        </w:sectPr>
      </w:pPr>
    </w:p>
    <w:p>
      <w:pPr>
        <w:pStyle w:val="BodyText"/>
        <w:spacing w:before="26"/>
        <w:ind w:left="993"/>
      </w:pPr>
      <w:r>
        <w:rPr/>
        <w:t>始生效。</w:t>
      </w:r>
    </w:p>
    <w:p>
      <w:pPr>
        <w:pStyle w:val="BodyText"/>
        <w:spacing w:line="244" w:lineRule="auto" w:before="4"/>
        <w:ind w:left="993" w:right="254"/>
        <w:jc w:val="both"/>
      </w:pPr>
      <w:r>
        <w:rPr/>
        <w:t>要保人保險費已付足達一年以上或繳費累積達有保單價值準備金而終止契約時，本公司應於接到通知後一個月內償付解約金。逾期本公司應加計利息給付，其利息按年利率一分計算。本契約歷年解約金額如保險單之解約金額附表。</w:t>
      </w:r>
    </w:p>
    <w:p>
      <w:pPr>
        <w:pStyle w:val="BodyText"/>
        <w:spacing w:before="9"/>
        <w:ind w:left="0"/>
        <w:rPr>
          <w:sz w:val="20"/>
        </w:rPr>
      </w:pPr>
    </w:p>
    <w:p>
      <w:pPr>
        <w:pStyle w:val="Heading1"/>
        <w:tabs>
          <w:tab w:pos="1557" w:val="left" w:leader="none"/>
        </w:tabs>
      </w:pPr>
      <w:r>
        <w:rPr/>
        <w:t>第十一條</w:t>
        <w:tab/>
        <w:t>契約的終止（二）</w:t>
      </w:r>
    </w:p>
    <w:p>
      <w:pPr>
        <w:pStyle w:val="BodyText"/>
        <w:spacing w:line="330" w:lineRule="exact"/>
        <w:ind w:left="1281"/>
      </w:pPr>
      <w:r>
        <w:rPr>
          <w:spacing w:val="-1"/>
        </w:rPr>
        <w:t>本契約有下列情形之一時，其效力即行終止：</w:t>
      </w:r>
    </w:p>
    <w:p>
      <w:pPr>
        <w:pStyle w:val="BodyText"/>
        <w:spacing w:line="242" w:lineRule="auto" w:before="6"/>
        <w:ind w:left="1840" w:right="181" w:hanging="560"/>
      </w:pPr>
      <w:r>
        <w:rPr/>
        <w:drawing>
          <wp:anchor distT="0" distB="0" distL="0" distR="0" allowOverlap="1" layoutInCell="1" locked="0" behindDoc="1" simplePos="0" relativeHeight="486321664">
            <wp:simplePos x="0" y="0"/>
            <wp:positionH relativeFrom="page">
              <wp:posOffset>2874040</wp:posOffset>
            </wp:positionH>
            <wp:positionV relativeFrom="paragraph">
              <wp:posOffset>401461</wp:posOffset>
            </wp:positionV>
            <wp:extent cx="1837644" cy="4428464"/>
            <wp:effectExtent l="0" t="0" r="0" b="0"/>
            <wp:wrapNone/>
            <wp:docPr id="11" name="image1.png"/>
            <wp:cNvGraphicFramePr>
              <a:graphicFrameLocks noChangeAspect="1"/>
            </wp:cNvGraphicFramePr>
            <a:graphic>
              <a:graphicData uri="http://schemas.openxmlformats.org/drawingml/2006/picture">
                <pic:pic>
                  <pic:nvPicPr>
                    <pic:cNvPr id="12" name="image1.png"/>
                    <pic:cNvPicPr/>
                  </pic:nvPicPr>
                  <pic:blipFill>
                    <a:blip r:embed="rId7" cstate="print"/>
                    <a:stretch>
                      <a:fillRect/>
                    </a:stretch>
                  </pic:blipFill>
                  <pic:spPr>
                    <a:xfrm>
                      <a:off x="0" y="0"/>
                      <a:ext cx="1837644" cy="4428464"/>
                    </a:xfrm>
                    <a:prstGeom prst="rect">
                      <a:avLst/>
                    </a:prstGeom>
                  </pic:spPr>
                </pic:pic>
              </a:graphicData>
            </a:graphic>
          </wp:anchor>
        </w:drawing>
      </w:r>
      <w:r>
        <w:rPr/>
        <w:t>一、被保險人身故日（被保險人因遭受「意外傷害事故」身故者，本</w:t>
      </w:r>
      <w:r>
        <w:rPr>
          <w:spacing w:val="-9"/>
        </w:rPr>
        <w:t>公司依約定給付「意外事故身故保險金」或「喪葬費用保險金」</w:t>
      </w:r>
      <w:r>
        <w:rPr>
          <w:spacing w:val="-137"/>
        </w:rPr>
        <w:t>）</w:t>
      </w:r>
      <w:r>
        <w:rPr>
          <w:spacing w:val="-3"/>
        </w:rPr>
        <w:t>。</w:t>
      </w:r>
    </w:p>
    <w:p>
      <w:pPr>
        <w:pStyle w:val="BodyText"/>
        <w:spacing w:before="3"/>
        <w:ind w:left="1281"/>
      </w:pPr>
      <w:r>
        <w:rPr>
          <w:spacing w:val="-1"/>
        </w:rPr>
        <w:t>二、被保險人保險年齡九十歲之保險單年度終了。</w:t>
      </w:r>
    </w:p>
    <w:p>
      <w:pPr>
        <w:pStyle w:val="BodyText"/>
        <w:spacing w:line="242" w:lineRule="auto" w:before="7"/>
        <w:ind w:left="1281" w:right="248"/>
        <w:jc w:val="both"/>
      </w:pPr>
      <w:r>
        <w:rPr/>
        <w:t>被保險人於本契約有效期間內因遭受「意外傷害事故」以外情形而身故導致本契約終止時，本公司將以解約金或未到期保險費二者取其大者退還予要保人。</w:t>
      </w:r>
    </w:p>
    <w:p>
      <w:pPr>
        <w:pStyle w:val="BodyText"/>
        <w:spacing w:before="8"/>
        <w:ind w:left="0"/>
        <w:rPr>
          <w:sz w:val="21"/>
        </w:rPr>
      </w:pPr>
    </w:p>
    <w:p>
      <w:pPr>
        <w:pStyle w:val="Heading1"/>
        <w:tabs>
          <w:tab w:pos="1557" w:val="left" w:leader="none"/>
        </w:tabs>
      </w:pPr>
      <w:r>
        <w:rPr/>
        <w:t>第十二條</w:t>
        <w:tab/>
      </w:r>
      <w:r>
        <w:rPr>
          <w:spacing w:val="-1"/>
        </w:rPr>
        <w:t>意外</w:t>
      </w:r>
      <w:r>
        <w:rPr/>
        <w:t>事故身故保險金或喪葬費用保險金的給付</w:t>
      </w:r>
    </w:p>
    <w:p>
      <w:pPr>
        <w:pStyle w:val="BodyText"/>
        <w:spacing w:line="330" w:lineRule="exact"/>
        <w:ind w:left="1281"/>
      </w:pPr>
      <w:r>
        <w:rPr>
          <w:spacing w:val="-8"/>
        </w:rPr>
        <w:t>被保險人於本契約有效期間內遭受「意外傷害事故」，自意外傷害事故</w:t>
      </w:r>
    </w:p>
    <w:p>
      <w:pPr>
        <w:pStyle w:val="BodyText"/>
        <w:spacing w:line="244" w:lineRule="auto" w:before="4"/>
        <w:ind w:left="1281" w:right="246"/>
      </w:pPr>
      <w:r>
        <w:rPr>
          <w:spacing w:val="10"/>
        </w:rPr>
        <w:t>發生之日起一百八十日以內身故者，本公司依該意外傷害事故之種</w:t>
      </w:r>
      <w:r>
        <w:rPr>
          <w:spacing w:val="-7"/>
        </w:rPr>
        <w:t>類，按下列約定金額給付「意外事故身故保險金」：</w:t>
      </w:r>
    </w:p>
    <w:p>
      <w:pPr>
        <w:pStyle w:val="BodyText"/>
        <w:spacing w:line="244" w:lineRule="auto"/>
        <w:ind w:left="1281" w:right="1060"/>
      </w:pPr>
      <w:r>
        <w:rPr>
          <w:spacing w:val="-23"/>
        </w:rPr>
        <w:t>一、「一般意外傷害事故」：「傷害醫療保險金日額」的五百倍。二、「特定意外傷害事故」：「傷害醫療保險金日額」的一千倍。</w:t>
      </w:r>
    </w:p>
    <w:p>
      <w:pPr>
        <w:pStyle w:val="BodyText"/>
        <w:spacing w:line="242" w:lineRule="auto"/>
        <w:ind w:left="1281" w:right="249"/>
        <w:jc w:val="both"/>
      </w:pPr>
      <w:r>
        <w:rPr/>
        <w:t>前項情形，如被保險人自意外傷害事故發生之日起超過一百八十日身故，受益人若能證明被保險人之身故與該意外傷害事故具有因果關係</w:t>
      </w:r>
      <w:r>
        <w:rPr>
          <w:spacing w:val="-7"/>
        </w:rPr>
        <w:t>者，本公司仍依前項約定給付「意外事故身故保險金」，不受前項一百</w:t>
      </w:r>
      <w:r>
        <w:rPr/>
        <w:t>八十日之限制。</w:t>
      </w:r>
    </w:p>
    <w:p>
      <w:pPr>
        <w:pStyle w:val="BodyText"/>
        <w:spacing w:line="242" w:lineRule="auto" w:before="3"/>
        <w:ind w:left="1281" w:right="244"/>
      </w:pPr>
      <w:r>
        <w:rPr/>
        <w:t>訂立本契約時，以受監護宣告尚未撤銷者為被保險人，其「意外事故</w:t>
      </w:r>
      <w:r>
        <w:rPr>
          <w:spacing w:val="-8"/>
        </w:rPr>
        <w:t>身故保險金」變更為「喪葬費用保險金」。</w:t>
      </w:r>
    </w:p>
    <w:p>
      <w:pPr>
        <w:pStyle w:val="BodyText"/>
        <w:spacing w:line="242" w:lineRule="auto" w:before="2"/>
        <w:ind w:left="1281" w:right="254"/>
        <w:jc w:val="both"/>
      </w:pPr>
      <w:r>
        <w:rPr/>
        <w:t>前項被保險人於民國九十九年二月三日（含）以後所投保之喪葬費用</w:t>
      </w:r>
      <w:r>
        <w:rPr>
          <w:spacing w:val="-4"/>
          <w:w w:val="100"/>
        </w:rPr>
        <w:t>保險金額總和</w:t>
      </w:r>
      <w:r>
        <w:rPr>
          <w:w w:val="100"/>
        </w:rPr>
        <w:t>（</w:t>
      </w:r>
      <w:r>
        <w:rPr>
          <w:spacing w:val="-3"/>
          <w:w w:val="100"/>
        </w:rPr>
        <w:t>不限本公司</w:t>
      </w:r>
      <w:r>
        <w:rPr>
          <w:spacing w:val="-149"/>
          <w:w w:val="100"/>
        </w:rPr>
        <w:t>）</w:t>
      </w:r>
      <w:r>
        <w:rPr>
          <w:spacing w:val="-5"/>
          <w:w w:val="100"/>
        </w:rPr>
        <w:t>，不得超過遺產及贈與稅法第十七條有關</w:t>
      </w:r>
      <w:r>
        <w:rPr/>
        <w:t>遺產稅喪葬費扣除額之半數，其超過部分本公司不負給付責任，本公司並應無息退還該超過部分之已繳保險費。</w:t>
      </w:r>
    </w:p>
    <w:p>
      <w:pPr>
        <w:pStyle w:val="BodyText"/>
        <w:spacing w:line="244" w:lineRule="auto" w:before="8"/>
        <w:ind w:left="1281" w:right="244"/>
        <w:jc w:val="both"/>
      </w:pPr>
      <w:r>
        <w:rPr/>
        <w:t>前項情形，如要保人向二家（含）以上保險公司投保，或向同一保險公司投保數個保險契（附）約，且其投保之喪葬費用保險金額合計超過所定之限額者，本公司於所承保之喪葬費用金額範圍內，依各要保書所載之要保時間先後，依約給付喪葬費用保險金至前項喪葬費用額度上限為止，如有二家以上保險公司之保險契約要保時間相同或無法區分其要保時間之先後者，各該保險公司應依其喪葬費用保險金額與扣除要保時間在先之保險公司應理賠之金額後所餘之限額比例分擔其</w:t>
      </w:r>
    </w:p>
    <w:p>
      <w:pPr>
        <w:spacing w:after="0" w:line="244" w:lineRule="auto"/>
        <w:jc w:val="both"/>
        <w:sectPr>
          <w:pgSz w:w="11910" w:h="16840"/>
          <w:pgMar w:header="0" w:footer="746" w:top="1360" w:bottom="1020" w:left="980" w:right="880"/>
        </w:sectPr>
      </w:pPr>
    </w:p>
    <w:p>
      <w:pPr>
        <w:pStyle w:val="BodyText"/>
        <w:spacing w:before="26"/>
        <w:ind w:left="1281"/>
      </w:pPr>
      <w:r>
        <w:rPr/>
        <w:t>責任。</w:t>
      </w:r>
    </w:p>
    <w:p>
      <w:pPr>
        <w:pStyle w:val="BodyText"/>
        <w:spacing w:before="7"/>
        <w:ind w:left="0"/>
        <w:rPr>
          <w:sz w:val="21"/>
        </w:rPr>
      </w:pPr>
    </w:p>
    <w:p>
      <w:pPr>
        <w:pStyle w:val="Heading1"/>
        <w:tabs>
          <w:tab w:pos="1557" w:val="left" w:leader="none"/>
        </w:tabs>
      </w:pPr>
      <w:r>
        <w:rPr/>
        <w:t>第十三條</w:t>
        <w:tab/>
      </w:r>
      <w:r>
        <w:rPr>
          <w:spacing w:val="-1"/>
        </w:rPr>
        <w:t>意外事</w:t>
      </w:r>
      <w:r>
        <w:rPr/>
        <w:t>故失能保險金的給付</w:t>
      </w:r>
    </w:p>
    <w:p>
      <w:pPr>
        <w:pStyle w:val="BodyText"/>
        <w:spacing w:line="330" w:lineRule="exact"/>
        <w:ind w:left="1281"/>
      </w:pPr>
      <w:r>
        <w:rPr>
          <w:spacing w:val="-8"/>
        </w:rPr>
        <w:t>被保險人於本契約有效期間內遭受「意外傷害事故」，自意外傷害事故</w:t>
      </w:r>
    </w:p>
    <w:p>
      <w:pPr>
        <w:pStyle w:val="BodyText"/>
        <w:spacing w:line="242" w:lineRule="auto" w:before="7"/>
        <w:ind w:left="1281" w:right="249"/>
        <w:jc w:val="both"/>
      </w:pPr>
      <w:r>
        <w:rPr/>
        <w:t>發生之日起一百八十日以內致成附表二所列失能程度之一者，本公司依該意外傷害事故之種類及其致成被保險人之失能程度，按下列約定</w:t>
      </w:r>
      <w:r>
        <w:rPr>
          <w:spacing w:val="-19"/>
        </w:rPr>
        <w:t>金額給付「意外事故失能保險金」：</w:t>
      </w:r>
    </w:p>
    <w:p>
      <w:pPr>
        <w:pStyle w:val="BodyText"/>
        <w:spacing w:line="244" w:lineRule="auto" w:before="5"/>
        <w:ind w:left="1840" w:right="248" w:hanging="560"/>
      </w:pPr>
      <w:r>
        <w:rPr>
          <w:spacing w:val="-23"/>
        </w:rPr>
        <w:t>一、「一般意外傷害事故」：「傷害醫療保險金日額」的五百倍乘以附表</w:t>
      </w:r>
      <w:r>
        <w:rPr/>
        <w:t>二給付比例。</w:t>
      </w:r>
    </w:p>
    <w:p>
      <w:pPr>
        <w:pStyle w:val="BodyText"/>
        <w:spacing w:line="244" w:lineRule="auto"/>
        <w:ind w:left="1840" w:right="248" w:hanging="560"/>
      </w:pPr>
      <w:r>
        <w:rPr/>
        <w:drawing>
          <wp:anchor distT="0" distB="0" distL="0" distR="0" allowOverlap="1" layoutInCell="1" locked="0" behindDoc="1" simplePos="0" relativeHeight="486322176">
            <wp:simplePos x="0" y="0"/>
            <wp:positionH relativeFrom="page">
              <wp:posOffset>2874040</wp:posOffset>
            </wp:positionH>
            <wp:positionV relativeFrom="paragraph">
              <wp:posOffset>167527</wp:posOffset>
            </wp:positionV>
            <wp:extent cx="1837644" cy="4428464"/>
            <wp:effectExtent l="0" t="0" r="0" b="0"/>
            <wp:wrapNone/>
            <wp:docPr id="13" name="image1.png"/>
            <wp:cNvGraphicFramePr>
              <a:graphicFrameLocks noChangeAspect="1"/>
            </wp:cNvGraphicFramePr>
            <a:graphic>
              <a:graphicData uri="http://schemas.openxmlformats.org/drawingml/2006/picture">
                <pic:pic>
                  <pic:nvPicPr>
                    <pic:cNvPr id="14" name="image1.png"/>
                    <pic:cNvPicPr/>
                  </pic:nvPicPr>
                  <pic:blipFill>
                    <a:blip r:embed="rId7" cstate="print"/>
                    <a:stretch>
                      <a:fillRect/>
                    </a:stretch>
                  </pic:blipFill>
                  <pic:spPr>
                    <a:xfrm>
                      <a:off x="0" y="0"/>
                      <a:ext cx="1837644" cy="4428464"/>
                    </a:xfrm>
                    <a:prstGeom prst="rect">
                      <a:avLst/>
                    </a:prstGeom>
                  </pic:spPr>
                </pic:pic>
              </a:graphicData>
            </a:graphic>
          </wp:anchor>
        </w:drawing>
      </w:r>
      <w:r>
        <w:rPr>
          <w:spacing w:val="-23"/>
        </w:rPr>
        <w:t>二、「特定意外傷害事故」：「傷害醫療保險金日額」的一千倍乘以附表</w:t>
      </w:r>
      <w:r>
        <w:rPr/>
        <w:t>二給付比例。</w:t>
      </w:r>
    </w:p>
    <w:p>
      <w:pPr>
        <w:pStyle w:val="BodyText"/>
        <w:spacing w:line="242" w:lineRule="auto"/>
        <w:ind w:left="1281" w:right="244"/>
        <w:jc w:val="both"/>
      </w:pPr>
      <w:r>
        <w:rPr/>
        <w:t>前項情形，如被保險人自意外傷害事故發生之日起超過一百八十日致成附表二所列失能程度之一者，受益人若能證明被保險人之失能與該意外傷害事故具有因果關係者，本公司仍依前項規定給付「意外事故</w:t>
      </w:r>
      <w:r>
        <w:rPr>
          <w:spacing w:val="-13"/>
        </w:rPr>
        <w:t>失能保險金」，不受前項一百八十日之限制。</w:t>
      </w:r>
    </w:p>
    <w:p>
      <w:pPr>
        <w:pStyle w:val="BodyText"/>
        <w:spacing w:line="244" w:lineRule="auto" w:before="1"/>
        <w:ind w:left="1281" w:right="220"/>
        <w:jc w:val="both"/>
      </w:pPr>
      <w:r>
        <w:rPr/>
        <w:t>被保險人因同一意外傷害事故致成附表二所列二項以上失能程度時，</w:t>
      </w:r>
      <w:r>
        <w:rPr>
          <w:spacing w:val="1"/>
        </w:rPr>
        <w:t> </w:t>
      </w:r>
      <w:r>
        <w:rPr/>
        <w:t>本公司給付各該項「意外事故失能保險金」之和，以該意外傷害事故種類之下列金額為上限。但不同失能項目屬於同一手或同一足時，僅</w:t>
      </w:r>
      <w:r>
        <w:rPr>
          <w:spacing w:val="-10"/>
        </w:rPr>
        <w:t>給付一項「意外事故失能保險金」；若失能項目所屬失能等級不同時，</w:t>
      </w:r>
      <w:r>
        <w:rPr>
          <w:spacing w:val="-138"/>
        </w:rPr>
        <w:t> </w:t>
      </w:r>
      <w:r>
        <w:rPr>
          <w:spacing w:val="-8"/>
        </w:rPr>
        <w:t>給付較嚴重項目的「意外事故失能保險金」：</w:t>
      </w:r>
    </w:p>
    <w:p>
      <w:pPr>
        <w:pStyle w:val="BodyText"/>
        <w:spacing w:line="244" w:lineRule="auto"/>
        <w:ind w:left="1281" w:right="1060"/>
      </w:pPr>
      <w:r>
        <w:rPr>
          <w:spacing w:val="-23"/>
        </w:rPr>
        <w:t>一、「一般意外傷害事故」：「傷害醫療保險金日額」的五百倍。二、「特定意外傷害事故」：「傷害醫療保險金日額」的一千倍。</w:t>
      </w:r>
    </w:p>
    <w:p>
      <w:pPr>
        <w:pStyle w:val="BodyText"/>
        <w:spacing w:line="244" w:lineRule="auto"/>
        <w:ind w:left="1281" w:right="112"/>
      </w:pPr>
      <w:r>
        <w:rPr/>
        <w:t>被保險人因本次意外傷害事故所致之失能，如合併以前（含本契約訂</w:t>
      </w:r>
      <w:r>
        <w:rPr>
          <w:spacing w:val="-1"/>
        </w:rPr>
        <w:t>立前）的失能，可領附表二所列較嚴重項目的「意外事故失能保險金」</w:t>
      </w:r>
      <w:r>
        <w:rPr/>
        <w:t>者，本公司按較嚴重的項目給付「意外事故失能保險金</w:t>
      </w:r>
      <w:r>
        <w:rPr>
          <w:spacing w:val="-23"/>
        </w:rPr>
        <w:t>」，但以前的失</w:t>
      </w:r>
      <w:r>
        <w:rPr>
          <w:spacing w:val="-5"/>
        </w:rPr>
        <w:t>能，視同已依照本次意外傷害事故種類給付「意外事故失能保險金」，</w:t>
      </w:r>
      <w:r>
        <w:rPr>
          <w:spacing w:val="-137"/>
        </w:rPr>
        <w:t> </w:t>
      </w:r>
      <w:r>
        <w:rPr/>
        <w:t>應扣除之。</w:t>
      </w:r>
    </w:p>
    <w:p>
      <w:pPr>
        <w:pStyle w:val="BodyText"/>
        <w:spacing w:line="244" w:lineRule="auto"/>
        <w:ind w:left="1281" w:right="251"/>
      </w:pPr>
      <w:r>
        <w:rPr/>
        <w:t>前項情形，若被保險人扣除以前的失能後得領取之保險金低於單獨請領之金額者，不適用合併之約定。</w:t>
      </w:r>
    </w:p>
    <w:p>
      <w:pPr>
        <w:pStyle w:val="BodyText"/>
        <w:spacing w:line="242" w:lineRule="auto"/>
        <w:ind w:left="1281" w:right="112"/>
      </w:pPr>
      <w:r>
        <w:rPr/>
        <w:t>被保險人因同一保險單年度內不同意外傷害事故申領「意外事故失能</w:t>
      </w:r>
      <w:r>
        <w:rPr>
          <w:spacing w:val="-1"/>
        </w:rPr>
        <w:t>保險金」時，本公司就各種類意外傷害事故之「意外事故失能保險金」</w:t>
      </w:r>
      <w:r>
        <w:rPr/>
        <w:t>累計給付金額最高以下列金額為限：</w:t>
      </w:r>
    </w:p>
    <w:p>
      <w:pPr>
        <w:pStyle w:val="BodyText"/>
        <w:spacing w:line="244" w:lineRule="auto"/>
        <w:ind w:left="1281" w:right="1060"/>
      </w:pPr>
      <w:r>
        <w:rPr>
          <w:spacing w:val="-23"/>
        </w:rPr>
        <w:t>一、「一般意外傷害事故」：「傷害醫療保險金日額」的五百倍。二、「特定意外傷害事故」：「傷害醫療保險金日額」的一千倍。</w:t>
      </w:r>
    </w:p>
    <w:p>
      <w:pPr>
        <w:pStyle w:val="BodyText"/>
        <w:spacing w:line="244" w:lineRule="auto"/>
        <w:ind w:left="1281" w:right="250"/>
        <w:jc w:val="both"/>
      </w:pPr>
      <w:r>
        <w:rPr/>
        <w:t>被保險人於本契約有效期間內因不同意外傷害事故申領「意外事故失能保險金」時，本公司就「意外事故失能保險金」之累計給付金額最高以「傷害醫療保險金日額」的一千二百倍為限。</w:t>
      </w:r>
    </w:p>
    <w:p>
      <w:pPr>
        <w:pStyle w:val="BodyText"/>
        <w:spacing w:line="355" w:lineRule="exact"/>
        <w:ind w:left="1281"/>
      </w:pPr>
      <w:r>
        <w:rPr/>
        <w:t>如要保人辦理傷害醫療保險金日額之減少或減額繳清保險時，依前二</w:t>
      </w:r>
    </w:p>
    <w:p>
      <w:pPr>
        <w:spacing w:after="0" w:line="355" w:lineRule="exact"/>
        <w:sectPr>
          <w:pgSz w:w="11910" w:h="16840"/>
          <w:pgMar w:header="0" w:footer="746" w:top="1360" w:bottom="1020" w:left="980" w:right="880"/>
        </w:sectPr>
      </w:pPr>
    </w:p>
    <w:p>
      <w:pPr>
        <w:pStyle w:val="BodyText"/>
        <w:spacing w:line="242" w:lineRule="auto" w:before="26"/>
        <w:ind w:left="1281" w:right="250"/>
      </w:pPr>
      <w:r>
        <w:rPr/>
        <w:t>項約定計算之累計給付金額將依傷害醫療保險金日額減少之比例同時縮小。</w:t>
      </w:r>
    </w:p>
    <w:p>
      <w:pPr>
        <w:pStyle w:val="Heading1"/>
        <w:tabs>
          <w:tab w:pos="1557" w:val="left" w:leader="none"/>
        </w:tabs>
        <w:spacing w:line="397" w:lineRule="exact"/>
      </w:pPr>
      <w:r>
        <w:rPr/>
        <w:t>第十四條</w:t>
        <w:tab/>
      </w:r>
      <w:r>
        <w:rPr>
          <w:spacing w:val="-1"/>
        </w:rPr>
        <w:t>保</w:t>
      </w:r>
      <w:r>
        <w:rPr/>
        <w:t>險給付的限制</w:t>
      </w:r>
    </w:p>
    <w:p>
      <w:pPr>
        <w:pStyle w:val="BodyText"/>
        <w:spacing w:line="330" w:lineRule="exact"/>
        <w:ind w:left="1281"/>
      </w:pPr>
      <w:r>
        <w:rPr/>
        <w:t>被保險人於本契約有效期間內因同一意外傷害事故致成失能後身故，</w:t>
      </w:r>
    </w:p>
    <w:p>
      <w:pPr>
        <w:pStyle w:val="BodyText"/>
        <w:spacing w:line="242" w:lineRule="auto" w:before="6"/>
        <w:ind w:left="1281" w:right="112"/>
      </w:pPr>
      <w:r>
        <w:rPr>
          <w:spacing w:val="-3"/>
        </w:rPr>
        <w:t>並符合本契約第十二條及第十三條約定之申領條件時，本公司給付「意</w:t>
      </w:r>
      <w:r>
        <w:rPr>
          <w:spacing w:val="-1"/>
        </w:rPr>
        <w:t>外事故身故保險金」或「喪葬費用保險金」及「意外事故失能保險金」</w:t>
      </w:r>
      <w:r>
        <w:rPr/>
        <w:t>之總金額，以身故日時該意外傷害事故種類之下列金額為上限：</w:t>
      </w:r>
    </w:p>
    <w:p>
      <w:pPr>
        <w:pStyle w:val="BodyText"/>
        <w:spacing w:line="244" w:lineRule="auto" w:before="5"/>
        <w:ind w:left="1281" w:right="1060"/>
      </w:pPr>
      <w:r>
        <w:rPr>
          <w:spacing w:val="-23"/>
        </w:rPr>
        <w:t>一、「一般意外傷害事故」：「傷害醫療保險金日額」的五百倍。二、「特定意外傷害事故」：「傷害醫療保險金日額」的一千倍。</w:t>
      </w:r>
    </w:p>
    <w:p>
      <w:pPr>
        <w:pStyle w:val="BodyText"/>
        <w:spacing w:line="244" w:lineRule="auto"/>
        <w:ind w:left="1281" w:right="248"/>
        <w:jc w:val="both"/>
      </w:pPr>
      <w:r>
        <w:rPr/>
        <w:drawing>
          <wp:anchor distT="0" distB="0" distL="0" distR="0" allowOverlap="1" layoutInCell="1" locked="0" behindDoc="1" simplePos="0" relativeHeight="486322688">
            <wp:simplePos x="0" y="0"/>
            <wp:positionH relativeFrom="page">
              <wp:posOffset>2874040</wp:posOffset>
            </wp:positionH>
            <wp:positionV relativeFrom="paragraph">
              <wp:posOffset>167527</wp:posOffset>
            </wp:positionV>
            <wp:extent cx="1837644" cy="4428464"/>
            <wp:effectExtent l="0" t="0" r="0" b="0"/>
            <wp:wrapNone/>
            <wp:docPr id="15" name="image1.png"/>
            <wp:cNvGraphicFramePr>
              <a:graphicFrameLocks noChangeAspect="1"/>
            </wp:cNvGraphicFramePr>
            <a:graphic>
              <a:graphicData uri="http://schemas.openxmlformats.org/drawingml/2006/picture">
                <pic:pic>
                  <pic:nvPicPr>
                    <pic:cNvPr id="16" name="image1.png"/>
                    <pic:cNvPicPr/>
                  </pic:nvPicPr>
                  <pic:blipFill>
                    <a:blip r:embed="rId7" cstate="print"/>
                    <a:stretch>
                      <a:fillRect/>
                    </a:stretch>
                  </pic:blipFill>
                  <pic:spPr>
                    <a:xfrm>
                      <a:off x="0" y="0"/>
                      <a:ext cx="1837644" cy="4428464"/>
                    </a:xfrm>
                    <a:prstGeom prst="rect">
                      <a:avLst/>
                    </a:prstGeom>
                  </pic:spPr>
                </pic:pic>
              </a:graphicData>
            </a:graphic>
          </wp:anchor>
        </w:drawing>
      </w:r>
      <w:r>
        <w:rPr/>
        <w:t>前項情形，受益人已受領「意外事故失能保險金」者，本公司僅就該意外傷害事故種類之「意外事故身故保險金」給付限額與已受領金額間之差額負給付責任。</w:t>
      </w:r>
    </w:p>
    <w:p>
      <w:pPr>
        <w:pStyle w:val="BodyText"/>
        <w:spacing w:line="242" w:lineRule="auto"/>
        <w:ind w:left="1281" w:right="232"/>
        <w:jc w:val="both"/>
      </w:pPr>
      <w:r>
        <w:rPr>
          <w:spacing w:val="11"/>
        </w:rPr>
        <w:t>被保險人於本契約有效期間內因不同意外傷害事故致成失能、身故</w:t>
      </w:r>
      <w:r>
        <w:rPr/>
        <w:t>時，受益人得依第十二條至第十三條之約定分別申領保險金，不適用前二項之約定。</w:t>
      </w:r>
    </w:p>
    <w:p>
      <w:pPr>
        <w:pStyle w:val="BodyText"/>
        <w:spacing w:before="1"/>
        <w:ind w:left="0"/>
        <w:rPr>
          <w:sz w:val="21"/>
        </w:rPr>
      </w:pPr>
    </w:p>
    <w:p>
      <w:pPr>
        <w:pStyle w:val="Heading1"/>
        <w:tabs>
          <w:tab w:pos="1557" w:val="left" w:leader="none"/>
        </w:tabs>
        <w:spacing w:line="485" w:lineRule="exact"/>
      </w:pPr>
      <w:r>
        <w:rPr/>
        <w:t>第十五條</w:t>
        <w:tab/>
      </w:r>
      <w:r>
        <w:rPr>
          <w:spacing w:val="-1"/>
        </w:rPr>
        <w:t>每月生</w:t>
      </w:r>
      <w:r>
        <w:rPr/>
        <w:t>活照護保險金的給付</w:t>
      </w:r>
    </w:p>
    <w:p>
      <w:pPr>
        <w:pStyle w:val="BodyText"/>
        <w:spacing w:line="329" w:lineRule="exact"/>
        <w:ind w:left="1281"/>
      </w:pPr>
      <w:r>
        <w:rPr>
          <w:spacing w:val="-8"/>
        </w:rPr>
        <w:t>被保險人於本契約有效期間內遭受「意外傷害事故」，自意外傷害事故</w:t>
      </w:r>
    </w:p>
    <w:p>
      <w:pPr>
        <w:pStyle w:val="BodyText"/>
        <w:spacing w:line="244" w:lineRule="auto" w:before="6"/>
        <w:ind w:left="1281" w:right="244"/>
        <w:jc w:val="both"/>
      </w:pPr>
      <w:r>
        <w:rPr/>
        <w:t>發生之日起一百八十日以內致成附表二所列第一級至第六級失能程度之一時，本公司於失能診斷確定當日起，依「傷害醫療保險金日額」的二十倍乘以附表二給付比例所得之金額，按月給付以十二個月為限</w:t>
      </w:r>
      <w:r>
        <w:rPr>
          <w:spacing w:val="-13"/>
        </w:rPr>
        <w:t>之「每月生活照護保險金」；於該項失能的前四個「失能診斷確定週年</w:t>
      </w:r>
      <w:r>
        <w:rPr>
          <w:spacing w:val="-24"/>
        </w:rPr>
        <w:t>日」，本契約有效且被保險人仍生存時，本公司自各該週年日起，依「傷</w:t>
      </w:r>
      <w:r>
        <w:rPr/>
        <w:t>害醫療保險金日額」的二十倍乘以附表二給付比例所得之金額，按月</w:t>
      </w:r>
      <w:r>
        <w:rPr>
          <w:spacing w:val="-7"/>
        </w:rPr>
        <w:t>給付以十二個月為限之「每月生活照護保險金」。</w:t>
      </w:r>
    </w:p>
    <w:p>
      <w:pPr>
        <w:pStyle w:val="BodyText"/>
        <w:spacing w:line="242" w:lineRule="auto"/>
        <w:ind w:left="1281" w:right="252"/>
        <w:jc w:val="both"/>
      </w:pPr>
      <w:r>
        <w:rPr/>
        <w:t>前項情形，如被保險人自意外傷害事故發生之日起超過一百八十日致成附表二所列第一級至第六級失能程度之一者，受益人若能證明被保險人之失能與該意外傷害事故具有因果關係者，本公司仍依前項規定</w:t>
      </w:r>
      <w:r>
        <w:rPr>
          <w:spacing w:val="-11"/>
        </w:rPr>
        <w:t>給付「每月生活照護保險金」，不受前項一百八十日之限制。</w:t>
      </w:r>
    </w:p>
    <w:p>
      <w:pPr>
        <w:pStyle w:val="BodyText"/>
        <w:spacing w:line="244" w:lineRule="auto"/>
        <w:ind w:left="1281" w:right="181"/>
      </w:pPr>
      <w:r>
        <w:rPr/>
        <w:t>被保險人因同一意外傷害事故致成附表二所列二項以上第一級至第六</w:t>
      </w:r>
      <w:r>
        <w:rPr>
          <w:spacing w:val="-4"/>
        </w:rPr>
        <w:t>級失能程度之一時，本公司給付各該項「每月生活照護保險金」之和，</w:t>
      </w:r>
      <w:r>
        <w:rPr>
          <w:spacing w:val="-137"/>
        </w:rPr>
        <w:t> </w:t>
      </w:r>
      <w:r>
        <w:rPr/>
        <w:t>最高以「傷害醫療保險金日額」的二十倍為限。但不同失能項目屬於同一手或同一足時，僅給付一項「每月生活照護保險金</w:t>
      </w:r>
      <w:r>
        <w:rPr>
          <w:spacing w:val="-23"/>
        </w:rPr>
        <w:t>」；若失能項目</w:t>
      </w:r>
      <w:r>
        <w:rPr>
          <w:spacing w:val="-5"/>
        </w:rPr>
        <w:t>所屬失能等級不同時，給付較嚴重項目的「每月生活照護保險金」。</w:t>
      </w:r>
      <w:r>
        <w:rPr>
          <w:spacing w:val="1"/>
        </w:rPr>
        <w:t> </w:t>
      </w:r>
      <w:r>
        <w:rPr/>
        <w:t>被保險人因本次意外傷害事故所致之第一級至第六級失能，如合併以前（含本契約訂立前）的失能，可領附表二所列較嚴重的「每月生活</w:t>
      </w:r>
      <w:r>
        <w:rPr>
          <w:spacing w:val="-21"/>
        </w:rPr>
        <w:t>照護保險金」者，本公司按較嚴重的項目給付「每月生活照護保險金」，</w:t>
      </w:r>
      <w:r>
        <w:rPr>
          <w:spacing w:val="-137"/>
        </w:rPr>
        <w:t> </w:t>
      </w:r>
      <w:r>
        <w:rPr>
          <w:spacing w:val="-7"/>
        </w:rPr>
        <w:t>但以前的失能，視同已給付「每月生活照護保險金」，應扣除之。</w:t>
      </w:r>
    </w:p>
    <w:p>
      <w:pPr>
        <w:spacing w:after="0" w:line="244" w:lineRule="auto"/>
        <w:sectPr>
          <w:pgSz w:w="11910" w:h="16840"/>
          <w:pgMar w:header="0" w:footer="746" w:top="1360" w:bottom="1020" w:left="980" w:right="880"/>
        </w:sectPr>
      </w:pPr>
    </w:p>
    <w:p>
      <w:pPr>
        <w:pStyle w:val="BodyText"/>
        <w:spacing w:line="242" w:lineRule="auto" w:before="26"/>
        <w:ind w:left="1281" w:right="250"/>
      </w:pPr>
      <w:r>
        <w:rPr/>
        <w:t>前項情形，若被保險人扣除以前的失能後得領取之「每月生活照護保險金」低於單獨請領之金額者，不適用合併之約定。</w:t>
      </w:r>
    </w:p>
    <w:p>
      <w:pPr>
        <w:pStyle w:val="BodyText"/>
        <w:spacing w:line="244" w:lineRule="auto" w:before="3"/>
        <w:ind w:left="1281" w:right="248"/>
        <w:jc w:val="both"/>
      </w:pPr>
      <w:r>
        <w:rPr/>
        <w:t>本公司給付「每月生活照護保險金」時，其每月給付金額最高以「傷害醫療保險金日額」的二十倍為限，且累計給付金額最高以「傷害醫療保險金日額」的一千二百倍為限。</w:t>
      </w:r>
    </w:p>
    <w:p>
      <w:pPr>
        <w:pStyle w:val="BodyText"/>
        <w:spacing w:line="244" w:lineRule="auto"/>
        <w:ind w:left="1281" w:right="256"/>
        <w:jc w:val="both"/>
      </w:pPr>
      <w:r>
        <w:rPr/>
        <w:t>如要保人辦理傷害醫療保險金日額之減少或減額繳清保險時，依前項約定計算之累計給付金額將依傷害醫療保險金日額減少之比例同時縮小。</w:t>
      </w:r>
    </w:p>
    <w:p>
      <w:pPr>
        <w:pStyle w:val="BodyText"/>
        <w:spacing w:line="244" w:lineRule="auto"/>
        <w:ind w:left="1281" w:right="251"/>
      </w:pPr>
      <w:r>
        <w:rPr/>
        <w:drawing>
          <wp:anchor distT="0" distB="0" distL="0" distR="0" allowOverlap="1" layoutInCell="1" locked="0" behindDoc="1" simplePos="0" relativeHeight="486323200">
            <wp:simplePos x="0" y="0"/>
            <wp:positionH relativeFrom="page">
              <wp:posOffset>2874040</wp:posOffset>
            </wp:positionH>
            <wp:positionV relativeFrom="paragraph">
              <wp:posOffset>397651</wp:posOffset>
            </wp:positionV>
            <wp:extent cx="1837644" cy="4428464"/>
            <wp:effectExtent l="0" t="0" r="0" b="0"/>
            <wp:wrapNone/>
            <wp:docPr id="17" name="image1.png"/>
            <wp:cNvGraphicFramePr>
              <a:graphicFrameLocks noChangeAspect="1"/>
            </wp:cNvGraphicFramePr>
            <a:graphic>
              <a:graphicData uri="http://schemas.openxmlformats.org/drawingml/2006/picture">
                <pic:pic>
                  <pic:nvPicPr>
                    <pic:cNvPr id="18" name="image1.png"/>
                    <pic:cNvPicPr/>
                  </pic:nvPicPr>
                  <pic:blipFill>
                    <a:blip r:embed="rId7" cstate="print"/>
                    <a:stretch>
                      <a:fillRect/>
                    </a:stretch>
                  </pic:blipFill>
                  <pic:spPr>
                    <a:xfrm>
                      <a:off x="0" y="0"/>
                      <a:ext cx="1837644" cy="4428464"/>
                    </a:xfrm>
                    <a:prstGeom prst="rect">
                      <a:avLst/>
                    </a:prstGeom>
                  </pic:spPr>
                </pic:pic>
              </a:graphicData>
            </a:graphic>
          </wp:anchor>
        </w:drawing>
      </w:r>
      <w:r>
        <w:rPr/>
        <w:t>「未支領之每月生活照護保險金」部分，本公司將其貼現後一次給付予該被保險人的法定繼承人。貼現計算之年利率為百分之一點八五。</w:t>
      </w:r>
      <w:r>
        <w:rPr>
          <w:spacing w:val="-1"/>
        </w:rPr>
        <w:t>前項所稱「未支領之每月生活照護保險金</w:t>
      </w:r>
      <w:r>
        <w:rPr>
          <w:spacing w:val="-15"/>
        </w:rPr>
        <w:t>」，係指被保險人於每月生活</w:t>
      </w:r>
      <w:r>
        <w:rPr/>
        <w:t>照護保險金給付期間內身故，自身故日起算至下一「失能診斷確定週年日」前其尚未領取之每月生活照護保險金。</w:t>
      </w:r>
    </w:p>
    <w:p>
      <w:pPr>
        <w:pStyle w:val="BodyText"/>
        <w:spacing w:before="10"/>
        <w:ind w:left="0"/>
        <w:rPr>
          <w:sz w:val="19"/>
        </w:rPr>
      </w:pPr>
    </w:p>
    <w:p>
      <w:pPr>
        <w:pStyle w:val="Heading1"/>
        <w:tabs>
          <w:tab w:pos="1554" w:val="left" w:leader="none"/>
        </w:tabs>
      </w:pPr>
      <w:r>
        <w:rPr/>
        <w:t>第十六條</w:t>
        <w:tab/>
        <w:t>重大燒燙傷保險金的給付</w:t>
      </w:r>
    </w:p>
    <w:p>
      <w:pPr>
        <w:pStyle w:val="BodyText"/>
        <w:spacing w:line="330" w:lineRule="exact"/>
        <w:ind w:left="1281"/>
      </w:pPr>
      <w:r>
        <w:rPr>
          <w:spacing w:val="-8"/>
        </w:rPr>
        <w:t>被保險人於本契約有效期間內遭受「意外傷害事故」，蒙受燒燙傷之傷</w:t>
      </w:r>
    </w:p>
    <w:p>
      <w:pPr>
        <w:pStyle w:val="BodyText"/>
        <w:spacing w:line="242" w:lineRule="auto" w:before="6"/>
        <w:ind w:left="1281" w:right="112"/>
      </w:pPr>
      <w:r>
        <w:rPr>
          <w:spacing w:val="-1"/>
        </w:rPr>
        <w:t>害，經診斷符合「重大燒燙傷」者，本公司按「傷害醫療保險金日額」</w:t>
      </w:r>
      <w:r>
        <w:rPr>
          <w:spacing w:val="-8"/>
        </w:rPr>
        <w:t>的二百五十倍，給付「重大燒燙傷保險金」。</w:t>
      </w:r>
    </w:p>
    <w:p>
      <w:pPr>
        <w:pStyle w:val="BodyText"/>
        <w:spacing w:before="3"/>
        <w:ind w:left="1281"/>
      </w:pPr>
      <w:r>
        <w:rPr>
          <w:spacing w:val="-1"/>
        </w:rPr>
        <w:t>本契約「重大燒燙傷保險金」的給付以一次為限。</w:t>
      </w:r>
    </w:p>
    <w:p>
      <w:pPr>
        <w:pStyle w:val="BodyText"/>
        <w:spacing w:before="9"/>
        <w:ind w:left="0"/>
        <w:rPr>
          <w:sz w:val="21"/>
        </w:rPr>
      </w:pPr>
    </w:p>
    <w:p>
      <w:pPr>
        <w:pStyle w:val="Heading1"/>
        <w:tabs>
          <w:tab w:pos="1557" w:val="left" w:leader="none"/>
        </w:tabs>
      </w:pPr>
      <w:r>
        <w:rPr/>
        <w:t>第十七條</w:t>
        <w:tab/>
        <w:t>意外骨折保險金的給付</w:t>
      </w:r>
    </w:p>
    <w:p>
      <w:pPr>
        <w:pStyle w:val="BodyText"/>
        <w:spacing w:line="330" w:lineRule="exact"/>
        <w:ind w:left="1281"/>
      </w:pPr>
      <w:r>
        <w:rPr>
          <w:spacing w:val="-8"/>
        </w:rPr>
        <w:t>被保險人於本契約有效期間內遭受「意外傷害事故」，自意外傷害事故</w:t>
      </w:r>
    </w:p>
    <w:p>
      <w:pPr>
        <w:pStyle w:val="BodyText"/>
        <w:spacing w:line="244" w:lineRule="auto" w:before="4"/>
        <w:ind w:left="1281" w:right="248"/>
        <w:jc w:val="both"/>
      </w:pPr>
      <w:r>
        <w:rPr>
          <w:spacing w:val="-19"/>
        </w:rPr>
        <w:t>發生之日起一百八十日以內，經登記合格的「醫院」、「診所」</w:t>
      </w:r>
      <w:r>
        <w:rPr/>
        <w:t>（不含國術館、接骨所）診斷致成附表三骨折別表所列骨折項目之一（含不完全骨折及骨骼龜裂）者，本公司按「傷害醫療保險金日額」的二倍給</w:t>
      </w:r>
      <w:r>
        <w:rPr>
          <w:spacing w:val="-13"/>
        </w:rPr>
        <w:t>付「意外骨折保險金」。</w:t>
      </w:r>
    </w:p>
    <w:p>
      <w:pPr>
        <w:pStyle w:val="BodyText"/>
        <w:spacing w:line="244" w:lineRule="auto"/>
        <w:ind w:left="1281" w:right="251"/>
        <w:jc w:val="both"/>
      </w:pPr>
      <w:r>
        <w:rPr/>
        <w:t>前項情形，如被保險人自意外傷害事故發生之日起超過一百八十日經診斷確定骨折者，受益人若能證明被保險人之骨折與該意外傷害事故</w:t>
      </w:r>
      <w:r>
        <w:rPr>
          <w:spacing w:val="-7"/>
        </w:rPr>
        <w:t>具有因果關係者，本公司仍依前項規定給付「意外骨折保險金」，不受</w:t>
      </w:r>
      <w:r>
        <w:rPr/>
        <w:t>前項一百八十日之限制。</w:t>
      </w:r>
    </w:p>
    <w:p>
      <w:pPr>
        <w:pStyle w:val="BodyText"/>
        <w:spacing w:line="352" w:lineRule="exact"/>
        <w:ind w:left="1281"/>
      </w:pPr>
      <w:r>
        <w:rPr>
          <w:spacing w:val="-8"/>
        </w:rPr>
        <w:t>同一意外傷害事故，僅給付一次「意外骨折保險金」。</w:t>
      </w:r>
    </w:p>
    <w:p>
      <w:pPr>
        <w:pStyle w:val="BodyText"/>
        <w:spacing w:line="244" w:lineRule="auto"/>
        <w:ind w:left="1281" w:right="250"/>
        <w:jc w:val="both"/>
      </w:pPr>
      <w:r>
        <w:rPr/>
        <w:t>若被保險人因意外傷害事故所致之骨折非屬附表三骨折別表所列之骨折項目時，由本公司與被保險人協議核付意外骨折保險金。但其骨折為骨折別表內明訂不給付之部位時，本公司不負給付保險金之責。</w:t>
      </w:r>
    </w:p>
    <w:p>
      <w:pPr>
        <w:pStyle w:val="BodyText"/>
        <w:spacing w:before="9"/>
        <w:ind w:left="0"/>
        <w:rPr>
          <w:sz w:val="20"/>
        </w:rPr>
      </w:pPr>
    </w:p>
    <w:p>
      <w:pPr>
        <w:pStyle w:val="Heading1"/>
        <w:tabs>
          <w:tab w:pos="1557" w:val="left" w:leader="none"/>
        </w:tabs>
        <w:spacing w:before="1"/>
      </w:pPr>
      <w:r>
        <w:rPr/>
        <w:t>第十八條</w:t>
        <w:tab/>
      </w:r>
      <w:r>
        <w:rPr>
          <w:spacing w:val="-1"/>
        </w:rPr>
        <w:t>傷害醫</w:t>
      </w:r>
      <w:r>
        <w:rPr/>
        <w:t>療日額保險金的給付</w:t>
      </w:r>
    </w:p>
    <w:p>
      <w:pPr>
        <w:pStyle w:val="BodyText"/>
        <w:spacing w:line="330" w:lineRule="exact"/>
        <w:ind w:left="1281"/>
      </w:pPr>
      <w:r>
        <w:rPr>
          <w:spacing w:val="-8"/>
        </w:rPr>
        <w:t>被保險人於本契約有效期間內遭受「意外傷害事故」，自意外傷害事故</w:t>
      </w:r>
    </w:p>
    <w:p>
      <w:pPr>
        <w:pStyle w:val="BodyText"/>
        <w:spacing w:before="6"/>
        <w:ind w:left="1281"/>
      </w:pPr>
      <w:r>
        <w:rPr/>
        <w:t>發生之日起一百八十日以內，於「醫院」接受住院治療者，本公司按</w:t>
      </w:r>
    </w:p>
    <w:p>
      <w:pPr>
        <w:spacing w:after="0"/>
        <w:sectPr>
          <w:pgSz w:w="11910" w:h="16840"/>
          <w:pgMar w:header="0" w:footer="746" w:top="1360" w:bottom="1020" w:left="980" w:right="880"/>
        </w:sectPr>
      </w:pPr>
    </w:p>
    <w:p>
      <w:pPr>
        <w:pStyle w:val="BodyText"/>
        <w:spacing w:line="242" w:lineRule="auto" w:before="26"/>
        <w:ind w:left="1281" w:right="250"/>
        <w:jc w:val="both"/>
      </w:pPr>
      <w:r>
        <w:rPr/>
        <w:t>「傷害醫療保險金日額」乘以被保險人實際住院日數，給付「傷害醫</w:t>
      </w:r>
      <w:r>
        <w:rPr>
          <w:spacing w:val="-14"/>
        </w:rPr>
        <w:t>療日額保險金」；但每次意外傷害事故的「傷害醫療日額保險金」給付</w:t>
      </w:r>
      <w:r>
        <w:rPr/>
        <w:t>日數最高以九十日為限。</w:t>
      </w:r>
    </w:p>
    <w:p>
      <w:pPr>
        <w:pStyle w:val="BodyText"/>
        <w:spacing w:line="242" w:lineRule="auto" w:before="5"/>
        <w:ind w:left="1281" w:right="250"/>
        <w:jc w:val="both"/>
      </w:pPr>
      <w:r>
        <w:rPr/>
        <w:t>前項情形，如被保險人自意外傷害事故發生之日起超過一百八十日繼續治療，受益人若能證明被保險人之治療與該意外傷害事故具有因果</w:t>
      </w:r>
      <w:r>
        <w:rPr>
          <w:spacing w:val="-7"/>
        </w:rPr>
        <w:t>關係者，本公司仍依前項規定給付「傷害醫療日額保險金」，不受前項</w:t>
      </w:r>
      <w:r>
        <w:rPr/>
        <w:t>一百八十日之限制。</w:t>
      </w:r>
    </w:p>
    <w:p>
      <w:pPr>
        <w:pStyle w:val="BodyText"/>
        <w:spacing w:line="242" w:lineRule="auto" w:before="8"/>
        <w:ind w:left="1281" w:right="249"/>
        <w:jc w:val="both"/>
      </w:pPr>
      <w:r>
        <w:rPr/>
        <w:drawing>
          <wp:anchor distT="0" distB="0" distL="0" distR="0" allowOverlap="1" layoutInCell="1" locked="0" behindDoc="1" simplePos="0" relativeHeight="486323712">
            <wp:simplePos x="0" y="0"/>
            <wp:positionH relativeFrom="page">
              <wp:posOffset>2874040</wp:posOffset>
            </wp:positionH>
            <wp:positionV relativeFrom="paragraph">
              <wp:posOffset>634379</wp:posOffset>
            </wp:positionV>
            <wp:extent cx="1837644" cy="4428464"/>
            <wp:effectExtent l="0" t="0" r="0" b="0"/>
            <wp:wrapNone/>
            <wp:docPr id="19" name="image1.png"/>
            <wp:cNvGraphicFramePr>
              <a:graphicFrameLocks noChangeAspect="1"/>
            </wp:cNvGraphicFramePr>
            <a:graphic>
              <a:graphicData uri="http://schemas.openxmlformats.org/drawingml/2006/picture">
                <pic:pic>
                  <pic:nvPicPr>
                    <pic:cNvPr id="20" name="image1.png"/>
                    <pic:cNvPicPr/>
                  </pic:nvPicPr>
                  <pic:blipFill>
                    <a:blip r:embed="rId7" cstate="print"/>
                    <a:stretch>
                      <a:fillRect/>
                    </a:stretch>
                  </pic:blipFill>
                  <pic:spPr>
                    <a:xfrm>
                      <a:off x="0" y="0"/>
                      <a:ext cx="1837644" cy="4428464"/>
                    </a:xfrm>
                    <a:prstGeom prst="rect">
                      <a:avLst/>
                    </a:prstGeom>
                  </pic:spPr>
                </pic:pic>
              </a:graphicData>
            </a:graphic>
          </wp:anchor>
        </w:drawing>
      </w:r>
      <w:r>
        <w:rPr/>
        <w:t>被保險人因第一項意外傷害事故蒙受骨折未住院治療者，或已於醫院住院但未達附表三骨折別表所訂日數，其未住院部分本公司按附表三骨折別表所訂日數乘以「傷害醫療保險金日額」的二分之一給付，但合計給付日數以按骨折別所訂日數為上限。</w:t>
      </w:r>
    </w:p>
    <w:p>
      <w:pPr>
        <w:pStyle w:val="BodyText"/>
        <w:spacing w:line="242" w:lineRule="auto" w:before="8"/>
        <w:ind w:left="1281" w:right="249"/>
        <w:jc w:val="both"/>
      </w:pPr>
      <w:r>
        <w:rPr/>
        <w:t>前項所稱骨折係指骨骼完全折斷而言，如係不完全骨折，按完全骨折日數二分之一給付；如係骨骼龜裂者按完全骨折日數四分之一給付。如同時蒙受二項以上骨折時，僅給付一項較高等級的「傷害醫療日額</w:t>
      </w:r>
      <w:r>
        <w:rPr>
          <w:spacing w:val="-28"/>
        </w:rPr>
        <w:t>保險金」。</w:t>
      </w:r>
    </w:p>
    <w:p>
      <w:pPr>
        <w:pStyle w:val="BodyText"/>
        <w:spacing w:before="11"/>
        <w:ind w:left="0"/>
        <w:rPr>
          <w:sz w:val="21"/>
        </w:rPr>
      </w:pPr>
    </w:p>
    <w:p>
      <w:pPr>
        <w:pStyle w:val="Heading1"/>
        <w:tabs>
          <w:tab w:pos="1557" w:val="left" w:leader="none"/>
        </w:tabs>
        <w:spacing w:line="485" w:lineRule="exact"/>
      </w:pPr>
      <w:r>
        <w:rPr/>
        <w:t>第十九條</w:t>
        <w:tab/>
      </w:r>
      <w:r>
        <w:rPr>
          <w:spacing w:val="-1"/>
        </w:rPr>
        <w:t>意</w:t>
      </w:r>
      <w:r>
        <w:rPr/>
        <w:t>外創傷縫合處置保險金的給付</w:t>
      </w:r>
    </w:p>
    <w:p>
      <w:pPr>
        <w:pStyle w:val="BodyText"/>
        <w:spacing w:line="329" w:lineRule="exact"/>
        <w:ind w:left="1281"/>
      </w:pPr>
      <w:r>
        <w:rPr>
          <w:spacing w:val="-7"/>
        </w:rPr>
        <w:t>被保險人於本契約有效期間內遭受「意外傷害事故</w:t>
      </w:r>
      <w:r>
        <w:rPr>
          <w:spacing w:val="-39"/>
        </w:rPr>
        <w:t>」，於「醫院」或「診</w:t>
      </w:r>
    </w:p>
    <w:p>
      <w:pPr>
        <w:pStyle w:val="BodyText"/>
        <w:spacing w:line="244" w:lineRule="auto" w:before="6"/>
        <w:ind w:left="1281" w:right="249"/>
      </w:pPr>
      <w:r>
        <w:rPr/>
        <w:t>所」經醫師診斷必須接受創傷縫合處置治療且已接受縫合處置者，本</w:t>
      </w:r>
      <w:r>
        <w:rPr>
          <w:spacing w:val="-5"/>
        </w:rPr>
        <w:t>公司按「傷害醫療保險金日額」給付「意外創傷縫合處置保險金」。</w:t>
      </w:r>
      <w:r>
        <w:rPr>
          <w:spacing w:val="-6"/>
        </w:rPr>
        <w:t>同一意外傷害事故，僅給付一次「意外創傷縫合處置保險金」。</w:t>
      </w:r>
    </w:p>
    <w:p>
      <w:pPr>
        <w:pStyle w:val="BodyText"/>
        <w:spacing w:before="10"/>
        <w:ind w:left="0"/>
        <w:rPr>
          <w:sz w:val="20"/>
        </w:rPr>
      </w:pPr>
    </w:p>
    <w:p>
      <w:pPr>
        <w:pStyle w:val="Heading1"/>
        <w:tabs>
          <w:tab w:pos="1557" w:val="left" w:leader="none"/>
        </w:tabs>
        <w:spacing w:before="1"/>
      </w:pPr>
      <w:r>
        <w:rPr/>
        <w:t>第二十條</w:t>
        <w:tab/>
        <w:t>保險事故的通知與保險金的申請時間</w:t>
      </w:r>
    </w:p>
    <w:p>
      <w:pPr>
        <w:pStyle w:val="BodyText"/>
        <w:spacing w:line="330" w:lineRule="exact"/>
        <w:ind w:left="1281"/>
      </w:pPr>
      <w:r>
        <w:rPr/>
        <w:t>被保險人於本契約有效期間內遭受「意外傷害事故」時，要保人、被</w:t>
      </w:r>
    </w:p>
    <w:p>
      <w:pPr>
        <w:pStyle w:val="BodyText"/>
        <w:spacing w:line="242" w:lineRule="auto" w:before="6"/>
        <w:ind w:left="1281" w:right="256"/>
        <w:jc w:val="both"/>
      </w:pPr>
      <w:r>
        <w:rPr/>
        <w:t>保險人或受益人應於知悉意外傷害事故發生後十日內將事故狀況及被保險人的傷害程度，通知本公司。並於通知後儘速檢具所需文件向本公司申請給付保險金。</w:t>
      </w:r>
    </w:p>
    <w:p>
      <w:pPr>
        <w:pStyle w:val="BodyText"/>
        <w:spacing w:line="244" w:lineRule="auto" w:before="5"/>
        <w:ind w:left="1281" w:right="255"/>
      </w:pPr>
      <w:r>
        <w:rPr/>
        <w:t>本公司應於收齊前項文件後十五日內給付之。但因可歸責於本公司之事由致未在前述約定期限內為給付者，應按年利一分加計利息給付。</w:t>
      </w:r>
    </w:p>
    <w:p>
      <w:pPr>
        <w:pStyle w:val="BodyText"/>
        <w:spacing w:before="11"/>
        <w:ind w:left="0"/>
        <w:rPr>
          <w:sz w:val="20"/>
        </w:rPr>
      </w:pPr>
    </w:p>
    <w:p>
      <w:pPr>
        <w:pStyle w:val="Heading1"/>
        <w:tabs>
          <w:tab w:pos="1837" w:val="left" w:leader="none"/>
        </w:tabs>
      </w:pPr>
      <w:r>
        <w:rPr/>
        <w:t>第二十一條</w:t>
        <w:tab/>
      </w:r>
      <w:r>
        <w:rPr>
          <w:spacing w:val="-1"/>
        </w:rPr>
        <w:t>失蹤處</w:t>
      </w:r>
      <w:r>
        <w:rPr/>
        <w:t>理</w:t>
      </w:r>
    </w:p>
    <w:p>
      <w:pPr>
        <w:pStyle w:val="BodyText"/>
        <w:spacing w:line="350" w:lineRule="exact"/>
      </w:pPr>
      <w:r>
        <w:rPr/>
        <w:t>被保險人在本契約有效期間內因</w:t>
      </w:r>
      <w:r>
        <w:rPr>
          <w:rFonts w:ascii="PMingLiU-ExtB" w:eastAsia="PMingLiU-ExtB"/>
        </w:rPr>
        <w:t>「</w:t>
      </w:r>
      <w:r>
        <w:rPr/>
        <w:t>意外傷害事故</w:t>
      </w:r>
      <w:r>
        <w:rPr>
          <w:rFonts w:ascii="PMingLiU-ExtB" w:eastAsia="PMingLiU-ExtB"/>
        </w:rPr>
        <w:t>」</w:t>
      </w:r>
      <w:r>
        <w:rPr/>
        <w:t>失蹤，於戶籍資</w:t>
      </w:r>
    </w:p>
    <w:p>
      <w:pPr>
        <w:pStyle w:val="BodyText"/>
        <w:spacing w:line="235" w:lineRule="auto"/>
        <w:ind w:right="246"/>
        <w:jc w:val="both"/>
      </w:pPr>
      <w:r>
        <w:rPr/>
        <w:t>料所載失蹤之日起滿一年仍未尋獲，或要保人、受益人能提出證明文件足以認為被保險人極可能因本契約所約定之意外傷害事故而身故者，本公司按本契約第十二條約定先行給付</w:t>
      </w:r>
      <w:r>
        <w:rPr>
          <w:rFonts w:ascii="PMingLiU-ExtB" w:eastAsia="PMingLiU-ExtB"/>
        </w:rPr>
        <w:t>「</w:t>
      </w:r>
      <w:r>
        <w:rPr/>
        <w:t>意外事故身故保險金</w:t>
      </w:r>
      <w:r>
        <w:rPr>
          <w:rFonts w:ascii="PMingLiU-ExtB" w:eastAsia="PMingLiU-ExtB"/>
        </w:rPr>
        <w:t>」</w:t>
      </w:r>
      <w:r>
        <w:rPr/>
        <w:t>或</w:t>
      </w:r>
      <w:r>
        <w:rPr>
          <w:rFonts w:ascii="PMingLiU-ExtB" w:eastAsia="PMingLiU-ExtB"/>
        </w:rPr>
        <w:t>「</w:t>
      </w:r>
      <w:r>
        <w:rPr/>
        <w:t>喪葬費用保險金</w:t>
      </w:r>
      <w:r>
        <w:rPr>
          <w:rFonts w:ascii="PMingLiU-ExtB" w:eastAsia="PMingLiU-ExtB"/>
        </w:rPr>
        <w:t>」</w:t>
      </w:r>
      <w:r>
        <w:rPr/>
        <w:t>；但日後發現被保險人生還時，要保人或受益人應將該筆已領之退還已繳保險費或保險金歸還本公司，其間有應繳而未繳之保險費者，於要保人一次清償後，本契約自原終</w:t>
      </w:r>
    </w:p>
    <w:p>
      <w:pPr>
        <w:spacing w:after="0" w:line="235" w:lineRule="auto"/>
        <w:jc w:val="both"/>
        <w:sectPr>
          <w:pgSz w:w="11910" w:h="16840"/>
          <w:pgMar w:header="0" w:footer="746" w:top="1360" w:bottom="1020" w:left="980" w:right="880"/>
        </w:sectPr>
      </w:pPr>
    </w:p>
    <w:p>
      <w:pPr>
        <w:pStyle w:val="BodyText"/>
        <w:spacing w:line="242" w:lineRule="auto" w:before="26"/>
        <w:ind w:right="259"/>
      </w:pPr>
      <w:r>
        <w:rPr/>
        <w:t>止日繼續有效，本公司如有應行給付其他保險金情事者，仍依約給付。</w:t>
      </w:r>
    </w:p>
    <w:p>
      <w:pPr>
        <w:pStyle w:val="Heading1"/>
        <w:tabs>
          <w:tab w:pos="1837" w:val="left" w:leader="none"/>
        </w:tabs>
        <w:spacing w:line="397" w:lineRule="exact"/>
      </w:pPr>
      <w:r>
        <w:rPr/>
        <w:t>第二十二條</w:t>
        <w:tab/>
      </w:r>
      <w:r>
        <w:rPr>
          <w:spacing w:val="-1"/>
        </w:rPr>
        <w:t>意外</w:t>
      </w:r>
      <w:r>
        <w:rPr/>
        <w:t>事故身故保險金或喪葬費用保險金的申領</w:t>
      </w:r>
    </w:p>
    <w:p>
      <w:pPr>
        <w:pStyle w:val="BodyText"/>
        <w:spacing w:line="330" w:lineRule="exact"/>
      </w:pPr>
      <w:r>
        <w:rPr/>
        <w:t>受益人申領「意外事故身故保險金」或「喪葬費用保險金」時，應</w:t>
      </w:r>
    </w:p>
    <w:p>
      <w:pPr>
        <w:pStyle w:val="BodyText"/>
        <w:spacing w:before="6"/>
      </w:pPr>
      <w:r>
        <w:rPr/>
        <w:t>檢具下列文件：</w:t>
      </w:r>
    </w:p>
    <w:p>
      <w:pPr>
        <w:pStyle w:val="BodyText"/>
        <w:spacing w:line="244" w:lineRule="auto" w:before="4"/>
        <w:ind w:right="5697"/>
      </w:pPr>
      <w:r>
        <w:rPr/>
        <w:t>一、保險單或其謄本。二、保險金申請書。</w:t>
      </w:r>
    </w:p>
    <w:p>
      <w:pPr>
        <w:pStyle w:val="BodyText"/>
        <w:spacing w:line="244" w:lineRule="auto"/>
        <w:ind w:left="2104" w:right="259" w:hanging="560"/>
      </w:pPr>
      <w:r>
        <w:rPr/>
        <w:t>三、相驗屍體證明書或死亡診斷書；必要時本公司得要求提供意外傷害事故證明文件。</w:t>
      </w:r>
    </w:p>
    <w:p>
      <w:pPr>
        <w:pStyle w:val="BodyText"/>
        <w:spacing w:line="244" w:lineRule="auto"/>
        <w:ind w:right="4858"/>
      </w:pPr>
      <w:r>
        <w:rPr/>
        <w:drawing>
          <wp:anchor distT="0" distB="0" distL="0" distR="0" allowOverlap="1" layoutInCell="1" locked="0" behindDoc="1" simplePos="0" relativeHeight="486324224">
            <wp:simplePos x="0" y="0"/>
            <wp:positionH relativeFrom="page">
              <wp:posOffset>2874040</wp:posOffset>
            </wp:positionH>
            <wp:positionV relativeFrom="paragraph">
              <wp:posOffset>167527</wp:posOffset>
            </wp:positionV>
            <wp:extent cx="1837644" cy="4428464"/>
            <wp:effectExtent l="0" t="0" r="0" b="0"/>
            <wp:wrapNone/>
            <wp:docPr id="21" name="image1.png"/>
            <wp:cNvGraphicFramePr>
              <a:graphicFrameLocks noChangeAspect="1"/>
            </wp:cNvGraphicFramePr>
            <a:graphic>
              <a:graphicData uri="http://schemas.openxmlformats.org/drawingml/2006/picture">
                <pic:pic>
                  <pic:nvPicPr>
                    <pic:cNvPr id="22" name="image1.png"/>
                    <pic:cNvPicPr/>
                  </pic:nvPicPr>
                  <pic:blipFill>
                    <a:blip r:embed="rId7" cstate="print"/>
                    <a:stretch>
                      <a:fillRect/>
                    </a:stretch>
                  </pic:blipFill>
                  <pic:spPr>
                    <a:xfrm>
                      <a:off x="0" y="0"/>
                      <a:ext cx="1837644" cy="4428464"/>
                    </a:xfrm>
                    <a:prstGeom prst="rect">
                      <a:avLst/>
                    </a:prstGeom>
                  </pic:spPr>
                </pic:pic>
              </a:graphicData>
            </a:graphic>
          </wp:anchor>
        </w:drawing>
      </w:r>
      <w:r>
        <w:rPr>
          <w:spacing w:val="-1"/>
        </w:rPr>
        <w:t>四、被保險人除戶戶籍謄本。</w:t>
      </w:r>
      <w:r>
        <w:rPr/>
        <w:t>五、受益人的身分證明。</w:t>
      </w:r>
    </w:p>
    <w:p>
      <w:pPr>
        <w:pStyle w:val="BodyText"/>
        <w:spacing w:line="244" w:lineRule="auto"/>
        <w:ind w:left="2104" w:right="255" w:hanging="560"/>
      </w:pPr>
      <w:r>
        <w:rPr/>
        <w:t>六、搭乘大眾交通工具之證明（被保險人因遭受「航空交通意外傷害事故」或「水陸交通意外傷害事故」身故時檢附）。</w:t>
      </w:r>
    </w:p>
    <w:p>
      <w:pPr>
        <w:pStyle w:val="BodyText"/>
        <w:spacing w:line="244" w:lineRule="auto"/>
        <w:ind w:left="2104" w:right="255" w:hanging="560"/>
        <w:jc w:val="both"/>
      </w:pPr>
      <w:r>
        <w:rPr/>
        <w:t>七、政府機關（直轄市政府、縣市政府、鄉鎮市區公所）出具之相關證明文件（被保險人因遭受「天然災害意外傷害事故」身故時檢附）。</w:t>
      </w:r>
    </w:p>
    <w:p>
      <w:pPr>
        <w:pStyle w:val="BodyText"/>
        <w:spacing w:before="10"/>
        <w:ind w:left="0"/>
        <w:rPr>
          <w:sz w:val="19"/>
        </w:rPr>
      </w:pPr>
    </w:p>
    <w:p>
      <w:pPr>
        <w:pStyle w:val="Heading1"/>
        <w:tabs>
          <w:tab w:pos="1837" w:val="left" w:leader="none"/>
        </w:tabs>
      </w:pPr>
      <w:r>
        <w:rPr/>
        <w:t>第二十三條</w:t>
        <w:tab/>
      </w:r>
      <w:r>
        <w:rPr>
          <w:spacing w:val="-1"/>
        </w:rPr>
        <w:t>意外事</w:t>
      </w:r>
      <w:r>
        <w:rPr/>
        <w:t>故失能保險金的申領</w:t>
      </w:r>
    </w:p>
    <w:p>
      <w:pPr>
        <w:pStyle w:val="BodyText"/>
        <w:spacing w:line="330" w:lineRule="exact"/>
      </w:pPr>
      <w:r>
        <w:rPr>
          <w:spacing w:val="-1"/>
        </w:rPr>
        <w:t>受益人申領「意外事故失能保險金」時，應檢具下列文件：</w:t>
      </w:r>
    </w:p>
    <w:p>
      <w:pPr>
        <w:pStyle w:val="BodyText"/>
        <w:spacing w:line="244" w:lineRule="auto" w:before="6"/>
        <w:ind w:right="5697"/>
      </w:pPr>
      <w:r>
        <w:rPr/>
        <w:t>一、保險單或其謄本。二、保險金申請書。</w:t>
      </w:r>
    </w:p>
    <w:p>
      <w:pPr>
        <w:pStyle w:val="BodyText"/>
        <w:spacing w:line="242" w:lineRule="auto"/>
        <w:ind w:left="2104" w:right="252" w:hanging="560"/>
        <w:jc w:val="both"/>
      </w:pPr>
      <w:r>
        <w:rPr/>
        <w:t>三、失能診斷書（但要保人或被保險人為醫師時，不得為被保險人出具失能診斷書）；必要時本公司得要求提供意外傷害事故證明文件。</w:t>
      </w:r>
    </w:p>
    <w:p>
      <w:pPr>
        <w:pStyle w:val="BodyText"/>
        <w:spacing w:before="3"/>
      </w:pPr>
      <w:r>
        <w:rPr>
          <w:spacing w:val="-1"/>
        </w:rPr>
        <w:t>四、受益人的身分證明。</w:t>
      </w:r>
    </w:p>
    <w:p>
      <w:pPr>
        <w:pStyle w:val="BodyText"/>
        <w:spacing w:line="242" w:lineRule="auto" w:before="6"/>
        <w:ind w:left="2104" w:right="255" w:hanging="560"/>
      </w:pPr>
      <w:r>
        <w:rPr/>
        <w:t>五、搭乘大眾交通工具之證明（被保險人因遭受「航空交通意外傷害事故」或「水陸交通意外傷害事故」失能時檢附）。</w:t>
      </w:r>
    </w:p>
    <w:p>
      <w:pPr>
        <w:pStyle w:val="BodyText"/>
        <w:spacing w:line="244" w:lineRule="auto" w:before="3"/>
        <w:ind w:left="2104" w:right="251" w:hanging="560"/>
        <w:jc w:val="both"/>
      </w:pPr>
      <w:r>
        <w:rPr/>
        <w:t>六、政府機關（直轄市政府、縣市政府、鄉鎮市區公所）出具之相關證明文件（被保險人因遭受「天然災害意外傷害事故」失能時檢附）。</w:t>
      </w:r>
    </w:p>
    <w:p>
      <w:pPr>
        <w:pStyle w:val="BodyText"/>
        <w:spacing w:line="244" w:lineRule="auto"/>
        <w:ind w:right="251"/>
        <w:jc w:val="both"/>
      </w:pPr>
      <w:r>
        <w:rPr/>
        <w:t>受益人申領「意外事故失能保險金」時，本公司基於審核保險金之需要，得對被保險人的身體予以檢驗，另得徵詢其他醫師之醫學專業意見，並得經受益人同意調閱被保險人之就醫相關資料。因此所生之費用由本公司負擔。但不因此延展本公司依第二十條第二項約定應給付之期限。</w:t>
      </w:r>
    </w:p>
    <w:p>
      <w:pPr>
        <w:pStyle w:val="BodyText"/>
        <w:spacing w:before="2"/>
        <w:ind w:left="0"/>
        <w:rPr>
          <w:sz w:val="20"/>
        </w:rPr>
      </w:pPr>
    </w:p>
    <w:p>
      <w:pPr>
        <w:pStyle w:val="Heading1"/>
        <w:tabs>
          <w:tab w:pos="1837" w:val="left" w:leader="none"/>
        </w:tabs>
      </w:pPr>
      <w:r>
        <w:rPr/>
        <w:t>第二十四條</w:t>
        <w:tab/>
      </w:r>
      <w:r>
        <w:rPr>
          <w:spacing w:val="-1"/>
        </w:rPr>
        <w:t>每月生</w:t>
      </w:r>
      <w:r>
        <w:rPr/>
        <w:t>活照護保險金的申領</w:t>
      </w:r>
    </w:p>
    <w:p>
      <w:pPr>
        <w:pStyle w:val="BodyText"/>
        <w:spacing w:line="330" w:lineRule="exact"/>
      </w:pPr>
      <w:r>
        <w:rPr>
          <w:spacing w:val="-1"/>
        </w:rPr>
        <w:t>受益人申領「每月生活照護保險金」時，應檢具下列文件：</w:t>
      </w:r>
    </w:p>
    <w:p>
      <w:pPr>
        <w:spacing w:after="0" w:line="330" w:lineRule="exact"/>
        <w:sectPr>
          <w:pgSz w:w="11910" w:h="16840"/>
          <w:pgMar w:header="0" w:footer="746" w:top="1360" w:bottom="1020" w:left="980" w:right="880"/>
        </w:sectPr>
      </w:pPr>
    </w:p>
    <w:p>
      <w:pPr>
        <w:pStyle w:val="BodyText"/>
        <w:spacing w:line="242" w:lineRule="auto" w:before="26"/>
        <w:ind w:right="5697"/>
      </w:pPr>
      <w:r>
        <w:rPr/>
        <w:t>一、保險單或其謄本。二、保險金申請書。</w:t>
      </w:r>
    </w:p>
    <w:p>
      <w:pPr>
        <w:pStyle w:val="BodyText"/>
        <w:spacing w:line="244" w:lineRule="auto" w:before="3"/>
        <w:ind w:left="2104" w:right="252" w:hanging="560"/>
        <w:jc w:val="both"/>
      </w:pPr>
      <w:r>
        <w:rPr/>
        <w:t>三、失能診斷書（但要保人或被保險人為醫師時，不得為被保險人出具失能診斷書）；必要時本公司得要求提供意外傷害事故證明文件。（第一次申領時檢附）</w:t>
      </w:r>
    </w:p>
    <w:p>
      <w:pPr>
        <w:pStyle w:val="BodyText"/>
        <w:spacing w:line="353" w:lineRule="exact"/>
      </w:pPr>
      <w:r>
        <w:rPr>
          <w:spacing w:val="-1"/>
        </w:rPr>
        <w:t>四、受益人的身分證明。</w:t>
      </w:r>
    </w:p>
    <w:p>
      <w:pPr>
        <w:pStyle w:val="BodyText"/>
        <w:spacing w:before="9"/>
        <w:ind w:left="0"/>
        <w:rPr>
          <w:sz w:val="21"/>
        </w:rPr>
      </w:pPr>
    </w:p>
    <w:p>
      <w:pPr>
        <w:pStyle w:val="Heading1"/>
        <w:tabs>
          <w:tab w:pos="1837" w:val="left" w:leader="none"/>
        </w:tabs>
      </w:pPr>
      <w:r>
        <w:rPr/>
        <w:t>第二十五條</w:t>
        <w:tab/>
      </w:r>
      <w:r>
        <w:rPr>
          <w:spacing w:val="-1"/>
        </w:rPr>
        <w:t>重大燒燙</w:t>
      </w:r>
      <w:r>
        <w:rPr/>
        <w:t>傷保險金的申領</w:t>
      </w:r>
    </w:p>
    <w:p>
      <w:pPr>
        <w:pStyle w:val="BodyText"/>
        <w:spacing w:line="330" w:lineRule="exact"/>
      </w:pPr>
      <w:r>
        <w:rPr>
          <w:spacing w:val="-1"/>
        </w:rPr>
        <w:t>受益人申領「重大燒燙傷保險金」時，應檢具下列文件：</w:t>
      </w:r>
    </w:p>
    <w:p>
      <w:pPr>
        <w:pStyle w:val="BodyText"/>
        <w:spacing w:line="244" w:lineRule="auto" w:before="4"/>
        <w:ind w:right="5697"/>
      </w:pPr>
      <w:r>
        <w:rPr/>
        <w:drawing>
          <wp:anchor distT="0" distB="0" distL="0" distR="0" allowOverlap="1" layoutInCell="1" locked="0" behindDoc="1" simplePos="0" relativeHeight="486324736">
            <wp:simplePos x="0" y="0"/>
            <wp:positionH relativeFrom="page">
              <wp:posOffset>2874040</wp:posOffset>
            </wp:positionH>
            <wp:positionV relativeFrom="paragraph">
              <wp:posOffset>170067</wp:posOffset>
            </wp:positionV>
            <wp:extent cx="1837644" cy="4428464"/>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7" cstate="print"/>
                    <a:stretch>
                      <a:fillRect/>
                    </a:stretch>
                  </pic:blipFill>
                  <pic:spPr>
                    <a:xfrm>
                      <a:off x="0" y="0"/>
                      <a:ext cx="1837644" cy="4428464"/>
                    </a:xfrm>
                    <a:prstGeom prst="rect">
                      <a:avLst/>
                    </a:prstGeom>
                  </pic:spPr>
                </pic:pic>
              </a:graphicData>
            </a:graphic>
          </wp:anchor>
        </w:drawing>
      </w:r>
      <w:r>
        <w:rPr/>
        <w:t>一、保險單或其謄本。二、保險金申請書。</w:t>
      </w:r>
    </w:p>
    <w:p>
      <w:pPr>
        <w:pStyle w:val="BodyText"/>
        <w:spacing w:line="242" w:lineRule="auto"/>
        <w:ind w:left="2104" w:right="246" w:hanging="560"/>
        <w:jc w:val="both"/>
      </w:pPr>
      <w:r>
        <w:rPr/>
        <w:t>三、醫療診斷書或住院證明（須載明燒燙傷程度及佔體表面積之比例。要保人或被保險人為醫師時，不得為被保險人出具醫療診斷書或住院證明）；必要時本公司得要求提供意外傷害事故證明文件。</w:t>
      </w:r>
    </w:p>
    <w:p>
      <w:pPr>
        <w:pStyle w:val="BodyText"/>
        <w:spacing w:before="6"/>
      </w:pPr>
      <w:r>
        <w:rPr>
          <w:spacing w:val="-1"/>
        </w:rPr>
        <w:t>四、受益人的身分證明。</w:t>
      </w:r>
    </w:p>
    <w:p>
      <w:pPr>
        <w:pStyle w:val="BodyText"/>
        <w:spacing w:line="242" w:lineRule="auto" w:before="6"/>
        <w:ind w:right="252"/>
        <w:jc w:val="both"/>
      </w:pPr>
      <w:r>
        <w:rPr/>
        <w:t>受益人申領「重大燒燙傷保險金」時，本公司基於審核保險金之需要，得徵詢其他醫師之醫學專業意見，並得經受益人同意調閱被保險人之就醫相關資料。因此所生之費用由本公司負擔。但不因此延展本公司依第二十條第二項約定應給付之期限。</w:t>
      </w:r>
    </w:p>
    <w:p>
      <w:pPr>
        <w:pStyle w:val="BodyText"/>
        <w:spacing w:before="11"/>
        <w:ind w:left="0"/>
        <w:rPr>
          <w:sz w:val="21"/>
        </w:rPr>
      </w:pPr>
    </w:p>
    <w:p>
      <w:pPr>
        <w:pStyle w:val="Heading1"/>
        <w:tabs>
          <w:tab w:pos="1837" w:val="left" w:leader="none"/>
        </w:tabs>
        <w:spacing w:line="485" w:lineRule="exact"/>
      </w:pPr>
      <w:r>
        <w:rPr/>
        <w:t>第二十六條</w:t>
        <w:tab/>
      </w:r>
      <w:r>
        <w:rPr>
          <w:spacing w:val="-1"/>
        </w:rPr>
        <w:t>意</w:t>
      </w:r>
      <w:r>
        <w:rPr/>
        <w:t>外骨折保險金的申領</w:t>
      </w:r>
    </w:p>
    <w:p>
      <w:pPr>
        <w:pStyle w:val="BodyText"/>
        <w:spacing w:line="329" w:lineRule="exact"/>
      </w:pPr>
      <w:r>
        <w:rPr>
          <w:spacing w:val="-1"/>
        </w:rPr>
        <w:t>受益人申領「意外骨折保險金」時，應檢具下列文件：</w:t>
      </w:r>
    </w:p>
    <w:p>
      <w:pPr>
        <w:pStyle w:val="BodyText"/>
        <w:spacing w:line="244" w:lineRule="auto" w:before="6"/>
        <w:ind w:right="5697"/>
      </w:pPr>
      <w:r>
        <w:rPr/>
        <w:t>一、保險單或其謄本。二、保險金申請書。</w:t>
      </w:r>
    </w:p>
    <w:p>
      <w:pPr>
        <w:pStyle w:val="BodyText"/>
        <w:spacing w:line="242" w:lineRule="auto"/>
        <w:ind w:left="2104" w:right="251" w:hanging="560"/>
        <w:jc w:val="both"/>
      </w:pPr>
      <w:r>
        <w:rPr>
          <w:spacing w:val="-1"/>
        </w:rPr>
        <w:t>三、醫療診斷書及X光片</w:t>
      </w:r>
      <w:r>
        <w:rPr/>
        <w:t>（但要保人或被保險人為醫師時，不得為被保險人出具醫療診斷書）；必要時本公司得要求提供意外傷害事故證明文件。</w:t>
      </w:r>
    </w:p>
    <w:p>
      <w:pPr>
        <w:pStyle w:val="BodyText"/>
        <w:spacing w:before="3"/>
      </w:pPr>
      <w:r>
        <w:rPr>
          <w:spacing w:val="-1"/>
        </w:rPr>
        <w:t>四、受益人的身分證明。</w:t>
      </w:r>
    </w:p>
    <w:p>
      <w:pPr>
        <w:pStyle w:val="BodyText"/>
        <w:spacing w:line="244" w:lineRule="auto" w:before="6"/>
        <w:ind w:right="183"/>
        <w:jc w:val="both"/>
      </w:pPr>
      <w:r>
        <w:rPr>
          <w:spacing w:val="-3"/>
        </w:rPr>
        <w:t>受益人申領「意外骨折保險金」時，本公司基於審核保險金之需要，</w:t>
      </w:r>
      <w:r>
        <w:rPr>
          <w:spacing w:val="-138"/>
        </w:rPr>
        <w:t> </w:t>
      </w:r>
      <w:r>
        <w:rPr/>
        <w:t>得徵詢其他醫師之醫學專業意見，並得經受益人同意調閱被保險人之就醫相關資料。因此所生之費用由本公司負擔。但不因此延展本公司依第二十條第二項約定應給付之期限。</w:t>
      </w:r>
    </w:p>
    <w:p>
      <w:pPr>
        <w:pStyle w:val="BodyText"/>
        <w:spacing w:before="7"/>
        <w:ind w:left="0"/>
        <w:rPr>
          <w:sz w:val="20"/>
        </w:rPr>
      </w:pPr>
    </w:p>
    <w:p>
      <w:pPr>
        <w:pStyle w:val="Heading1"/>
        <w:tabs>
          <w:tab w:pos="1837" w:val="left" w:leader="none"/>
        </w:tabs>
      </w:pPr>
      <w:r>
        <w:rPr/>
        <w:t>第二十七條</w:t>
        <w:tab/>
      </w:r>
      <w:r>
        <w:rPr>
          <w:spacing w:val="-1"/>
        </w:rPr>
        <w:t>傷害醫</w:t>
      </w:r>
      <w:r>
        <w:rPr/>
        <w:t>療日額保險金的申領</w:t>
      </w:r>
    </w:p>
    <w:p>
      <w:pPr>
        <w:pStyle w:val="BodyText"/>
        <w:spacing w:line="330" w:lineRule="exact"/>
      </w:pPr>
      <w:r>
        <w:rPr>
          <w:spacing w:val="-1"/>
        </w:rPr>
        <w:t>受益人申領「傷害醫療日額保險金」時，應檢具下列文件：</w:t>
      </w:r>
    </w:p>
    <w:p>
      <w:pPr>
        <w:pStyle w:val="BodyText"/>
        <w:spacing w:line="244" w:lineRule="auto" w:before="6"/>
        <w:ind w:right="5697"/>
      </w:pPr>
      <w:r>
        <w:rPr/>
        <w:t>一、保險單或其謄本。二、保險金申請書。</w:t>
      </w:r>
    </w:p>
    <w:p>
      <w:pPr>
        <w:spacing w:after="0" w:line="244" w:lineRule="auto"/>
        <w:sectPr>
          <w:pgSz w:w="11910" w:h="16840"/>
          <w:pgMar w:header="0" w:footer="746" w:top="1360" w:bottom="1020" w:left="980" w:right="880"/>
        </w:sectPr>
      </w:pPr>
    </w:p>
    <w:p>
      <w:pPr>
        <w:pStyle w:val="BodyText"/>
        <w:spacing w:line="242" w:lineRule="auto" w:before="26"/>
        <w:ind w:left="2104" w:right="232" w:hanging="560"/>
        <w:jc w:val="both"/>
      </w:pPr>
      <w:r>
        <w:rPr/>
        <w:t>三、醫療診斷書或住院證明（須載明住、出院日期。要保人或被保</w:t>
      </w:r>
      <w:r>
        <w:rPr>
          <w:spacing w:val="-1"/>
        </w:rPr>
        <w:t>險人為醫師時，不得為被保險人出具醫療診斷書或住院證明</w:t>
      </w:r>
      <w:r>
        <w:rPr>
          <w:spacing w:val="-58"/>
        </w:rPr>
        <w:t>）；</w:t>
      </w:r>
      <w:r>
        <w:rPr>
          <w:spacing w:val="-138"/>
        </w:rPr>
        <w:t> </w:t>
      </w:r>
      <w:r>
        <w:rPr/>
        <w:t>必要時本公司得要求提供意外傷害事故證明文件。</w:t>
      </w:r>
    </w:p>
    <w:p>
      <w:pPr>
        <w:pStyle w:val="BodyText"/>
        <w:spacing w:before="5"/>
      </w:pPr>
      <w:r>
        <w:rPr>
          <w:spacing w:val="-1"/>
        </w:rPr>
        <w:t>四、受益人的身分證明。</w:t>
      </w:r>
    </w:p>
    <w:p>
      <w:pPr>
        <w:pStyle w:val="BodyText"/>
        <w:spacing w:line="242" w:lineRule="auto" w:before="7"/>
        <w:ind w:right="251"/>
        <w:jc w:val="both"/>
      </w:pPr>
      <w:r>
        <w:rPr/>
        <w:t>受益人申領「傷害醫療日額保險金」時，本公司基於審核保險金之需要，得徵詢其他醫師之醫學專業意見，並得經受益人同意調閱被保險人之就醫相關資料。因此所生之費用由本公司負擔。但不因此延展本公司依第二十條第二項約定應給付之期限。</w:t>
      </w:r>
    </w:p>
    <w:p>
      <w:pPr>
        <w:pStyle w:val="BodyText"/>
        <w:spacing w:before="8"/>
        <w:ind w:left="0"/>
        <w:rPr>
          <w:sz w:val="21"/>
        </w:rPr>
      </w:pPr>
    </w:p>
    <w:p>
      <w:pPr>
        <w:pStyle w:val="Heading1"/>
        <w:tabs>
          <w:tab w:pos="1837" w:val="left" w:leader="none"/>
        </w:tabs>
      </w:pPr>
      <w:r>
        <w:rPr/>
        <w:drawing>
          <wp:anchor distT="0" distB="0" distL="0" distR="0" allowOverlap="1" layoutInCell="1" locked="0" behindDoc="1" simplePos="0" relativeHeight="486325248">
            <wp:simplePos x="0" y="0"/>
            <wp:positionH relativeFrom="page">
              <wp:posOffset>2874040</wp:posOffset>
            </wp:positionH>
            <wp:positionV relativeFrom="paragraph">
              <wp:posOffset>226215</wp:posOffset>
            </wp:positionV>
            <wp:extent cx="1837644" cy="4428464"/>
            <wp:effectExtent l="0" t="0" r="0" b="0"/>
            <wp:wrapNone/>
            <wp:docPr id="25" name="image1.png"/>
            <wp:cNvGraphicFramePr>
              <a:graphicFrameLocks noChangeAspect="1"/>
            </wp:cNvGraphicFramePr>
            <a:graphic>
              <a:graphicData uri="http://schemas.openxmlformats.org/drawingml/2006/picture">
                <pic:pic>
                  <pic:nvPicPr>
                    <pic:cNvPr id="26" name="image1.png"/>
                    <pic:cNvPicPr/>
                  </pic:nvPicPr>
                  <pic:blipFill>
                    <a:blip r:embed="rId7" cstate="print"/>
                    <a:stretch>
                      <a:fillRect/>
                    </a:stretch>
                  </pic:blipFill>
                  <pic:spPr>
                    <a:xfrm>
                      <a:off x="0" y="0"/>
                      <a:ext cx="1837644" cy="4428464"/>
                    </a:xfrm>
                    <a:prstGeom prst="rect">
                      <a:avLst/>
                    </a:prstGeom>
                  </pic:spPr>
                </pic:pic>
              </a:graphicData>
            </a:graphic>
          </wp:anchor>
        </w:drawing>
      </w:r>
      <w:r>
        <w:rPr/>
        <w:t>第二十八條</w:t>
        <w:tab/>
      </w:r>
      <w:r>
        <w:rPr>
          <w:spacing w:val="-1"/>
        </w:rPr>
        <w:t>意</w:t>
      </w:r>
      <w:r>
        <w:rPr/>
        <w:t>外創傷縫合處置保險金的申領</w:t>
      </w:r>
    </w:p>
    <w:p>
      <w:pPr>
        <w:pStyle w:val="BodyText"/>
        <w:spacing w:line="330" w:lineRule="exact"/>
      </w:pPr>
      <w:r>
        <w:rPr>
          <w:spacing w:val="-1"/>
        </w:rPr>
        <w:t>受益人申領「意外創傷縫合處置保險金」時，應檢具下列文件：</w:t>
      </w:r>
    </w:p>
    <w:p>
      <w:pPr>
        <w:pStyle w:val="BodyText"/>
        <w:spacing w:line="244" w:lineRule="auto" w:before="7"/>
        <w:ind w:right="5697"/>
      </w:pPr>
      <w:r>
        <w:rPr/>
        <w:t>一、保險單或其謄本。二、保險金申請書。</w:t>
      </w:r>
    </w:p>
    <w:p>
      <w:pPr>
        <w:pStyle w:val="BodyText"/>
        <w:spacing w:line="244" w:lineRule="auto"/>
        <w:ind w:left="2104" w:right="248" w:hanging="560"/>
        <w:jc w:val="both"/>
      </w:pPr>
      <w:r>
        <w:rPr/>
        <w:t>三、醫療診斷書或住院證明（須列明處置名稱及部位。要保人或被</w:t>
      </w:r>
      <w:r>
        <w:rPr>
          <w:spacing w:val="13"/>
        </w:rPr>
        <w:t>保險人為醫師時，不得為被保險人出具醫療診斷書或住院證</w:t>
      </w:r>
      <w:r>
        <w:rPr/>
        <w:t>明）；必要時本公司得要求提供意外傷害事故證明文件。</w:t>
      </w:r>
    </w:p>
    <w:p>
      <w:pPr>
        <w:pStyle w:val="BodyText"/>
        <w:spacing w:line="355" w:lineRule="exact"/>
      </w:pPr>
      <w:r>
        <w:rPr>
          <w:spacing w:val="-1"/>
        </w:rPr>
        <w:t>四、受益人的身分證明。</w:t>
      </w:r>
    </w:p>
    <w:p>
      <w:pPr>
        <w:pStyle w:val="BodyText"/>
        <w:spacing w:line="244" w:lineRule="auto"/>
        <w:ind w:right="246"/>
        <w:jc w:val="both"/>
      </w:pPr>
      <w:r>
        <w:rPr/>
        <w:t>受益人申領「意外創傷縫合處置保險金」時，本公司基於審核保險金之需要，得徵詢其他醫師之醫學專業意見，並得經受益人同意調閱被保險人之就醫相關資料。因此所生之費用由本公司負擔。但不因此延展本公司依第二十條第二項約定應給付之期限。</w:t>
      </w:r>
    </w:p>
    <w:p>
      <w:pPr>
        <w:pStyle w:val="BodyText"/>
        <w:spacing w:before="8"/>
        <w:ind w:left="0"/>
        <w:rPr>
          <w:sz w:val="20"/>
        </w:rPr>
      </w:pPr>
    </w:p>
    <w:p>
      <w:pPr>
        <w:pStyle w:val="Heading1"/>
        <w:tabs>
          <w:tab w:pos="1837" w:val="left" w:leader="none"/>
        </w:tabs>
      </w:pPr>
      <w:r>
        <w:rPr/>
        <w:t>第二十九條</w:t>
        <w:tab/>
        <w:t>除外責任（原因）</w:t>
      </w:r>
    </w:p>
    <w:p>
      <w:pPr>
        <w:pStyle w:val="BodyText"/>
        <w:spacing w:line="330" w:lineRule="exact"/>
      </w:pPr>
      <w:r>
        <w:rPr/>
        <w:t>被保險人因下列事由致成身故、失能、重大燒燙傷狀態、骨折或接</w:t>
      </w:r>
    </w:p>
    <w:p>
      <w:pPr>
        <w:pStyle w:val="BodyText"/>
        <w:spacing w:line="244" w:lineRule="auto" w:before="6"/>
        <w:ind w:right="3177"/>
      </w:pPr>
      <w:r>
        <w:rPr/>
        <w:t>受治療時，本公司不負給付保險金的責任：</w:t>
      </w:r>
      <w:r>
        <w:rPr>
          <w:spacing w:val="-137"/>
        </w:rPr>
        <w:t> </w:t>
      </w:r>
      <w:r>
        <w:rPr/>
        <w:t>一、要保人、被保險人的故意行為。</w:t>
      </w:r>
    </w:p>
    <w:p>
      <w:pPr>
        <w:pStyle w:val="BodyText"/>
        <w:spacing w:line="354" w:lineRule="exact"/>
      </w:pPr>
      <w:r>
        <w:rPr>
          <w:spacing w:val="-1"/>
        </w:rPr>
        <w:t>二、被保險人犯罪行為。</w:t>
      </w:r>
    </w:p>
    <w:p>
      <w:pPr>
        <w:pStyle w:val="BodyText"/>
        <w:spacing w:line="244" w:lineRule="auto" w:before="6"/>
        <w:ind w:left="2104" w:right="259" w:hanging="560"/>
      </w:pPr>
      <w:r>
        <w:rPr/>
        <w:t>三、被保險人飲酒後駕（騎）車，其吐氣或血液所含酒精成份超過道路交通法令規定標準者。</w:t>
      </w:r>
    </w:p>
    <w:p>
      <w:pPr>
        <w:pStyle w:val="BodyText"/>
        <w:spacing w:line="242" w:lineRule="auto"/>
        <w:ind w:left="2104" w:right="251" w:hanging="560"/>
      </w:pPr>
      <w:r>
        <w:rPr/>
        <w:t>四、戰爭（不論宣戰與否）、內亂及其他類似的武裝變亂。但契約另有約定者不在此限。</w:t>
      </w:r>
    </w:p>
    <w:p>
      <w:pPr>
        <w:pStyle w:val="BodyText"/>
        <w:spacing w:line="244" w:lineRule="auto" w:before="1"/>
        <w:ind w:left="2104" w:right="251" w:hanging="560"/>
      </w:pPr>
      <w:r>
        <w:rPr/>
        <w:t>五、因原子或核子能裝置所引起的爆炸、灼熱、輻射或污染。但契約另有約定者不在此限。</w:t>
      </w:r>
    </w:p>
    <w:p>
      <w:pPr>
        <w:pStyle w:val="BodyText"/>
        <w:spacing w:line="242" w:lineRule="auto"/>
        <w:ind w:right="246"/>
        <w:jc w:val="both"/>
      </w:pPr>
      <w:r>
        <w:rPr>
          <w:spacing w:val="-3"/>
          <w:w w:val="100"/>
        </w:rPr>
        <w:t>前項第一款情形（除被保險人的故意行為外</w:t>
      </w:r>
      <w:r>
        <w:rPr>
          <w:spacing w:val="-145"/>
          <w:w w:val="100"/>
        </w:rPr>
        <w:t>）</w:t>
      </w:r>
      <w:r>
        <w:rPr>
          <w:spacing w:val="-3"/>
          <w:w w:val="100"/>
        </w:rPr>
        <w:t>，致被保險人傷害而致</w:t>
      </w:r>
      <w:r>
        <w:rPr/>
        <w:t>失能、重大燒燙傷狀態、骨折或接受治療時，本公司仍依本契約之約定給付各項保險金。</w:t>
      </w:r>
    </w:p>
    <w:p>
      <w:pPr>
        <w:spacing w:after="0" w:line="242" w:lineRule="auto"/>
        <w:jc w:val="both"/>
        <w:sectPr>
          <w:pgSz w:w="11910" w:h="16840"/>
          <w:pgMar w:header="0" w:footer="746" w:top="1360" w:bottom="1020" w:left="980" w:right="880"/>
        </w:sectPr>
      </w:pPr>
    </w:p>
    <w:p>
      <w:pPr>
        <w:pStyle w:val="Heading1"/>
        <w:tabs>
          <w:tab w:pos="1557" w:val="left" w:leader="none"/>
        </w:tabs>
        <w:spacing w:line="419" w:lineRule="exact"/>
      </w:pPr>
      <w:r>
        <w:rPr/>
        <w:t>第三十條</w:t>
        <w:tab/>
      </w:r>
      <w:r>
        <w:rPr>
          <w:spacing w:val="-1"/>
        </w:rPr>
        <w:t>不保事</w:t>
      </w:r>
      <w:r>
        <w:rPr/>
        <w:t>項</w:t>
      </w:r>
    </w:p>
    <w:p>
      <w:pPr>
        <w:pStyle w:val="BodyText"/>
        <w:spacing w:line="329" w:lineRule="exact"/>
        <w:ind w:left="1281"/>
      </w:pPr>
      <w:r>
        <w:rPr/>
        <w:t>被保險人從事下列活動，致成身故、失能、重大燒燙傷狀態、骨折或</w:t>
      </w:r>
    </w:p>
    <w:p>
      <w:pPr>
        <w:pStyle w:val="BodyText"/>
        <w:spacing w:before="6"/>
        <w:ind w:left="1281"/>
      </w:pPr>
      <w:r>
        <w:rPr>
          <w:spacing w:val="-1"/>
        </w:rPr>
        <w:t>接受治療時，本公司不負給付保險金的責任：</w:t>
      </w:r>
    </w:p>
    <w:p>
      <w:pPr>
        <w:pStyle w:val="BodyText"/>
        <w:spacing w:line="244" w:lineRule="auto" w:before="6"/>
        <w:ind w:left="1840" w:right="184" w:hanging="560"/>
      </w:pPr>
      <w:r>
        <w:rPr>
          <w:spacing w:val="-4"/>
        </w:rPr>
        <w:t>一、被保險人從事角力、摔跤、柔道、空手道、跆拳道、馬術、拳擊、</w:t>
      </w:r>
      <w:r>
        <w:rPr/>
        <w:t>特技表演等的競賽或表演。</w:t>
      </w:r>
    </w:p>
    <w:p>
      <w:pPr>
        <w:pStyle w:val="BodyText"/>
        <w:spacing w:line="354" w:lineRule="exact"/>
        <w:ind w:left="1281"/>
      </w:pPr>
      <w:r>
        <w:rPr>
          <w:spacing w:val="-1"/>
        </w:rPr>
        <w:t>二、被保險人從事汽車、機車及自由車等的競賽或表演。</w:t>
      </w:r>
    </w:p>
    <w:p>
      <w:pPr>
        <w:pStyle w:val="Heading1"/>
        <w:tabs>
          <w:tab w:pos="1837" w:val="left" w:leader="none"/>
        </w:tabs>
        <w:spacing w:before="235"/>
      </w:pPr>
      <w:r>
        <w:rPr/>
        <w:t>第三十一條</w:t>
        <w:tab/>
      </w:r>
      <w:r>
        <w:rPr>
          <w:spacing w:val="-1"/>
        </w:rPr>
        <w:t>受</w:t>
      </w:r>
      <w:r>
        <w:rPr/>
        <w:t>益人之受益權</w:t>
      </w:r>
    </w:p>
    <w:p>
      <w:pPr>
        <w:pStyle w:val="BodyText"/>
        <w:spacing w:line="330" w:lineRule="exact"/>
      </w:pPr>
      <w:r>
        <w:rPr>
          <w:spacing w:val="-1"/>
        </w:rPr>
        <w:t>受益人故意致被保險人於死或雖未致死者，喪失其受益權。</w:t>
      </w:r>
    </w:p>
    <w:p>
      <w:pPr>
        <w:pStyle w:val="BodyText"/>
        <w:spacing w:line="242" w:lineRule="auto" w:before="6"/>
        <w:ind w:right="184"/>
        <w:jc w:val="both"/>
      </w:pPr>
      <w:r>
        <w:rPr/>
        <w:drawing>
          <wp:anchor distT="0" distB="0" distL="0" distR="0" allowOverlap="1" layoutInCell="1" locked="0" behindDoc="1" simplePos="0" relativeHeight="486325760">
            <wp:simplePos x="0" y="0"/>
            <wp:positionH relativeFrom="page">
              <wp:posOffset>2874040</wp:posOffset>
            </wp:positionH>
            <wp:positionV relativeFrom="paragraph">
              <wp:posOffset>197246</wp:posOffset>
            </wp:positionV>
            <wp:extent cx="1837644" cy="4428464"/>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7" cstate="print"/>
                    <a:stretch>
                      <a:fillRect/>
                    </a:stretch>
                  </pic:blipFill>
                  <pic:spPr>
                    <a:xfrm>
                      <a:off x="0" y="0"/>
                      <a:ext cx="1837644" cy="4428464"/>
                    </a:xfrm>
                    <a:prstGeom prst="rect">
                      <a:avLst/>
                    </a:prstGeom>
                  </pic:spPr>
                </pic:pic>
              </a:graphicData>
            </a:graphic>
          </wp:anchor>
        </w:drawing>
      </w:r>
      <w:r>
        <w:rPr>
          <w:spacing w:val="-3"/>
        </w:rPr>
        <w:t>前項情形，如因該受益人喪失受益權，而致無受益人受領保險金時，</w:t>
      </w:r>
      <w:r>
        <w:rPr>
          <w:spacing w:val="-138"/>
        </w:rPr>
        <w:t> </w:t>
      </w:r>
      <w:r>
        <w:rPr/>
        <w:t>其保險金作為被保險人遺產。如有其他受益人者，喪失受益權之受益人原應得之部分，按其他受益人原約定比例分歸其他受益人。</w:t>
      </w:r>
    </w:p>
    <w:p>
      <w:pPr>
        <w:pStyle w:val="BodyText"/>
        <w:spacing w:before="9"/>
        <w:ind w:left="0"/>
        <w:rPr>
          <w:sz w:val="21"/>
        </w:rPr>
      </w:pPr>
    </w:p>
    <w:p>
      <w:pPr>
        <w:pStyle w:val="Heading1"/>
        <w:tabs>
          <w:tab w:pos="1837" w:val="left" w:leader="none"/>
        </w:tabs>
      </w:pPr>
      <w:r>
        <w:rPr/>
        <w:t>第三十二條</w:t>
        <w:tab/>
      </w:r>
      <w:r>
        <w:rPr>
          <w:spacing w:val="-1"/>
        </w:rPr>
        <w:t>職業或</w:t>
      </w:r>
      <w:r>
        <w:rPr/>
        <w:t>職務變更的通知義務</w:t>
      </w:r>
    </w:p>
    <w:p>
      <w:pPr>
        <w:pStyle w:val="BodyText"/>
        <w:spacing w:line="330" w:lineRule="exact"/>
      </w:pPr>
      <w:r>
        <w:rPr/>
        <w:t>被保險人於投保時之職業或職務，以依照本公司職業分類評定為第</w:t>
      </w:r>
    </w:p>
    <w:p>
      <w:pPr>
        <w:pStyle w:val="BodyText"/>
        <w:spacing w:before="4"/>
      </w:pPr>
      <w:r>
        <w:rPr/>
        <w:t>一至四類者為限。</w:t>
      </w:r>
    </w:p>
    <w:p>
      <w:pPr>
        <w:pStyle w:val="BodyText"/>
        <w:spacing w:line="244" w:lineRule="auto" w:before="6"/>
        <w:ind w:right="251"/>
      </w:pPr>
      <w:r>
        <w:rPr/>
        <w:t>被保險人變更其職業或職務時，要保人或被保險人應即時以書面或其他約定方式通知本公司。</w:t>
      </w:r>
    </w:p>
    <w:p>
      <w:pPr>
        <w:pStyle w:val="BodyText"/>
        <w:spacing w:line="242" w:lineRule="auto" w:after="12"/>
        <w:ind w:right="246"/>
        <w:jc w:val="both"/>
      </w:pPr>
      <w:r>
        <w:rPr/>
        <w:t>被保險人所變更的職業或職務，依照本公司職業分類評定為第五至六類者，本公司於接到通知後，自職業或職務變更之日起，本契約第十二條至第十九條之保險金應按下表所列比率折算。但被保險人所變更的職業或職務依照本公司職業分類在拒保範圍內者，本公司於接到通知後得終止本契約，並以保單價值準備金或未到期保險費二者取其大者退還予要保人。</w:t>
      </w:r>
    </w:p>
    <w:tbl>
      <w:tblPr>
        <w:tblW w:w="0" w:type="auto"/>
        <w:jc w:val="left"/>
        <w:tblInd w:w="15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83"/>
        <w:gridCol w:w="1685"/>
      </w:tblGrid>
      <w:tr>
        <w:trPr>
          <w:trHeight w:val="366" w:hRule="atLeast"/>
        </w:trPr>
        <w:tc>
          <w:tcPr>
            <w:tcW w:w="1683" w:type="dxa"/>
            <w:tcBorders>
              <w:bottom w:val="single" w:sz="4" w:space="0" w:color="000000"/>
              <w:right w:val="single" w:sz="4" w:space="0" w:color="000000"/>
            </w:tcBorders>
          </w:tcPr>
          <w:p>
            <w:pPr>
              <w:pStyle w:val="TableParagraph"/>
              <w:spacing w:line="346" w:lineRule="exact"/>
              <w:ind w:left="261" w:right="241"/>
              <w:rPr>
                <w:sz w:val="28"/>
              </w:rPr>
            </w:pPr>
            <w:r>
              <w:rPr>
                <w:sz w:val="28"/>
              </w:rPr>
              <w:t>職業類別</w:t>
            </w:r>
          </w:p>
        </w:tc>
        <w:tc>
          <w:tcPr>
            <w:tcW w:w="1685" w:type="dxa"/>
            <w:tcBorders>
              <w:left w:val="single" w:sz="4" w:space="0" w:color="000000"/>
              <w:bottom w:val="single" w:sz="4" w:space="0" w:color="000000"/>
            </w:tcBorders>
          </w:tcPr>
          <w:p>
            <w:pPr>
              <w:pStyle w:val="TableParagraph"/>
              <w:spacing w:line="346" w:lineRule="exact"/>
              <w:ind w:left="573"/>
              <w:jc w:val="left"/>
              <w:rPr>
                <w:sz w:val="28"/>
              </w:rPr>
            </w:pPr>
            <w:r>
              <w:rPr>
                <w:sz w:val="28"/>
              </w:rPr>
              <w:t>比率</w:t>
            </w:r>
          </w:p>
        </w:tc>
      </w:tr>
      <w:tr>
        <w:trPr>
          <w:trHeight w:val="364" w:hRule="atLeast"/>
        </w:trPr>
        <w:tc>
          <w:tcPr>
            <w:tcW w:w="1683" w:type="dxa"/>
            <w:tcBorders>
              <w:top w:val="single" w:sz="4" w:space="0" w:color="000000"/>
              <w:bottom w:val="single" w:sz="4" w:space="0" w:color="000000"/>
              <w:right w:val="single" w:sz="4" w:space="0" w:color="000000"/>
            </w:tcBorders>
          </w:tcPr>
          <w:p>
            <w:pPr>
              <w:pStyle w:val="TableParagraph"/>
              <w:spacing w:line="344" w:lineRule="exact"/>
              <w:ind w:left="18"/>
              <w:rPr>
                <w:sz w:val="28"/>
              </w:rPr>
            </w:pPr>
            <w:r>
              <w:rPr>
                <w:w w:val="100"/>
                <w:sz w:val="28"/>
              </w:rPr>
              <w:t>五</w:t>
            </w:r>
          </w:p>
        </w:tc>
        <w:tc>
          <w:tcPr>
            <w:tcW w:w="1685" w:type="dxa"/>
            <w:tcBorders>
              <w:top w:val="single" w:sz="4" w:space="0" w:color="000000"/>
              <w:left w:val="single" w:sz="4" w:space="0" w:color="000000"/>
              <w:bottom w:val="single" w:sz="4" w:space="0" w:color="000000"/>
            </w:tcBorders>
          </w:tcPr>
          <w:p>
            <w:pPr>
              <w:pStyle w:val="TableParagraph"/>
              <w:spacing w:line="344" w:lineRule="exact"/>
              <w:ind w:left="559"/>
              <w:jc w:val="left"/>
              <w:rPr>
                <w:sz w:val="28"/>
              </w:rPr>
            </w:pPr>
            <w:r>
              <w:rPr>
                <w:rFonts w:ascii="Arial MT" w:eastAsia="Arial MT"/>
                <w:sz w:val="28"/>
              </w:rPr>
              <w:t>36</w:t>
            </w:r>
            <w:r>
              <w:rPr>
                <w:sz w:val="28"/>
              </w:rPr>
              <w:t>％</w:t>
            </w:r>
          </w:p>
        </w:tc>
      </w:tr>
      <w:tr>
        <w:trPr>
          <w:trHeight w:val="363" w:hRule="atLeast"/>
        </w:trPr>
        <w:tc>
          <w:tcPr>
            <w:tcW w:w="1683" w:type="dxa"/>
            <w:tcBorders>
              <w:top w:val="single" w:sz="4" w:space="0" w:color="000000"/>
              <w:right w:val="single" w:sz="4" w:space="0" w:color="000000"/>
            </w:tcBorders>
          </w:tcPr>
          <w:p>
            <w:pPr>
              <w:pStyle w:val="TableParagraph"/>
              <w:spacing w:line="344" w:lineRule="exact"/>
              <w:ind w:left="18"/>
              <w:rPr>
                <w:sz w:val="28"/>
              </w:rPr>
            </w:pPr>
            <w:r>
              <w:rPr>
                <w:w w:val="100"/>
                <w:sz w:val="28"/>
              </w:rPr>
              <w:t>六</w:t>
            </w:r>
          </w:p>
        </w:tc>
        <w:tc>
          <w:tcPr>
            <w:tcW w:w="1685" w:type="dxa"/>
            <w:tcBorders>
              <w:top w:val="single" w:sz="4" w:space="0" w:color="000000"/>
              <w:left w:val="single" w:sz="4" w:space="0" w:color="000000"/>
            </w:tcBorders>
          </w:tcPr>
          <w:p>
            <w:pPr>
              <w:pStyle w:val="TableParagraph"/>
              <w:spacing w:line="344" w:lineRule="exact"/>
              <w:ind w:left="559"/>
              <w:jc w:val="left"/>
              <w:rPr>
                <w:sz w:val="28"/>
              </w:rPr>
            </w:pPr>
            <w:r>
              <w:rPr>
                <w:rFonts w:ascii="Arial MT" w:eastAsia="Arial MT"/>
                <w:sz w:val="28"/>
              </w:rPr>
              <w:t>28</w:t>
            </w:r>
            <w:r>
              <w:rPr>
                <w:sz w:val="28"/>
              </w:rPr>
              <w:t>％</w:t>
            </w:r>
          </w:p>
        </w:tc>
      </w:tr>
    </w:tbl>
    <w:p>
      <w:pPr>
        <w:pStyle w:val="BodyText"/>
        <w:spacing w:line="242" w:lineRule="auto"/>
        <w:ind w:right="232"/>
        <w:jc w:val="both"/>
      </w:pPr>
      <w:r>
        <w:rPr>
          <w:spacing w:val="14"/>
        </w:rPr>
        <w:t>被保險人所變更的職業或職務，依照本公司職業分類其危險性增</w:t>
      </w:r>
      <w:r>
        <w:rPr/>
        <w:t>加，未依第二項約定通知而發生第十二條至第十九條約定之保險事故者，本公司按下列約定辦理：</w:t>
      </w:r>
    </w:p>
    <w:p>
      <w:pPr>
        <w:pStyle w:val="BodyText"/>
        <w:spacing w:line="244" w:lineRule="auto" w:before="1"/>
        <w:ind w:left="2104" w:right="232" w:hanging="560"/>
        <w:jc w:val="both"/>
      </w:pPr>
      <w:r>
        <w:rPr>
          <w:spacing w:val="14"/>
        </w:rPr>
        <w:t>一、被保險人於意外傷害事故發生當時之職業類別為第五至六類</w:t>
      </w:r>
      <w:r>
        <w:rPr/>
        <w:t>者，本公司按前項所列比率折算後，給付第十二條至第十九條之保險金。</w:t>
      </w:r>
    </w:p>
    <w:p>
      <w:pPr>
        <w:pStyle w:val="BodyText"/>
        <w:spacing w:line="244" w:lineRule="auto"/>
        <w:ind w:left="2104" w:right="241" w:hanging="560"/>
        <w:jc w:val="both"/>
      </w:pPr>
      <w:r>
        <w:rPr/>
        <w:t>二、被保險人於意外傷害事故發生當時之職業類別在本公司拒保範圍內者，本公司不給付第十二條至第十九條之保險金，僅退還保單價值準備金或未到期保險費二者取其大者予要保人，且本契約效力即行終止。</w:t>
      </w:r>
    </w:p>
    <w:p>
      <w:pPr>
        <w:spacing w:after="0" w:line="244" w:lineRule="auto"/>
        <w:jc w:val="both"/>
        <w:sectPr>
          <w:pgSz w:w="11910" w:h="16840"/>
          <w:pgMar w:header="0" w:footer="746" w:top="1360" w:bottom="1020" w:left="980" w:right="880"/>
        </w:sectPr>
      </w:pPr>
    </w:p>
    <w:p>
      <w:pPr>
        <w:pStyle w:val="Heading1"/>
        <w:tabs>
          <w:tab w:pos="1837" w:val="left" w:leader="none"/>
        </w:tabs>
        <w:spacing w:line="419" w:lineRule="exact"/>
      </w:pPr>
      <w:r>
        <w:rPr/>
        <w:t>第三十三條</w:t>
        <w:tab/>
      </w:r>
      <w:r>
        <w:rPr>
          <w:spacing w:val="-1"/>
        </w:rPr>
        <w:t>欠繳</w:t>
      </w:r>
      <w:r>
        <w:rPr/>
        <w:t>保險費或未還款項的扣除</w:t>
      </w:r>
    </w:p>
    <w:p>
      <w:pPr>
        <w:pStyle w:val="BodyText"/>
        <w:spacing w:line="329" w:lineRule="exact"/>
      </w:pPr>
      <w:r>
        <w:rPr/>
        <w:t>本公司給付各項保險金、解約金、返還保單價值準備金或退還已繳</w:t>
      </w:r>
    </w:p>
    <w:p>
      <w:pPr>
        <w:pStyle w:val="BodyText"/>
        <w:spacing w:line="244" w:lineRule="auto" w:before="6"/>
        <w:ind w:right="256"/>
        <w:jc w:val="both"/>
      </w:pPr>
      <w:r>
        <w:rPr/>
        <w:t>保險費時，如要保人有欠繳保險費（包括經本公司墊繳的保險費）</w:t>
      </w:r>
      <w:r>
        <w:rPr>
          <w:spacing w:val="-138"/>
        </w:rPr>
        <w:t> </w:t>
      </w:r>
      <w:r>
        <w:rPr/>
        <w:t>或保險單借款未還清者，本公司得先抵銷上述欠款及扣除其應付利息後給付其餘額。</w:t>
      </w:r>
    </w:p>
    <w:p>
      <w:pPr>
        <w:pStyle w:val="Heading1"/>
        <w:tabs>
          <w:tab w:pos="1837" w:val="left" w:leader="none"/>
        </w:tabs>
        <w:spacing w:line="388" w:lineRule="exact"/>
      </w:pPr>
      <w:r>
        <w:rPr/>
        <w:t>第三十四條</w:t>
        <w:tab/>
      </w:r>
      <w:r>
        <w:rPr>
          <w:spacing w:val="-1"/>
        </w:rPr>
        <w:t>傷害醫</w:t>
      </w:r>
      <w:r>
        <w:rPr/>
        <w:t>療保險金日額之減少</w:t>
      </w:r>
    </w:p>
    <w:p>
      <w:pPr>
        <w:pStyle w:val="BodyText"/>
        <w:spacing w:line="330" w:lineRule="exact"/>
      </w:pPr>
      <w:r>
        <w:rPr/>
        <w:t>要保人在本契約有效期間內，得申請減少傷害醫療保險金日額，但</w:t>
      </w:r>
    </w:p>
    <w:p>
      <w:pPr>
        <w:pStyle w:val="BodyText"/>
        <w:spacing w:line="244" w:lineRule="auto" w:before="6"/>
        <w:ind w:right="246"/>
      </w:pPr>
      <w:r>
        <w:rPr/>
        <w:t>是減額後的傷害醫療保險金日額，不得低於本保險最低承保日額，</w:t>
      </w:r>
      <w:r>
        <w:rPr>
          <w:spacing w:val="-137"/>
        </w:rPr>
        <w:t> </w:t>
      </w:r>
      <w:r>
        <w:rPr/>
        <w:t>其減少部分依第十條契約終止之約定處理。</w:t>
      </w:r>
    </w:p>
    <w:p>
      <w:pPr>
        <w:pStyle w:val="Heading1"/>
        <w:tabs>
          <w:tab w:pos="1837" w:val="left" w:leader="none"/>
        </w:tabs>
        <w:spacing w:line="485" w:lineRule="exact" w:before="227"/>
      </w:pPr>
      <w:r>
        <w:rPr/>
        <w:drawing>
          <wp:anchor distT="0" distB="0" distL="0" distR="0" allowOverlap="1" layoutInCell="1" locked="0" behindDoc="1" simplePos="0" relativeHeight="486326272">
            <wp:simplePos x="0" y="0"/>
            <wp:positionH relativeFrom="page">
              <wp:posOffset>2874040</wp:posOffset>
            </wp:positionH>
            <wp:positionV relativeFrom="paragraph">
              <wp:posOffset>164620</wp:posOffset>
            </wp:positionV>
            <wp:extent cx="1837644" cy="4428464"/>
            <wp:effectExtent l="0" t="0" r="0" b="0"/>
            <wp:wrapNone/>
            <wp:docPr id="29" name="image1.png"/>
            <wp:cNvGraphicFramePr>
              <a:graphicFrameLocks noChangeAspect="1"/>
            </wp:cNvGraphicFramePr>
            <a:graphic>
              <a:graphicData uri="http://schemas.openxmlformats.org/drawingml/2006/picture">
                <pic:pic>
                  <pic:nvPicPr>
                    <pic:cNvPr id="30" name="image1.png"/>
                    <pic:cNvPicPr/>
                  </pic:nvPicPr>
                  <pic:blipFill>
                    <a:blip r:embed="rId7" cstate="print"/>
                    <a:stretch>
                      <a:fillRect/>
                    </a:stretch>
                  </pic:blipFill>
                  <pic:spPr>
                    <a:xfrm>
                      <a:off x="0" y="0"/>
                      <a:ext cx="1837644" cy="4428464"/>
                    </a:xfrm>
                    <a:prstGeom prst="rect">
                      <a:avLst/>
                    </a:prstGeom>
                  </pic:spPr>
                </pic:pic>
              </a:graphicData>
            </a:graphic>
          </wp:anchor>
        </w:drawing>
      </w:r>
      <w:r>
        <w:rPr/>
        <w:t>第三十五條</w:t>
        <w:tab/>
      </w:r>
      <w:r>
        <w:rPr>
          <w:spacing w:val="-1"/>
        </w:rPr>
        <w:t>減額</w:t>
      </w:r>
      <w:r>
        <w:rPr/>
        <w:t>繳清保險</w:t>
      </w:r>
    </w:p>
    <w:p>
      <w:pPr>
        <w:pStyle w:val="BodyText"/>
        <w:spacing w:line="329" w:lineRule="exact"/>
      </w:pPr>
      <w:r>
        <w:rPr/>
        <w:t>要保人繳足保險費累積達有保單價值準備金時，要保人得以當時保</w:t>
      </w:r>
    </w:p>
    <w:p>
      <w:pPr>
        <w:pStyle w:val="BodyText"/>
        <w:spacing w:line="244" w:lineRule="auto" w:before="6"/>
        <w:ind w:right="232"/>
        <w:jc w:val="both"/>
      </w:pPr>
      <w:r>
        <w:rPr/>
        <w:t>單價值準備金扣除本公司所收取之營業費用後的數額作為一次繳清</w:t>
      </w:r>
      <w:r>
        <w:rPr>
          <w:spacing w:val="-6"/>
        </w:rPr>
        <w:t>的躉繳保險費，向本公司申請改保同類保險的「減額繳清保險」，其</w:t>
      </w:r>
      <w:r>
        <w:rPr>
          <w:spacing w:val="14"/>
        </w:rPr>
        <w:t>傷害醫療保險金日額如保險單之減額繳清傷害醫療保險金日額附</w:t>
      </w:r>
      <w:r>
        <w:rPr/>
        <w:t>表。要保人變更為「減額繳清保險」後，不必再繼續繳保險費，本契約繼續有效。其保險範圍與原契約同，但傷害醫療保險金日額改以減額繳清傷害醫療保險金日額為準。</w:t>
      </w:r>
    </w:p>
    <w:p>
      <w:pPr>
        <w:pStyle w:val="BodyText"/>
        <w:spacing w:line="242" w:lineRule="auto"/>
        <w:ind w:right="253"/>
        <w:jc w:val="both"/>
      </w:pPr>
      <w:r>
        <w:rPr/>
        <w:t>要保人選擇改為「減額繳清保險」當時，倘有保險單借款或欠繳、墊繳保險費的情形，本公司將以保單價值準備金扣除欠繳保險費或借款本息或墊繳保險費本息及本公司所收取之營業費用後的淨額辦理。</w:t>
      </w:r>
    </w:p>
    <w:p>
      <w:pPr>
        <w:pStyle w:val="Heading1"/>
        <w:tabs>
          <w:tab w:pos="1837" w:val="left" w:leader="none"/>
        </w:tabs>
        <w:spacing w:before="228"/>
      </w:pPr>
      <w:r>
        <w:rPr/>
        <w:t>第三十六條</w:t>
        <w:tab/>
        <w:t>展期定期保險之限制</w:t>
      </w:r>
    </w:p>
    <w:p>
      <w:pPr>
        <w:pStyle w:val="BodyText"/>
        <w:spacing w:line="330" w:lineRule="exact"/>
      </w:pPr>
      <w:r>
        <w:rPr>
          <w:spacing w:val="-8"/>
        </w:rPr>
        <w:t>要保人不得向本公司申請改為「展期定期保險」。</w:t>
      </w:r>
    </w:p>
    <w:p>
      <w:pPr>
        <w:pStyle w:val="Heading1"/>
        <w:tabs>
          <w:tab w:pos="1837" w:val="left" w:leader="none"/>
        </w:tabs>
        <w:spacing w:before="232"/>
      </w:pPr>
      <w:r>
        <w:rPr/>
        <w:t>第三十七條</w:t>
        <w:tab/>
      </w:r>
      <w:r>
        <w:rPr>
          <w:spacing w:val="-1"/>
        </w:rPr>
        <w:t>保險</w:t>
      </w:r>
      <w:r>
        <w:rPr/>
        <w:t>單借款及契約效力的停止</w:t>
      </w:r>
    </w:p>
    <w:p>
      <w:pPr>
        <w:pStyle w:val="BodyText"/>
        <w:spacing w:line="330" w:lineRule="exact"/>
      </w:pPr>
      <w:r>
        <w:rPr/>
        <w:t>要保人繳足保險費累積達有保單價值準備金時，要保人得向本公司</w:t>
      </w:r>
    </w:p>
    <w:p>
      <w:pPr>
        <w:pStyle w:val="BodyText"/>
        <w:spacing w:before="7"/>
      </w:pPr>
      <w:r>
        <w:rPr>
          <w:spacing w:val="-1"/>
        </w:rPr>
        <w:t>申請保險單借款，其可借金額上限為借款當日保單價值準備金之 </w:t>
      </w:r>
      <w:r>
        <w:rPr/>
        <w:t>20</w:t>
      </w:r>
    </w:p>
    <w:p>
      <w:pPr>
        <w:pStyle w:val="BodyText"/>
        <w:spacing w:line="244" w:lineRule="auto" w:before="6"/>
        <w:ind w:right="259"/>
      </w:pPr>
      <w:r>
        <w:rPr/>
        <w:t>％，未償還之借款本息，超過其保單價值準備金時，本契約效力即行停止。但本公司應於效力停止日之三十日前以書面通知要保人。本公司未依前項規定為通知時，於本公司以書面通知要保人返還借款本息之日起三十日內要保人未返還者，保險契約之效力自該三十日之次日起停止。</w:t>
      </w:r>
    </w:p>
    <w:p>
      <w:pPr>
        <w:pStyle w:val="BodyText"/>
        <w:spacing w:before="6"/>
        <w:ind w:left="0"/>
        <w:rPr>
          <w:sz w:val="20"/>
        </w:rPr>
      </w:pPr>
    </w:p>
    <w:p>
      <w:pPr>
        <w:pStyle w:val="Heading1"/>
        <w:tabs>
          <w:tab w:pos="1837" w:val="left" w:leader="none"/>
        </w:tabs>
      </w:pPr>
      <w:r>
        <w:rPr/>
        <w:t>第三十八條</w:t>
        <w:tab/>
      </w:r>
      <w:r>
        <w:rPr>
          <w:spacing w:val="-1"/>
        </w:rPr>
        <w:t>投保</w:t>
      </w:r>
      <w:r>
        <w:rPr/>
        <w:t>年齡的計算及錯誤的處理</w:t>
      </w:r>
    </w:p>
    <w:p>
      <w:pPr>
        <w:pStyle w:val="BodyText"/>
        <w:spacing w:line="330" w:lineRule="exact"/>
      </w:pPr>
      <w:r>
        <w:rPr/>
        <w:t>要保人在申請投保時，應將被保險人出生年月日在要保書填明。被</w:t>
      </w:r>
    </w:p>
    <w:p>
      <w:pPr>
        <w:pStyle w:val="BodyText"/>
        <w:spacing w:before="6"/>
      </w:pPr>
      <w:r>
        <w:rPr/>
        <w:t>保險人的投保年齡，以足歲計算，但是未滿一歲的零數超過六個月</w:t>
      </w:r>
    </w:p>
    <w:p>
      <w:pPr>
        <w:spacing w:after="0"/>
        <w:sectPr>
          <w:pgSz w:w="11910" w:h="16840"/>
          <w:pgMar w:header="0" w:footer="746" w:top="1360" w:bottom="1020" w:left="980" w:right="880"/>
        </w:sectPr>
      </w:pPr>
    </w:p>
    <w:p>
      <w:pPr>
        <w:pStyle w:val="BodyText"/>
        <w:spacing w:before="26"/>
      </w:pPr>
      <w:r>
        <w:rPr/>
        <w:t>者，加算一歲。</w:t>
      </w:r>
    </w:p>
    <w:p>
      <w:pPr>
        <w:pStyle w:val="BodyText"/>
        <w:spacing w:before="4"/>
      </w:pPr>
      <w:r>
        <w:rPr>
          <w:spacing w:val="-1"/>
        </w:rPr>
        <w:t>被保險人的投保年齡發生錯誤時，依下列規定辦理：</w:t>
      </w:r>
    </w:p>
    <w:p>
      <w:pPr>
        <w:pStyle w:val="BodyText"/>
        <w:spacing w:line="244" w:lineRule="auto" w:before="6"/>
        <w:ind w:left="2104" w:right="259" w:hanging="560"/>
      </w:pPr>
      <w:r>
        <w:rPr/>
        <w:t>一、真實投保年齡較本公司保險費率表所載最高年齡為大者，本契約無效，其已繳保險費無息退還要保人。</w:t>
      </w:r>
    </w:p>
    <w:p>
      <w:pPr>
        <w:pStyle w:val="BodyText"/>
        <w:spacing w:line="242" w:lineRule="auto"/>
        <w:ind w:left="2104" w:right="241" w:hanging="560"/>
        <w:jc w:val="both"/>
      </w:pPr>
      <w:r>
        <w:rPr/>
        <w:t>二、因投保年齡的錯誤，而致溢繳保險費者，本公司無息退還溢繳部分的保險費。但在發生保險事故後始發覺且其錯誤發生在本公司者，本公司按原繳保險費與應繳保險費的比例提高傷害醫療保險金日額，而不退還溢繳部分的保險費。</w:t>
      </w:r>
    </w:p>
    <w:p>
      <w:pPr>
        <w:pStyle w:val="BodyText"/>
        <w:spacing w:line="244" w:lineRule="auto" w:before="5"/>
        <w:ind w:left="2104" w:right="241" w:hanging="560"/>
        <w:jc w:val="both"/>
      </w:pPr>
      <w:r>
        <w:rPr/>
        <w:drawing>
          <wp:anchor distT="0" distB="0" distL="0" distR="0" allowOverlap="1" layoutInCell="1" locked="0" behindDoc="1" simplePos="0" relativeHeight="486326784">
            <wp:simplePos x="0" y="0"/>
            <wp:positionH relativeFrom="page">
              <wp:posOffset>2874040</wp:posOffset>
            </wp:positionH>
            <wp:positionV relativeFrom="paragraph">
              <wp:posOffset>400826</wp:posOffset>
            </wp:positionV>
            <wp:extent cx="1837644" cy="4428464"/>
            <wp:effectExtent l="0" t="0" r="0" b="0"/>
            <wp:wrapNone/>
            <wp:docPr id="31" name="image1.png"/>
            <wp:cNvGraphicFramePr>
              <a:graphicFrameLocks noChangeAspect="1"/>
            </wp:cNvGraphicFramePr>
            <a:graphic>
              <a:graphicData uri="http://schemas.openxmlformats.org/drawingml/2006/picture">
                <pic:pic>
                  <pic:nvPicPr>
                    <pic:cNvPr id="32" name="image1.png"/>
                    <pic:cNvPicPr/>
                  </pic:nvPicPr>
                  <pic:blipFill>
                    <a:blip r:embed="rId7" cstate="print"/>
                    <a:stretch>
                      <a:fillRect/>
                    </a:stretch>
                  </pic:blipFill>
                  <pic:spPr>
                    <a:xfrm>
                      <a:off x="0" y="0"/>
                      <a:ext cx="1837644" cy="4428464"/>
                    </a:xfrm>
                    <a:prstGeom prst="rect">
                      <a:avLst/>
                    </a:prstGeom>
                  </pic:spPr>
                </pic:pic>
              </a:graphicData>
            </a:graphic>
          </wp:anchor>
        </w:drawing>
      </w:r>
      <w:r>
        <w:rPr/>
        <w:t>三、因投保年齡的錯誤，而致短繳保險費者，要保人得補繳短繳的保險費或按照所付的保險費與被保險人的真實年齡比例減少傷害醫療保險金日額。但在發生保險事故後始發覺且其錯誤不可歸責於本公司者，要保人不得要求補繳短繳的保險費。</w:t>
      </w:r>
    </w:p>
    <w:p>
      <w:pPr>
        <w:pStyle w:val="BodyText"/>
        <w:spacing w:line="242" w:lineRule="auto"/>
        <w:ind w:right="253"/>
        <w:jc w:val="both"/>
      </w:pPr>
      <w:r>
        <w:rPr/>
        <w:t>前項第一款、第二款前段情形，其錯誤原因歸責於本公司者，應加計利息退還保險費，其利息按本保險單辦理保險單借款之利率與民法第二百零三條法定週年利率兩者取其大之值計算。</w:t>
      </w:r>
    </w:p>
    <w:p>
      <w:pPr>
        <w:pStyle w:val="BodyText"/>
        <w:spacing w:before="2"/>
        <w:ind w:left="0"/>
        <w:rPr>
          <w:sz w:val="21"/>
        </w:rPr>
      </w:pPr>
    </w:p>
    <w:p>
      <w:pPr>
        <w:pStyle w:val="Heading1"/>
        <w:tabs>
          <w:tab w:pos="1837" w:val="left" w:leader="none"/>
        </w:tabs>
        <w:spacing w:line="485" w:lineRule="exact"/>
      </w:pPr>
      <w:r>
        <w:rPr/>
        <w:t>第三十九條</w:t>
        <w:tab/>
        <w:t>受益人的指定及變更</w:t>
      </w:r>
    </w:p>
    <w:p>
      <w:pPr>
        <w:pStyle w:val="BodyText"/>
        <w:spacing w:line="329" w:lineRule="exact"/>
      </w:pPr>
      <w:r>
        <w:rPr>
          <w:spacing w:val="-26"/>
        </w:rPr>
        <w:t>「意外事故失能保險金」、「每月生活照護保險金」、「重大燒燙傷保</w:t>
      </w:r>
    </w:p>
    <w:p>
      <w:pPr>
        <w:pStyle w:val="BodyText"/>
        <w:spacing w:line="244" w:lineRule="auto" w:before="6"/>
        <w:ind w:right="251"/>
        <w:jc w:val="both"/>
      </w:pPr>
      <w:r>
        <w:rPr>
          <w:spacing w:val="-26"/>
        </w:rPr>
        <w:t>險金」、「意外骨折保險金」、「傷害醫療日額保險金」及「意外創傷</w:t>
      </w:r>
      <w:r>
        <w:rPr/>
        <w:t>縫合處置保險金」的受益人，為被保險人本人，本公司不受理另行指定或變更。</w:t>
      </w:r>
    </w:p>
    <w:p>
      <w:pPr>
        <w:pStyle w:val="BodyText"/>
        <w:spacing w:line="242" w:lineRule="auto"/>
        <w:ind w:right="257"/>
      </w:pPr>
      <w:r>
        <w:rPr/>
        <w:t>除前項情形外，受益人之指定及變更，要保人得依下列約定辦理，</w:t>
      </w:r>
      <w:r>
        <w:rPr>
          <w:spacing w:val="-137"/>
        </w:rPr>
        <w:t> </w:t>
      </w:r>
      <w:r>
        <w:rPr/>
        <w:t>並應符合指定或變更當時法令之規定：</w:t>
      </w:r>
    </w:p>
    <w:p>
      <w:pPr>
        <w:pStyle w:val="BodyText"/>
      </w:pPr>
      <w:r>
        <w:rPr>
          <w:spacing w:val="-1"/>
        </w:rPr>
        <w:t>一、於訂立本契約時，經被保險人同意指定受益人。</w:t>
      </w:r>
    </w:p>
    <w:p>
      <w:pPr>
        <w:pStyle w:val="BodyText"/>
        <w:spacing w:line="244" w:lineRule="auto" w:before="6"/>
        <w:ind w:left="2104" w:right="259" w:hanging="560"/>
      </w:pPr>
      <w:r>
        <w:rPr/>
        <w:t>二、於保險事故發生前經被保險人同意變更受益人，如要保人未將前述變更通知本公司者，不得對抗本公司。</w:t>
      </w:r>
    </w:p>
    <w:p>
      <w:pPr>
        <w:pStyle w:val="BodyText"/>
        <w:spacing w:line="244" w:lineRule="auto"/>
        <w:ind w:right="184"/>
        <w:jc w:val="both"/>
      </w:pPr>
      <w:r>
        <w:rPr>
          <w:spacing w:val="-4"/>
        </w:rPr>
        <w:t>前項受益人的變更，於要保人檢具申請書及被保險人的同意書</w:t>
      </w:r>
      <w:r>
        <w:rPr>
          <w:spacing w:val="-1"/>
        </w:rPr>
        <w:t>（要、</w:t>
      </w:r>
      <w:r>
        <w:rPr/>
        <w:t>被保險人為同一人時為申請書或電子申請文件）送達本公司時，本公司應即批註或發給批註書。</w:t>
      </w:r>
    </w:p>
    <w:p>
      <w:pPr>
        <w:pStyle w:val="BodyText"/>
        <w:spacing w:line="355" w:lineRule="exact"/>
      </w:pPr>
      <w:r>
        <w:rPr>
          <w:spacing w:val="-1"/>
        </w:rPr>
        <w:t>本公司為各項保險金給付時，應以受益人直接申領為限。</w:t>
      </w:r>
    </w:p>
    <w:p>
      <w:pPr>
        <w:pStyle w:val="BodyText"/>
        <w:spacing w:line="244" w:lineRule="auto"/>
        <w:ind w:right="252"/>
        <w:jc w:val="both"/>
      </w:pPr>
      <w:r>
        <w:rPr/>
        <w:t>「意外事故身故保險金」或「喪葬費用保險金」之受益人同時或先於被保險人本人身故者，除要保人已另行指定受益人外，以被保險人身故時之法定繼承人為該保險金之受益人。</w:t>
      </w:r>
    </w:p>
    <w:p>
      <w:pPr>
        <w:pStyle w:val="BodyText"/>
        <w:spacing w:line="242" w:lineRule="auto"/>
        <w:ind w:right="254"/>
      </w:pPr>
      <w:r>
        <w:rPr/>
        <w:t>本契約受益人為法定繼承人時，其受益順序及應得比例適用民法繼承編相關規定。</w:t>
      </w:r>
    </w:p>
    <w:p>
      <w:pPr>
        <w:pStyle w:val="BodyText"/>
        <w:spacing w:before="2"/>
        <w:ind w:left="0"/>
        <w:rPr>
          <w:sz w:val="21"/>
        </w:rPr>
      </w:pPr>
    </w:p>
    <w:p>
      <w:pPr>
        <w:pStyle w:val="Heading1"/>
        <w:tabs>
          <w:tab w:pos="1557" w:val="left" w:leader="none"/>
        </w:tabs>
      </w:pPr>
      <w:r>
        <w:rPr/>
        <w:t>第四十條</w:t>
        <w:tab/>
      </w:r>
      <w:r>
        <w:rPr>
          <w:spacing w:val="-1"/>
        </w:rPr>
        <w:t>變更住</w:t>
      </w:r>
      <w:r>
        <w:rPr/>
        <w:t>所</w:t>
      </w:r>
    </w:p>
    <w:p>
      <w:pPr>
        <w:pStyle w:val="BodyText"/>
        <w:spacing w:line="330" w:lineRule="exact"/>
        <w:ind w:left="1281"/>
      </w:pPr>
      <w:r>
        <w:rPr>
          <w:spacing w:val="-1"/>
        </w:rPr>
        <w:t>要保人的住所有變更時，應即以書面或其他約定方式通知本公司。</w:t>
      </w:r>
    </w:p>
    <w:p>
      <w:pPr>
        <w:spacing w:after="0" w:line="330" w:lineRule="exact"/>
        <w:sectPr>
          <w:pgSz w:w="11910" w:h="16840"/>
          <w:pgMar w:header="0" w:footer="746" w:top="1360" w:bottom="1020" w:left="980" w:right="880"/>
        </w:sectPr>
      </w:pPr>
    </w:p>
    <w:p>
      <w:pPr>
        <w:pStyle w:val="BodyText"/>
        <w:spacing w:line="242" w:lineRule="auto" w:before="26"/>
        <w:ind w:left="1281" w:right="256"/>
      </w:pPr>
      <w:r>
        <w:rPr/>
        <w:t>要保人不為前項通知者，本公司之各項通知，得以本契約所載要保人之最後住所發送之。</w:t>
      </w:r>
    </w:p>
    <w:p>
      <w:pPr>
        <w:pStyle w:val="BodyText"/>
        <w:spacing w:before="6"/>
        <w:ind w:left="0"/>
        <w:rPr>
          <w:sz w:val="21"/>
        </w:rPr>
      </w:pPr>
    </w:p>
    <w:p>
      <w:pPr>
        <w:pStyle w:val="Heading1"/>
        <w:tabs>
          <w:tab w:pos="1837" w:val="left" w:leader="none"/>
        </w:tabs>
      </w:pPr>
      <w:r>
        <w:rPr/>
        <w:t>第四十一條</w:t>
        <w:tab/>
      </w:r>
      <w:r>
        <w:rPr>
          <w:spacing w:val="-3"/>
        </w:rPr>
        <w:t>時</w:t>
      </w:r>
      <w:r>
        <w:rPr>
          <w:spacing w:val="-2"/>
        </w:rPr>
        <w:t>效</w:t>
      </w:r>
    </w:p>
    <w:p>
      <w:pPr>
        <w:tabs>
          <w:tab w:pos="1837" w:val="left" w:leader="none"/>
        </w:tabs>
        <w:spacing w:line="192" w:lineRule="auto" w:before="28"/>
        <w:ind w:left="152" w:right="184" w:firstLine="1392"/>
        <w:jc w:val="left"/>
        <w:rPr>
          <w:rFonts w:ascii="Microsoft JhengHei" w:eastAsia="Microsoft JhengHei" w:hint="eastAsia"/>
          <w:b/>
          <w:sz w:val="28"/>
        </w:rPr>
      </w:pPr>
      <w:r>
        <w:rPr>
          <w:spacing w:val="-3"/>
          <w:sz w:val="28"/>
        </w:rPr>
        <w:t>由本契約所生的權利，自得為請求之日起，經過兩年</w:t>
      </w:r>
      <w:r>
        <w:rPr>
          <w:spacing w:val="-2"/>
          <w:sz w:val="28"/>
        </w:rPr>
        <w:t>不行使而消滅。</w:t>
      </w:r>
      <w:r>
        <w:rPr>
          <w:rFonts w:ascii="Microsoft JhengHei" w:eastAsia="Microsoft JhengHei" w:hint="eastAsia"/>
          <w:b/>
          <w:sz w:val="28"/>
        </w:rPr>
        <w:t>第四十二條</w:t>
        <w:tab/>
        <w:t>批註</w:t>
      </w:r>
    </w:p>
    <w:p>
      <w:pPr>
        <w:pStyle w:val="BodyText"/>
        <w:spacing w:line="331" w:lineRule="exact"/>
      </w:pPr>
      <w:r>
        <w:rPr/>
        <w:t>本契約內容的變更，或記載事項的增刪，除第三十九條約定者外，</w:t>
      </w:r>
    </w:p>
    <w:p>
      <w:pPr>
        <w:pStyle w:val="BodyText"/>
        <w:spacing w:line="244" w:lineRule="auto" w:before="6"/>
        <w:ind w:right="259"/>
      </w:pPr>
      <w:r>
        <w:rPr/>
        <w:t>應經要保人與本公司雙方書面或其他約定方式同意，並由本公司即予批註或發給批註書。</w:t>
      </w:r>
    </w:p>
    <w:p>
      <w:pPr>
        <w:pStyle w:val="BodyText"/>
        <w:spacing w:before="11"/>
        <w:ind w:left="0"/>
        <w:rPr>
          <w:sz w:val="20"/>
        </w:rPr>
      </w:pPr>
    </w:p>
    <w:p>
      <w:pPr>
        <w:pStyle w:val="Heading1"/>
        <w:tabs>
          <w:tab w:pos="1837" w:val="left" w:leader="none"/>
        </w:tabs>
      </w:pPr>
      <w:r>
        <w:rPr/>
        <w:drawing>
          <wp:anchor distT="0" distB="0" distL="0" distR="0" allowOverlap="1" layoutInCell="1" locked="0" behindDoc="1" simplePos="0" relativeHeight="486327296">
            <wp:simplePos x="0" y="0"/>
            <wp:positionH relativeFrom="page">
              <wp:posOffset>2874040</wp:posOffset>
            </wp:positionH>
            <wp:positionV relativeFrom="paragraph">
              <wp:posOffset>-5432</wp:posOffset>
            </wp:positionV>
            <wp:extent cx="1837644" cy="4428464"/>
            <wp:effectExtent l="0" t="0" r="0" b="0"/>
            <wp:wrapNone/>
            <wp:docPr id="33" name="image1.png"/>
            <wp:cNvGraphicFramePr>
              <a:graphicFrameLocks noChangeAspect="1"/>
            </wp:cNvGraphicFramePr>
            <a:graphic>
              <a:graphicData uri="http://schemas.openxmlformats.org/drawingml/2006/picture">
                <pic:pic>
                  <pic:nvPicPr>
                    <pic:cNvPr id="34" name="image1.png"/>
                    <pic:cNvPicPr/>
                  </pic:nvPicPr>
                  <pic:blipFill>
                    <a:blip r:embed="rId7" cstate="print"/>
                    <a:stretch>
                      <a:fillRect/>
                    </a:stretch>
                  </pic:blipFill>
                  <pic:spPr>
                    <a:xfrm>
                      <a:off x="0" y="0"/>
                      <a:ext cx="1837644" cy="4428464"/>
                    </a:xfrm>
                    <a:prstGeom prst="rect">
                      <a:avLst/>
                    </a:prstGeom>
                  </pic:spPr>
                </pic:pic>
              </a:graphicData>
            </a:graphic>
          </wp:anchor>
        </w:drawing>
      </w:r>
      <w:r>
        <w:rPr/>
        <w:t>第四十三條</w:t>
        <w:tab/>
      </w:r>
      <w:r>
        <w:rPr>
          <w:spacing w:val="-1"/>
        </w:rPr>
        <w:t>管轄法</w:t>
      </w:r>
      <w:r>
        <w:rPr/>
        <w:t>院</w:t>
      </w:r>
    </w:p>
    <w:p>
      <w:pPr>
        <w:pStyle w:val="BodyText"/>
        <w:spacing w:line="330" w:lineRule="exact"/>
      </w:pPr>
      <w:r>
        <w:rPr>
          <w:spacing w:val="14"/>
        </w:rPr>
        <w:t>因本契約涉訟者，同意以要保人住所地地方法院為第一審管轄法</w:t>
      </w:r>
    </w:p>
    <w:p>
      <w:pPr>
        <w:pStyle w:val="BodyText"/>
        <w:spacing w:line="242" w:lineRule="auto" w:before="6"/>
        <w:ind w:right="259"/>
        <w:jc w:val="both"/>
      </w:pPr>
      <w:r>
        <w:rPr/>
        <w:t>院，要保人的住所在中華民國境外時，以本公司總公司所在地地方法院為第一審管轄法院。但不得排除消費者保護法第四十七條及民事訴訟法第四百三十六條之九小額訴訟管轄法院之適用。</w:t>
      </w:r>
    </w:p>
    <w:p>
      <w:pPr>
        <w:spacing w:after="0" w:line="242" w:lineRule="auto"/>
        <w:jc w:val="both"/>
        <w:sectPr>
          <w:pgSz w:w="11910" w:h="16840"/>
          <w:pgMar w:header="0" w:footer="746" w:top="1360" w:bottom="1020" w:left="980" w:right="880"/>
        </w:sectPr>
      </w:pPr>
    </w:p>
    <w:p>
      <w:pPr>
        <w:spacing w:line="331" w:lineRule="exact" w:before="0"/>
        <w:ind w:left="152" w:right="0" w:firstLine="0"/>
        <w:jc w:val="left"/>
        <w:rPr>
          <w:rFonts w:ascii="Microsoft JhengHei" w:eastAsia="Microsoft JhengHei" w:hint="eastAsia"/>
          <w:b/>
          <w:sz w:val="20"/>
        </w:rPr>
      </w:pPr>
      <w:r>
        <w:rPr/>
        <w:drawing>
          <wp:anchor distT="0" distB="0" distL="0" distR="0" allowOverlap="1" layoutInCell="1" locked="0" behindDoc="1" simplePos="0" relativeHeight="486327808">
            <wp:simplePos x="0" y="0"/>
            <wp:positionH relativeFrom="page">
              <wp:posOffset>2874040</wp:posOffset>
            </wp:positionH>
            <wp:positionV relativeFrom="page">
              <wp:posOffset>3140089</wp:posOffset>
            </wp:positionV>
            <wp:extent cx="1837644" cy="4428464"/>
            <wp:effectExtent l="0" t="0" r="0" b="0"/>
            <wp:wrapNone/>
            <wp:docPr id="35" name="image1.png"/>
            <wp:cNvGraphicFramePr>
              <a:graphicFrameLocks noChangeAspect="1"/>
            </wp:cNvGraphicFramePr>
            <a:graphic>
              <a:graphicData uri="http://schemas.openxmlformats.org/drawingml/2006/picture">
                <pic:pic>
                  <pic:nvPicPr>
                    <pic:cNvPr id="36" name="image1.png"/>
                    <pic:cNvPicPr/>
                  </pic:nvPicPr>
                  <pic:blipFill>
                    <a:blip r:embed="rId7" cstate="print"/>
                    <a:stretch>
                      <a:fillRect/>
                    </a:stretch>
                  </pic:blipFill>
                  <pic:spPr>
                    <a:xfrm>
                      <a:off x="0" y="0"/>
                      <a:ext cx="1837644" cy="4428464"/>
                    </a:xfrm>
                    <a:prstGeom prst="rect">
                      <a:avLst/>
                    </a:prstGeom>
                  </pic:spPr>
                </pic:pic>
              </a:graphicData>
            </a:graphic>
          </wp:anchor>
        </w:drawing>
      </w:r>
      <w:r>
        <w:rPr>
          <w:rFonts w:ascii="Microsoft JhengHei" w:eastAsia="Microsoft JhengHei" w:hint="eastAsia"/>
          <w:b/>
          <w:sz w:val="20"/>
        </w:rPr>
        <w:t>附表一：重大燒燙傷表</w:t>
      </w:r>
    </w:p>
    <w:tbl>
      <w:tblPr>
        <w:tblW w:w="0" w:type="auto"/>
        <w:jc w:val="left"/>
        <w:tblInd w:w="16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170"/>
        <w:gridCol w:w="5478"/>
      </w:tblGrid>
      <w:tr>
        <w:trPr>
          <w:trHeight w:val="261" w:hRule="atLeast"/>
        </w:trPr>
        <w:tc>
          <w:tcPr>
            <w:tcW w:w="4170" w:type="dxa"/>
            <w:tcBorders>
              <w:bottom w:val="single" w:sz="4" w:space="0" w:color="000000"/>
              <w:right w:val="single" w:sz="4" w:space="0" w:color="000000"/>
            </w:tcBorders>
          </w:tcPr>
          <w:p>
            <w:pPr>
              <w:pStyle w:val="TableParagraph"/>
              <w:spacing w:line="216" w:lineRule="exact"/>
              <w:ind w:left="1011" w:right="996"/>
              <w:rPr>
                <w:sz w:val="20"/>
              </w:rPr>
            </w:pPr>
            <w:r>
              <w:rPr>
                <w:sz w:val="20"/>
              </w:rPr>
              <w:t>中文疾病名稱</w:t>
            </w:r>
          </w:p>
        </w:tc>
        <w:tc>
          <w:tcPr>
            <w:tcW w:w="5478" w:type="dxa"/>
            <w:tcBorders>
              <w:left w:val="single" w:sz="4" w:space="0" w:color="000000"/>
              <w:bottom w:val="single" w:sz="4" w:space="0" w:color="000000"/>
            </w:tcBorders>
          </w:tcPr>
          <w:p>
            <w:pPr>
              <w:pStyle w:val="TableParagraph"/>
              <w:spacing w:line="216" w:lineRule="exact"/>
              <w:ind w:left="1097" w:right="1060"/>
              <w:rPr>
                <w:sz w:val="20"/>
              </w:rPr>
            </w:pPr>
            <w:r>
              <w:rPr>
                <w:sz w:val="20"/>
              </w:rPr>
              <w:t>英文疾病名稱</w:t>
            </w:r>
          </w:p>
        </w:tc>
      </w:tr>
      <w:tr>
        <w:trPr>
          <w:trHeight w:val="261" w:hRule="atLeast"/>
        </w:trPr>
        <w:tc>
          <w:tcPr>
            <w:tcW w:w="9648" w:type="dxa"/>
            <w:gridSpan w:val="2"/>
            <w:tcBorders>
              <w:top w:val="single" w:sz="4" w:space="0" w:color="000000"/>
              <w:bottom w:val="single" w:sz="4" w:space="0" w:color="000000"/>
            </w:tcBorders>
          </w:tcPr>
          <w:p>
            <w:pPr>
              <w:pStyle w:val="TableParagraph"/>
              <w:spacing w:line="213" w:lineRule="exact"/>
              <w:ind w:left="28"/>
              <w:jc w:val="left"/>
              <w:rPr>
                <w:sz w:val="20"/>
              </w:rPr>
            </w:pPr>
            <w:r>
              <w:rPr>
                <w:sz w:val="20"/>
              </w:rPr>
              <w:t>顏面燒燙傷合併五官功能障礙：</w:t>
            </w:r>
          </w:p>
        </w:tc>
      </w:tr>
      <w:tr>
        <w:trPr>
          <w:trHeight w:val="258"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1013" w:right="996"/>
              <w:rPr>
                <w:sz w:val="20"/>
              </w:rPr>
            </w:pPr>
            <w:r>
              <w:rPr>
                <w:sz w:val="20"/>
              </w:rPr>
              <w:t>眼及其附屬器官之燒傷</w:t>
            </w:r>
          </w:p>
        </w:tc>
        <w:tc>
          <w:tcPr>
            <w:tcW w:w="5478" w:type="dxa"/>
            <w:tcBorders>
              <w:top w:val="single" w:sz="4" w:space="0" w:color="000000"/>
              <w:left w:val="single" w:sz="4" w:space="0" w:color="000000"/>
              <w:bottom w:val="single" w:sz="4" w:space="0" w:color="000000"/>
            </w:tcBorders>
          </w:tcPr>
          <w:p>
            <w:pPr>
              <w:pStyle w:val="TableParagraph"/>
              <w:spacing w:line="216" w:lineRule="exact"/>
              <w:ind w:left="1095" w:right="1060"/>
              <w:rPr>
                <w:rFonts w:ascii="Arial MT"/>
                <w:sz w:val="20"/>
              </w:rPr>
            </w:pPr>
            <w:r>
              <w:rPr>
                <w:rFonts w:ascii="Arial MT"/>
                <w:sz w:val="20"/>
              </w:rPr>
              <w:t>Burn</w:t>
            </w:r>
            <w:r>
              <w:rPr>
                <w:rFonts w:ascii="Arial MT"/>
                <w:spacing w:val="-3"/>
                <w:sz w:val="20"/>
              </w:rPr>
              <w:t> </w:t>
            </w:r>
            <w:r>
              <w:rPr>
                <w:rFonts w:ascii="Arial MT"/>
                <w:sz w:val="20"/>
              </w:rPr>
              <w:t>confined</w:t>
            </w:r>
            <w:r>
              <w:rPr>
                <w:rFonts w:ascii="Arial MT"/>
                <w:spacing w:val="-1"/>
                <w:sz w:val="20"/>
              </w:rPr>
              <w:t> </w:t>
            </w:r>
            <w:r>
              <w:rPr>
                <w:rFonts w:ascii="Arial MT"/>
                <w:sz w:val="20"/>
              </w:rPr>
              <w:t>to</w:t>
            </w:r>
            <w:r>
              <w:rPr>
                <w:rFonts w:ascii="Arial MT"/>
                <w:spacing w:val="-2"/>
                <w:sz w:val="20"/>
              </w:rPr>
              <w:t> </w:t>
            </w:r>
            <w:r>
              <w:rPr>
                <w:rFonts w:ascii="Arial MT"/>
                <w:sz w:val="20"/>
              </w:rPr>
              <w:t>eye</w:t>
            </w:r>
            <w:r>
              <w:rPr>
                <w:rFonts w:ascii="Arial MT"/>
                <w:spacing w:val="-1"/>
                <w:sz w:val="20"/>
              </w:rPr>
              <w:t> </w:t>
            </w:r>
            <w:r>
              <w:rPr>
                <w:rFonts w:ascii="Arial MT"/>
                <w:sz w:val="20"/>
              </w:rPr>
              <w:t>and</w:t>
            </w:r>
            <w:r>
              <w:rPr>
                <w:rFonts w:ascii="Arial MT"/>
                <w:spacing w:val="-3"/>
                <w:sz w:val="20"/>
              </w:rPr>
              <w:t> </w:t>
            </w:r>
            <w:r>
              <w:rPr>
                <w:rFonts w:ascii="Arial MT"/>
                <w:sz w:val="20"/>
              </w:rPr>
              <w:t>adnexa</w:t>
            </w:r>
          </w:p>
        </w:tc>
      </w:tr>
      <w:tr>
        <w:trPr>
          <w:trHeight w:val="520"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784"/>
              <w:jc w:val="left"/>
              <w:rPr>
                <w:sz w:val="20"/>
              </w:rPr>
            </w:pPr>
            <w:r>
              <w:rPr>
                <w:sz w:val="20"/>
              </w:rPr>
              <w:t>臉及頭之燒傷，深部組織壞死</w:t>
            </w:r>
          </w:p>
          <w:p>
            <w:pPr>
              <w:pStyle w:val="TableParagraph"/>
              <w:spacing w:before="5"/>
              <w:ind w:left="734"/>
              <w:jc w:val="left"/>
              <w:rPr>
                <w:sz w:val="20"/>
              </w:rPr>
            </w:pPr>
            <w:r>
              <w:rPr>
                <w:spacing w:val="2"/>
                <w:w w:val="99"/>
                <w:sz w:val="20"/>
              </w:rPr>
              <w:t>（</w:t>
            </w:r>
            <w:r>
              <w:rPr>
                <w:w w:val="99"/>
                <w:sz w:val="20"/>
              </w:rPr>
              <w:t>深三度</w:t>
            </w:r>
            <w:r>
              <w:rPr>
                <w:spacing w:val="-101"/>
                <w:w w:val="99"/>
                <w:sz w:val="20"/>
              </w:rPr>
              <w:t>）</w:t>
            </w:r>
            <w:r>
              <w:rPr>
                <w:w w:val="99"/>
                <w:sz w:val="20"/>
              </w:rPr>
              <w:t>，伴有身體部位損害</w:t>
            </w:r>
          </w:p>
        </w:tc>
        <w:tc>
          <w:tcPr>
            <w:tcW w:w="5478" w:type="dxa"/>
            <w:tcBorders>
              <w:top w:val="single" w:sz="4" w:space="0" w:color="000000"/>
              <w:left w:val="single" w:sz="4" w:space="0" w:color="000000"/>
              <w:bottom w:val="single" w:sz="4" w:space="0" w:color="000000"/>
            </w:tcBorders>
          </w:tcPr>
          <w:p>
            <w:pPr>
              <w:pStyle w:val="TableParagraph"/>
              <w:spacing w:line="249" w:lineRule="auto"/>
              <w:ind w:left="849" w:right="104" w:hanging="704"/>
              <w:jc w:val="left"/>
              <w:rPr>
                <w:rFonts w:ascii="Arial MT"/>
                <w:sz w:val="20"/>
              </w:rPr>
            </w:pPr>
            <w:r>
              <w:rPr>
                <w:rFonts w:ascii="Arial MT"/>
                <w:sz w:val="20"/>
              </w:rPr>
              <w:t>Burn</w:t>
            </w:r>
            <w:r>
              <w:rPr>
                <w:rFonts w:ascii="Arial MT"/>
                <w:spacing w:val="-1"/>
                <w:sz w:val="20"/>
              </w:rPr>
              <w:t> </w:t>
            </w:r>
            <w:r>
              <w:rPr>
                <w:rFonts w:ascii="Arial MT"/>
                <w:sz w:val="20"/>
              </w:rPr>
              <w:t>of</w:t>
            </w:r>
            <w:r>
              <w:rPr>
                <w:rFonts w:ascii="Arial MT"/>
                <w:spacing w:val="-1"/>
                <w:sz w:val="20"/>
              </w:rPr>
              <w:t> </w:t>
            </w:r>
            <w:r>
              <w:rPr>
                <w:rFonts w:ascii="Arial MT"/>
                <w:sz w:val="20"/>
              </w:rPr>
              <w:t>face</w:t>
            </w:r>
            <w:r>
              <w:rPr>
                <w:rFonts w:ascii="Arial MT"/>
                <w:spacing w:val="-3"/>
                <w:sz w:val="20"/>
              </w:rPr>
              <w:t> </w:t>
            </w:r>
            <w:r>
              <w:rPr>
                <w:rFonts w:ascii="Arial MT"/>
                <w:sz w:val="20"/>
              </w:rPr>
              <w:t>and</w:t>
            </w:r>
            <w:r>
              <w:rPr>
                <w:rFonts w:ascii="Arial MT"/>
                <w:spacing w:val="-4"/>
                <w:sz w:val="20"/>
              </w:rPr>
              <w:t> </w:t>
            </w:r>
            <w:r>
              <w:rPr>
                <w:rFonts w:ascii="Arial MT"/>
                <w:sz w:val="20"/>
              </w:rPr>
              <w:t>head,</w:t>
            </w:r>
            <w:r>
              <w:rPr>
                <w:rFonts w:ascii="Arial MT"/>
                <w:spacing w:val="-1"/>
                <w:sz w:val="20"/>
              </w:rPr>
              <w:t> </w:t>
            </w:r>
            <w:r>
              <w:rPr>
                <w:rFonts w:ascii="Arial MT"/>
                <w:sz w:val="20"/>
              </w:rPr>
              <w:t>deep</w:t>
            </w:r>
            <w:r>
              <w:rPr>
                <w:rFonts w:ascii="Arial MT"/>
                <w:spacing w:val="-3"/>
                <w:sz w:val="20"/>
              </w:rPr>
              <w:t> </w:t>
            </w:r>
            <w:r>
              <w:rPr>
                <w:rFonts w:ascii="Arial MT"/>
                <w:sz w:val="20"/>
              </w:rPr>
              <w:t>necrosis</w:t>
            </w:r>
            <w:r>
              <w:rPr>
                <w:rFonts w:ascii="Arial MT"/>
                <w:spacing w:val="-3"/>
                <w:sz w:val="20"/>
              </w:rPr>
              <w:t> </w:t>
            </w:r>
            <w:r>
              <w:rPr>
                <w:rFonts w:ascii="Arial MT"/>
                <w:sz w:val="20"/>
              </w:rPr>
              <w:t>of</w:t>
            </w:r>
            <w:r>
              <w:rPr>
                <w:rFonts w:ascii="Arial MT"/>
                <w:spacing w:val="2"/>
                <w:sz w:val="20"/>
              </w:rPr>
              <w:t> </w:t>
            </w:r>
            <w:r>
              <w:rPr>
                <w:rFonts w:ascii="Arial MT"/>
                <w:sz w:val="20"/>
              </w:rPr>
              <w:t>underlying</w:t>
            </w:r>
            <w:r>
              <w:rPr>
                <w:rFonts w:ascii="Arial MT"/>
                <w:spacing w:val="-1"/>
                <w:sz w:val="20"/>
              </w:rPr>
              <w:t> </w:t>
            </w:r>
            <w:r>
              <w:rPr>
                <w:rFonts w:ascii="Arial MT"/>
                <w:sz w:val="20"/>
              </w:rPr>
              <w:t>tissues</w:t>
            </w:r>
            <w:r>
              <w:rPr>
                <w:rFonts w:ascii="Arial MT"/>
                <w:spacing w:val="-53"/>
                <w:sz w:val="20"/>
              </w:rPr>
              <w:t> </w:t>
            </w:r>
            <w:r>
              <w:rPr>
                <w:rFonts w:ascii="Arial MT"/>
                <w:sz w:val="20"/>
              </w:rPr>
              <w:t>(deep</w:t>
            </w:r>
            <w:r>
              <w:rPr>
                <w:rFonts w:ascii="Arial MT"/>
                <w:spacing w:val="-2"/>
                <w:sz w:val="20"/>
              </w:rPr>
              <w:t> </w:t>
            </w:r>
            <w:r>
              <w:rPr>
                <w:rFonts w:ascii="Arial MT"/>
                <w:sz w:val="20"/>
              </w:rPr>
              <w:t>third degree)</w:t>
            </w:r>
            <w:r>
              <w:rPr>
                <w:rFonts w:ascii="Arial MT"/>
                <w:spacing w:val="1"/>
                <w:sz w:val="20"/>
              </w:rPr>
              <w:t> </w:t>
            </w:r>
            <w:r>
              <w:rPr>
                <w:rFonts w:ascii="Arial MT"/>
                <w:sz w:val="20"/>
              </w:rPr>
              <w:t>with</w:t>
            </w:r>
            <w:r>
              <w:rPr>
                <w:rFonts w:ascii="Arial MT"/>
                <w:spacing w:val="1"/>
                <w:sz w:val="20"/>
              </w:rPr>
              <w:t> </w:t>
            </w:r>
            <w:r>
              <w:rPr>
                <w:rFonts w:ascii="Arial MT"/>
                <w:sz w:val="20"/>
              </w:rPr>
              <w:t>loss</w:t>
            </w:r>
            <w:r>
              <w:rPr>
                <w:rFonts w:ascii="Arial MT"/>
                <w:spacing w:val="-1"/>
                <w:sz w:val="20"/>
              </w:rPr>
              <w:t> </w:t>
            </w:r>
            <w:r>
              <w:rPr>
                <w:rFonts w:ascii="Arial MT"/>
                <w:sz w:val="20"/>
              </w:rPr>
              <w:t>of a</w:t>
            </w:r>
            <w:r>
              <w:rPr>
                <w:rFonts w:ascii="Arial MT"/>
                <w:spacing w:val="-2"/>
                <w:sz w:val="20"/>
              </w:rPr>
              <w:t> </w:t>
            </w:r>
            <w:r>
              <w:rPr>
                <w:rFonts w:ascii="Arial MT"/>
                <w:sz w:val="20"/>
              </w:rPr>
              <w:t>body</w:t>
            </w:r>
            <w:r>
              <w:rPr>
                <w:rFonts w:ascii="Arial MT"/>
                <w:spacing w:val="-4"/>
                <w:sz w:val="20"/>
              </w:rPr>
              <w:t> </w:t>
            </w:r>
            <w:r>
              <w:rPr>
                <w:rFonts w:ascii="Arial MT"/>
                <w:sz w:val="20"/>
              </w:rPr>
              <w:t>part</w:t>
            </w:r>
          </w:p>
        </w:tc>
      </w:tr>
      <w:tr>
        <w:trPr>
          <w:trHeight w:val="261" w:hRule="atLeast"/>
        </w:trPr>
        <w:tc>
          <w:tcPr>
            <w:tcW w:w="9648" w:type="dxa"/>
            <w:gridSpan w:val="2"/>
            <w:tcBorders>
              <w:top w:val="single" w:sz="4" w:space="0" w:color="000000"/>
              <w:bottom w:val="single" w:sz="4" w:space="0" w:color="000000"/>
            </w:tcBorders>
          </w:tcPr>
          <w:p>
            <w:pPr>
              <w:pStyle w:val="TableParagraph"/>
              <w:spacing w:line="213" w:lineRule="exact"/>
              <w:ind w:left="28"/>
              <w:jc w:val="left"/>
              <w:rPr>
                <w:sz w:val="20"/>
              </w:rPr>
            </w:pPr>
            <w:r>
              <w:rPr>
                <w:sz w:val="20"/>
              </w:rPr>
              <w:t>燒燙傷面積達全身百分之二十以上：</w:t>
            </w:r>
          </w:p>
        </w:tc>
      </w:tr>
      <w:tr>
        <w:trPr>
          <w:trHeight w:val="258"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1013" w:right="996"/>
              <w:rPr>
                <w:sz w:val="20"/>
              </w:rPr>
            </w:pPr>
            <w:r>
              <w:rPr>
                <w:w w:val="95"/>
                <w:sz w:val="20"/>
              </w:rPr>
              <w:t>體表面積 </w:t>
            </w:r>
            <w:r>
              <w:rPr>
                <w:rFonts w:ascii="Arial MT" w:eastAsia="Arial MT"/>
                <w:w w:val="95"/>
                <w:sz w:val="20"/>
              </w:rPr>
              <w:t>20-29</w:t>
            </w:r>
            <w:r>
              <w:rPr>
                <w:w w:val="95"/>
                <w:sz w:val="20"/>
              </w:rPr>
              <w:t>％之燒傷</w:t>
            </w:r>
          </w:p>
        </w:tc>
        <w:tc>
          <w:tcPr>
            <w:tcW w:w="5478" w:type="dxa"/>
            <w:tcBorders>
              <w:top w:val="single" w:sz="4" w:space="0" w:color="000000"/>
              <w:left w:val="single" w:sz="4" w:space="0" w:color="000000"/>
              <w:bottom w:val="single" w:sz="4" w:space="0" w:color="000000"/>
            </w:tcBorders>
          </w:tcPr>
          <w:p>
            <w:pPr>
              <w:pStyle w:val="TableParagraph"/>
              <w:spacing w:line="216" w:lineRule="exact"/>
              <w:ind w:left="1098" w:right="1059"/>
              <w:rPr>
                <w:rFonts w:ascii="Arial MT"/>
                <w:sz w:val="20"/>
              </w:rPr>
            </w:pPr>
            <w:r>
              <w:rPr>
                <w:rFonts w:ascii="Arial MT"/>
                <w:sz w:val="20"/>
              </w:rPr>
              <w:t>Burn of 20-29%</w:t>
            </w:r>
            <w:r>
              <w:rPr>
                <w:rFonts w:ascii="Arial MT"/>
                <w:spacing w:val="1"/>
                <w:sz w:val="20"/>
              </w:rPr>
              <w:t> </w:t>
            </w:r>
            <w:r>
              <w:rPr>
                <w:rFonts w:ascii="Arial MT"/>
                <w:sz w:val="20"/>
              </w:rPr>
              <w:t>of body</w:t>
            </w:r>
            <w:r>
              <w:rPr>
                <w:rFonts w:ascii="Arial MT"/>
                <w:spacing w:val="-5"/>
                <w:sz w:val="20"/>
              </w:rPr>
              <w:t> </w:t>
            </w:r>
            <w:r>
              <w:rPr>
                <w:rFonts w:ascii="Arial MT"/>
                <w:sz w:val="20"/>
              </w:rPr>
              <w:t>surface</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6" w:lineRule="exact"/>
              <w:ind w:left="1013" w:right="996"/>
              <w:rPr>
                <w:sz w:val="20"/>
              </w:rPr>
            </w:pPr>
            <w:r>
              <w:rPr>
                <w:w w:val="95"/>
                <w:sz w:val="20"/>
              </w:rPr>
              <w:t>體表面積 </w:t>
            </w:r>
            <w:r>
              <w:rPr>
                <w:rFonts w:ascii="Arial MT" w:eastAsia="Arial MT"/>
                <w:w w:val="95"/>
                <w:sz w:val="20"/>
              </w:rPr>
              <w:t>30-39</w:t>
            </w:r>
            <w:r>
              <w:rPr>
                <w:w w:val="95"/>
                <w:sz w:val="20"/>
              </w:rPr>
              <w:t>％之燒傷</w:t>
            </w:r>
          </w:p>
        </w:tc>
        <w:tc>
          <w:tcPr>
            <w:tcW w:w="5478" w:type="dxa"/>
            <w:tcBorders>
              <w:top w:val="single" w:sz="4" w:space="0" w:color="000000"/>
              <w:left w:val="single" w:sz="4" w:space="0" w:color="000000"/>
              <w:bottom w:val="single" w:sz="4" w:space="0" w:color="000000"/>
            </w:tcBorders>
          </w:tcPr>
          <w:p>
            <w:pPr>
              <w:pStyle w:val="TableParagraph"/>
              <w:spacing w:line="219" w:lineRule="exact"/>
              <w:ind w:left="1098" w:right="1059"/>
              <w:rPr>
                <w:rFonts w:ascii="Arial MT"/>
                <w:sz w:val="20"/>
              </w:rPr>
            </w:pPr>
            <w:r>
              <w:rPr>
                <w:rFonts w:ascii="Arial MT"/>
                <w:sz w:val="20"/>
              </w:rPr>
              <w:t>Burn of 30-39%</w:t>
            </w:r>
            <w:r>
              <w:rPr>
                <w:rFonts w:ascii="Arial MT"/>
                <w:spacing w:val="1"/>
                <w:sz w:val="20"/>
              </w:rPr>
              <w:t> </w:t>
            </w:r>
            <w:r>
              <w:rPr>
                <w:rFonts w:ascii="Arial MT"/>
                <w:sz w:val="20"/>
              </w:rPr>
              <w:t>of body</w:t>
            </w:r>
            <w:r>
              <w:rPr>
                <w:rFonts w:ascii="Arial MT"/>
                <w:spacing w:val="-5"/>
                <w:sz w:val="20"/>
              </w:rPr>
              <w:t> </w:t>
            </w:r>
            <w:r>
              <w:rPr>
                <w:rFonts w:ascii="Arial MT"/>
                <w:sz w:val="20"/>
              </w:rPr>
              <w:t>surface</w:t>
            </w:r>
          </w:p>
        </w:tc>
      </w:tr>
      <w:tr>
        <w:trPr>
          <w:trHeight w:val="258"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1013" w:right="996"/>
              <w:rPr>
                <w:sz w:val="20"/>
              </w:rPr>
            </w:pPr>
            <w:r>
              <w:rPr>
                <w:w w:val="95"/>
                <w:sz w:val="20"/>
              </w:rPr>
              <w:t>體表面積 </w:t>
            </w:r>
            <w:r>
              <w:rPr>
                <w:rFonts w:ascii="Arial MT" w:eastAsia="Arial MT"/>
                <w:w w:val="95"/>
                <w:sz w:val="20"/>
              </w:rPr>
              <w:t>40-49</w:t>
            </w:r>
            <w:r>
              <w:rPr>
                <w:w w:val="95"/>
                <w:sz w:val="20"/>
              </w:rPr>
              <w:t>％之燒傷</w:t>
            </w:r>
          </w:p>
        </w:tc>
        <w:tc>
          <w:tcPr>
            <w:tcW w:w="5478" w:type="dxa"/>
            <w:tcBorders>
              <w:top w:val="single" w:sz="4" w:space="0" w:color="000000"/>
              <w:left w:val="single" w:sz="4" w:space="0" w:color="000000"/>
              <w:bottom w:val="single" w:sz="4" w:space="0" w:color="000000"/>
            </w:tcBorders>
          </w:tcPr>
          <w:p>
            <w:pPr>
              <w:pStyle w:val="TableParagraph"/>
              <w:spacing w:line="216" w:lineRule="exact"/>
              <w:ind w:left="1098" w:right="1059"/>
              <w:rPr>
                <w:rFonts w:ascii="Arial MT"/>
                <w:sz w:val="20"/>
              </w:rPr>
            </w:pPr>
            <w:r>
              <w:rPr>
                <w:rFonts w:ascii="Arial MT"/>
                <w:sz w:val="20"/>
              </w:rPr>
              <w:t>Burn of 40-49%</w:t>
            </w:r>
            <w:r>
              <w:rPr>
                <w:rFonts w:ascii="Arial MT"/>
                <w:spacing w:val="1"/>
                <w:sz w:val="20"/>
              </w:rPr>
              <w:t> </w:t>
            </w:r>
            <w:r>
              <w:rPr>
                <w:rFonts w:ascii="Arial MT"/>
                <w:sz w:val="20"/>
              </w:rPr>
              <w:t>of body</w:t>
            </w:r>
            <w:r>
              <w:rPr>
                <w:rFonts w:ascii="Arial MT"/>
                <w:spacing w:val="-5"/>
                <w:sz w:val="20"/>
              </w:rPr>
              <w:t> </w:t>
            </w:r>
            <w:r>
              <w:rPr>
                <w:rFonts w:ascii="Arial MT"/>
                <w:sz w:val="20"/>
              </w:rPr>
              <w:t>surface</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6" w:lineRule="exact"/>
              <w:ind w:left="1013" w:right="996"/>
              <w:rPr>
                <w:sz w:val="20"/>
              </w:rPr>
            </w:pPr>
            <w:r>
              <w:rPr>
                <w:w w:val="95"/>
                <w:sz w:val="20"/>
              </w:rPr>
              <w:t>體表面積 </w:t>
            </w:r>
            <w:r>
              <w:rPr>
                <w:rFonts w:ascii="Arial MT" w:eastAsia="Arial MT"/>
                <w:w w:val="95"/>
                <w:sz w:val="20"/>
              </w:rPr>
              <w:t>50-59</w:t>
            </w:r>
            <w:r>
              <w:rPr>
                <w:w w:val="95"/>
                <w:sz w:val="20"/>
              </w:rPr>
              <w:t>％之燒傷</w:t>
            </w:r>
          </w:p>
        </w:tc>
        <w:tc>
          <w:tcPr>
            <w:tcW w:w="5478" w:type="dxa"/>
            <w:tcBorders>
              <w:top w:val="single" w:sz="4" w:space="0" w:color="000000"/>
              <w:left w:val="single" w:sz="4" w:space="0" w:color="000000"/>
              <w:bottom w:val="single" w:sz="4" w:space="0" w:color="000000"/>
            </w:tcBorders>
          </w:tcPr>
          <w:p>
            <w:pPr>
              <w:pStyle w:val="TableParagraph"/>
              <w:spacing w:line="219" w:lineRule="exact"/>
              <w:ind w:left="1098" w:right="1059"/>
              <w:rPr>
                <w:rFonts w:ascii="Arial MT"/>
                <w:sz w:val="20"/>
              </w:rPr>
            </w:pPr>
            <w:r>
              <w:rPr>
                <w:rFonts w:ascii="Arial MT"/>
                <w:sz w:val="20"/>
              </w:rPr>
              <w:t>Burn of 50-59%</w:t>
            </w:r>
            <w:r>
              <w:rPr>
                <w:rFonts w:ascii="Arial MT"/>
                <w:spacing w:val="1"/>
                <w:sz w:val="20"/>
              </w:rPr>
              <w:t> </w:t>
            </w:r>
            <w:r>
              <w:rPr>
                <w:rFonts w:ascii="Arial MT"/>
                <w:sz w:val="20"/>
              </w:rPr>
              <w:t>of body</w:t>
            </w:r>
            <w:r>
              <w:rPr>
                <w:rFonts w:ascii="Arial MT"/>
                <w:spacing w:val="-5"/>
                <w:sz w:val="20"/>
              </w:rPr>
              <w:t> </w:t>
            </w:r>
            <w:r>
              <w:rPr>
                <w:rFonts w:ascii="Arial MT"/>
                <w:sz w:val="20"/>
              </w:rPr>
              <w:t>surface</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1013" w:right="996"/>
              <w:rPr>
                <w:sz w:val="20"/>
              </w:rPr>
            </w:pPr>
            <w:r>
              <w:rPr>
                <w:w w:val="95"/>
                <w:sz w:val="20"/>
              </w:rPr>
              <w:t>體表面積 </w:t>
            </w:r>
            <w:r>
              <w:rPr>
                <w:rFonts w:ascii="Arial MT" w:eastAsia="Arial MT"/>
                <w:w w:val="95"/>
                <w:sz w:val="20"/>
              </w:rPr>
              <w:t>60-69</w:t>
            </w:r>
            <w:r>
              <w:rPr>
                <w:w w:val="95"/>
                <w:sz w:val="20"/>
              </w:rPr>
              <w:t>％之燒傷</w:t>
            </w:r>
          </w:p>
        </w:tc>
        <w:tc>
          <w:tcPr>
            <w:tcW w:w="5478" w:type="dxa"/>
            <w:tcBorders>
              <w:top w:val="single" w:sz="4" w:space="0" w:color="000000"/>
              <w:left w:val="single" w:sz="4" w:space="0" w:color="000000"/>
              <w:bottom w:val="single" w:sz="4" w:space="0" w:color="000000"/>
            </w:tcBorders>
          </w:tcPr>
          <w:p>
            <w:pPr>
              <w:pStyle w:val="TableParagraph"/>
              <w:spacing w:line="216" w:lineRule="exact"/>
              <w:ind w:left="1098" w:right="1059"/>
              <w:rPr>
                <w:rFonts w:ascii="Arial MT"/>
                <w:sz w:val="20"/>
              </w:rPr>
            </w:pPr>
            <w:r>
              <w:rPr>
                <w:rFonts w:ascii="Arial MT"/>
                <w:sz w:val="20"/>
              </w:rPr>
              <w:t>Burn of 60-69%</w:t>
            </w:r>
            <w:r>
              <w:rPr>
                <w:rFonts w:ascii="Arial MT"/>
                <w:spacing w:val="1"/>
                <w:sz w:val="20"/>
              </w:rPr>
              <w:t> </w:t>
            </w:r>
            <w:r>
              <w:rPr>
                <w:rFonts w:ascii="Arial MT"/>
                <w:sz w:val="20"/>
              </w:rPr>
              <w:t>of body</w:t>
            </w:r>
            <w:r>
              <w:rPr>
                <w:rFonts w:ascii="Arial MT"/>
                <w:spacing w:val="-5"/>
                <w:sz w:val="20"/>
              </w:rPr>
              <w:t> </w:t>
            </w:r>
            <w:r>
              <w:rPr>
                <w:rFonts w:ascii="Arial MT"/>
                <w:sz w:val="20"/>
              </w:rPr>
              <w:t>surface</w:t>
            </w:r>
          </w:p>
        </w:tc>
      </w:tr>
      <w:tr>
        <w:trPr>
          <w:trHeight w:val="258"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1013" w:right="996"/>
              <w:rPr>
                <w:sz w:val="20"/>
              </w:rPr>
            </w:pPr>
            <w:r>
              <w:rPr>
                <w:w w:val="95"/>
                <w:sz w:val="20"/>
              </w:rPr>
              <w:t>體表面積 </w:t>
            </w:r>
            <w:r>
              <w:rPr>
                <w:rFonts w:ascii="Arial MT" w:eastAsia="Arial MT"/>
                <w:w w:val="95"/>
                <w:sz w:val="20"/>
              </w:rPr>
              <w:t>70-79</w:t>
            </w:r>
            <w:r>
              <w:rPr>
                <w:w w:val="95"/>
                <w:sz w:val="20"/>
              </w:rPr>
              <w:t>％之燒傷</w:t>
            </w:r>
          </w:p>
        </w:tc>
        <w:tc>
          <w:tcPr>
            <w:tcW w:w="5478" w:type="dxa"/>
            <w:tcBorders>
              <w:top w:val="single" w:sz="4" w:space="0" w:color="000000"/>
              <w:left w:val="single" w:sz="4" w:space="0" w:color="000000"/>
              <w:bottom w:val="single" w:sz="4" w:space="0" w:color="000000"/>
            </w:tcBorders>
          </w:tcPr>
          <w:p>
            <w:pPr>
              <w:pStyle w:val="TableParagraph"/>
              <w:spacing w:line="216" w:lineRule="exact"/>
              <w:ind w:left="1098" w:right="1059"/>
              <w:rPr>
                <w:rFonts w:ascii="Arial MT"/>
                <w:sz w:val="20"/>
              </w:rPr>
            </w:pPr>
            <w:r>
              <w:rPr>
                <w:rFonts w:ascii="Arial MT"/>
                <w:sz w:val="20"/>
              </w:rPr>
              <w:t>Burn of 70-79%</w:t>
            </w:r>
            <w:r>
              <w:rPr>
                <w:rFonts w:ascii="Arial MT"/>
                <w:spacing w:val="1"/>
                <w:sz w:val="20"/>
              </w:rPr>
              <w:t> </w:t>
            </w:r>
            <w:r>
              <w:rPr>
                <w:rFonts w:ascii="Arial MT"/>
                <w:sz w:val="20"/>
              </w:rPr>
              <w:t>of body</w:t>
            </w:r>
            <w:r>
              <w:rPr>
                <w:rFonts w:ascii="Arial MT"/>
                <w:spacing w:val="-5"/>
                <w:sz w:val="20"/>
              </w:rPr>
              <w:t> </w:t>
            </w:r>
            <w:r>
              <w:rPr>
                <w:rFonts w:ascii="Arial MT"/>
                <w:sz w:val="20"/>
              </w:rPr>
              <w:t>surface</w:t>
            </w:r>
          </w:p>
        </w:tc>
      </w:tr>
      <w:tr>
        <w:trPr>
          <w:trHeight w:val="261" w:hRule="atLeast"/>
        </w:trPr>
        <w:tc>
          <w:tcPr>
            <w:tcW w:w="4170" w:type="dxa"/>
            <w:tcBorders>
              <w:top w:val="single" w:sz="4" w:space="0" w:color="000000"/>
              <w:bottom w:val="single" w:sz="4" w:space="0" w:color="000000"/>
              <w:right w:val="single" w:sz="4" w:space="0" w:color="000000"/>
            </w:tcBorders>
          </w:tcPr>
          <w:p>
            <w:pPr>
              <w:pStyle w:val="TableParagraph"/>
              <w:spacing w:line="213" w:lineRule="exact"/>
              <w:ind w:left="1013" w:right="996"/>
              <w:rPr>
                <w:sz w:val="20"/>
              </w:rPr>
            </w:pPr>
            <w:r>
              <w:rPr>
                <w:w w:val="95"/>
                <w:sz w:val="20"/>
              </w:rPr>
              <w:t>體表面積 </w:t>
            </w:r>
            <w:r>
              <w:rPr>
                <w:rFonts w:ascii="Arial MT" w:eastAsia="Arial MT"/>
                <w:w w:val="95"/>
                <w:sz w:val="20"/>
              </w:rPr>
              <w:t>80-89</w:t>
            </w:r>
            <w:r>
              <w:rPr>
                <w:w w:val="95"/>
                <w:sz w:val="20"/>
              </w:rPr>
              <w:t>％之燒傷</w:t>
            </w:r>
          </w:p>
        </w:tc>
        <w:tc>
          <w:tcPr>
            <w:tcW w:w="5478" w:type="dxa"/>
            <w:tcBorders>
              <w:top w:val="single" w:sz="4" w:space="0" w:color="000000"/>
              <w:left w:val="single" w:sz="4" w:space="0" w:color="000000"/>
              <w:bottom w:val="single" w:sz="4" w:space="0" w:color="000000"/>
            </w:tcBorders>
          </w:tcPr>
          <w:p>
            <w:pPr>
              <w:pStyle w:val="TableParagraph"/>
              <w:spacing w:line="219" w:lineRule="exact"/>
              <w:ind w:left="1098" w:right="1059"/>
              <w:rPr>
                <w:rFonts w:ascii="Arial MT"/>
                <w:sz w:val="20"/>
              </w:rPr>
            </w:pPr>
            <w:r>
              <w:rPr>
                <w:rFonts w:ascii="Arial MT"/>
                <w:sz w:val="20"/>
              </w:rPr>
              <w:t>Burn of 80-89%</w:t>
            </w:r>
            <w:r>
              <w:rPr>
                <w:rFonts w:ascii="Arial MT"/>
                <w:spacing w:val="1"/>
                <w:sz w:val="20"/>
              </w:rPr>
              <w:t> </w:t>
            </w:r>
            <w:r>
              <w:rPr>
                <w:rFonts w:ascii="Arial MT"/>
                <w:sz w:val="20"/>
              </w:rPr>
              <w:t>of body</w:t>
            </w:r>
            <w:r>
              <w:rPr>
                <w:rFonts w:ascii="Arial MT"/>
                <w:spacing w:val="-5"/>
                <w:sz w:val="20"/>
              </w:rPr>
              <w:t> </w:t>
            </w:r>
            <w:r>
              <w:rPr>
                <w:rFonts w:ascii="Arial MT"/>
                <w:sz w:val="20"/>
              </w:rPr>
              <w:t>surface</w:t>
            </w:r>
          </w:p>
        </w:tc>
      </w:tr>
      <w:tr>
        <w:trPr>
          <w:trHeight w:val="258" w:hRule="atLeast"/>
        </w:trPr>
        <w:tc>
          <w:tcPr>
            <w:tcW w:w="4170" w:type="dxa"/>
            <w:tcBorders>
              <w:top w:val="single" w:sz="4" w:space="0" w:color="000000"/>
              <w:right w:val="single" w:sz="4" w:space="0" w:color="000000"/>
            </w:tcBorders>
          </w:tcPr>
          <w:p>
            <w:pPr>
              <w:pStyle w:val="TableParagraph"/>
              <w:spacing w:line="213" w:lineRule="exact"/>
              <w:ind w:left="1013" w:right="996"/>
              <w:rPr>
                <w:sz w:val="20"/>
              </w:rPr>
            </w:pPr>
            <w:r>
              <w:rPr>
                <w:w w:val="95"/>
                <w:sz w:val="20"/>
              </w:rPr>
              <w:t>體表面積 </w:t>
            </w:r>
            <w:r>
              <w:rPr>
                <w:rFonts w:ascii="Arial MT" w:eastAsia="Arial MT"/>
                <w:w w:val="95"/>
                <w:sz w:val="20"/>
              </w:rPr>
              <w:t>90-99</w:t>
            </w:r>
            <w:r>
              <w:rPr>
                <w:w w:val="95"/>
                <w:sz w:val="20"/>
              </w:rPr>
              <w:t>％之燒傷</w:t>
            </w:r>
          </w:p>
        </w:tc>
        <w:tc>
          <w:tcPr>
            <w:tcW w:w="5478" w:type="dxa"/>
            <w:tcBorders>
              <w:top w:val="single" w:sz="4" w:space="0" w:color="000000"/>
              <w:left w:val="single" w:sz="4" w:space="0" w:color="000000"/>
            </w:tcBorders>
          </w:tcPr>
          <w:p>
            <w:pPr>
              <w:pStyle w:val="TableParagraph"/>
              <w:spacing w:line="216" w:lineRule="exact"/>
              <w:ind w:left="1098" w:right="1060"/>
              <w:rPr>
                <w:rFonts w:ascii="Arial MT"/>
                <w:sz w:val="20"/>
              </w:rPr>
            </w:pPr>
            <w:r>
              <w:rPr>
                <w:rFonts w:ascii="Arial MT"/>
                <w:sz w:val="20"/>
              </w:rPr>
              <w:t>Burn</w:t>
            </w:r>
            <w:r>
              <w:rPr>
                <w:rFonts w:ascii="Arial MT"/>
                <w:spacing w:val="1"/>
                <w:sz w:val="20"/>
              </w:rPr>
              <w:t> </w:t>
            </w:r>
            <w:r>
              <w:rPr>
                <w:rFonts w:ascii="Arial MT"/>
                <w:sz w:val="20"/>
              </w:rPr>
              <w:t>of 90%</w:t>
            </w:r>
            <w:r>
              <w:rPr>
                <w:rFonts w:ascii="Arial MT"/>
                <w:spacing w:val="-2"/>
                <w:sz w:val="20"/>
              </w:rPr>
              <w:t> </w:t>
            </w:r>
            <w:r>
              <w:rPr>
                <w:rFonts w:ascii="Arial MT"/>
                <w:sz w:val="20"/>
              </w:rPr>
              <w:t>or</w:t>
            </w:r>
            <w:r>
              <w:rPr>
                <w:rFonts w:ascii="Arial MT"/>
                <w:spacing w:val="-1"/>
                <w:sz w:val="20"/>
              </w:rPr>
              <w:t> </w:t>
            </w:r>
            <w:r>
              <w:rPr>
                <w:rFonts w:ascii="Arial MT"/>
                <w:sz w:val="20"/>
              </w:rPr>
              <w:t>more</w:t>
            </w:r>
            <w:r>
              <w:rPr>
                <w:rFonts w:ascii="Arial MT"/>
                <w:spacing w:val="-2"/>
                <w:sz w:val="20"/>
              </w:rPr>
              <w:t> </w:t>
            </w:r>
            <w:r>
              <w:rPr>
                <w:rFonts w:ascii="Arial MT"/>
                <w:sz w:val="20"/>
              </w:rPr>
              <w:t>of body</w:t>
            </w:r>
            <w:r>
              <w:rPr>
                <w:rFonts w:ascii="Arial MT"/>
                <w:spacing w:val="-5"/>
                <w:sz w:val="20"/>
              </w:rPr>
              <w:t> </w:t>
            </w:r>
            <w:r>
              <w:rPr>
                <w:rFonts w:ascii="Arial MT"/>
                <w:sz w:val="20"/>
              </w:rPr>
              <w:t>surface</w:t>
            </w:r>
          </w:p>
        </w:tc>
      </w:tr>
    </w:tbl>
    <w:p>
      <w:pPr>
        <w:spacing w:after="0" w:line="216" w:lineRule="exact"/>
        <w:rPr>
          <w:rFonts w:ascii="Arial MT"/>
          <w:sz w:val="20"/>
        </w:rPr>
        <w:sectPr>
          <w:pgSz w:w="11910" w:h="16840"/>
          <w:pgMar w:header="0" w:footer="746" w:top="1360" w:bottom="1020" w:left="980" w:right="880"/>
        </w:sectPr>
      </w:pPr>
    </w:p>
    <w:p>
      <w:pPr>
        <w:spacing w:line="331" w:lineRule="exact" w:before="0"/>
        <w:ind w:left="152" w:right="0" w:firstLine="0"/>
        <w:jc w:val="left"/>
        <w:rPr>
          <w:rFonts w:ascii="Microsoft JhengHei" w:eastAsia="Microsoft JhengHei" w:hint="eastAsia"/>
          <w:b/>
          <w:sz w:val="20"/>
        </w:rPr>
      </w:pPr>
      <w:r>
        <w:rPr/>
        <w:drawing>
          <wp:anchor distT="0" distB="0" distL="0" distR="0" allowOverlap="1" layoutInCell="1" locked="0" behindDoc="1" simplePos="0" relativeHeight="486328320">
            <wp:simplePos x="0" y="0"/>
            <wp:positionH relativeFrom="page">
              <wp:posOffset>2874040</wp:posOffset>
            </wp:positionH>
            <wp:positionV relativeFrom="page">
              <wp:posOffset>3140089</wp:posOffset>
            </wp:positionV>
            <wp:extent cx="1837644" cy="4428464"/>
            <wp:effectExtent l="0" t="0" r="0" b="0"/>
            <wp:wrapNone/>
            <wp:docPr id="37" name="image1.png"/>
            <wp:cNvGraphicFramePr>
              <a:graphicFrameLocks noChangeAspect="1"/>
            </wp:cNvGraphicFramePr>
            <a:graphic>
              <a:graphicData uri="http://schemas.openxmlformats.org/drawingml/2006/picture">
                <pic:pic>
                  <pic:nvPicPr>
                    <pic:cNvPr id="38" name="image1.png"/>
                    <pic:cNvPicPr/>
                  </pic:nvPicPr>
                  <pic:blipFill>
                    <a:blip r:embed="rId7" cstate="print"/>
                    <a:stretch>
                      <a:fillRect/>
                    </a:stretch>
                  </pic:blipFill>
                  <pic:spPr>
                    <a:xfrm>
                      <a:off x="0" y="0"/>
                      <a:ext cx="1837644" cy="4428464"/>
                    </a:xfrm>
                    <a:prstGeom prst="rect">
                      <a:avLst/>
                    </a:prstGeom>
                  </pic:spPr>
                </pic:pic>
              </a:graphicData>
            </a:graphic>
          </wp:anchor>
        </w:drawing>
      </w:r>
      <w:r>
        <w:rPr/>
        <w:pict>
          <v:shape style="position:absolute;margin-left:54.48pt;margin-top:83.879982pt;width:485.65pt;height:682.2pt;mso-position-horizontal-relative:page;mso-position-vertical-relative:page;z-index:15738368"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05"/>
                    <w:gridCol w:w="991"/>
                    <w:gridCol w:w="990"/>
                  </w:tblGrid>
                  <w:tr>
                    <w:trPr>
                      <w:trHeight w:val="738" w:hRule="atLeast"/>
                    </w:trPr>
                    <w:tc>
                      <w:tcPr>
                        <w:tcW w:w="1730" w:type="dxa"/>
                        <w:gridSpan w:val="2"/>
                        <w:tcBorders>
                          <w:bottom w:val="single" w:sz="4" w:space="0" w:color="000000"/>
                          <w:right w:val="single" w:sz="4" w:space="0" w:color="000000"/>
                        </w:tcBorders>
                      </w:tcPr>
                      <w:p>
                        <w:pPr>
                          <w:pStyle w:val="TableParagraph"/>
                          <w:spacing w:before="8"/>
                          <w:ind w:left="0"/>
                          <w:jc w:val="left"/>
                          <w:rPr>
                            <w:rFonts w:ascii="Microsoft JhengHei"/>
                            <w:b/>
                            <w:sz w:val="12"/>
                          </w:rPr>
                        </w:pPr>
                      </w:p>
                      <w:p>
                        <w:pPr>
                          <w:pStyle w:val="TableParagraph"/>
                          <w:ind w:left="656" w:right="634"/>
                          <w:rPr>
                            <w:sz w:val="20"/>
                          </w:rPr>
                        </w:pPr>
                        <w:r>
                          <w:rPr>
                            <w:w w:val="95"/>
                            <w:sz w:val="20"/>
                          </w:rPr>
                          <w:t>項目</w:t>
                        </w:r>
                      </w:p>
                    </w:tc>
                    <w:tc>
                      <w:tcPr>
                        <w:tcW w:w="849" w:type="dxa"/>
                        <w:tcBorders>
                          <w:left w:val="single" w:sz="4" w:space="0" w:color="000000"/>
                          <w:bottom w:val="single" w:sz="4" w:space="0" w:color="000000"/>
                          <w:right w:val="single" w:sz="4" w:space="0" w:color="000000"/>
                        </w:tcBorders>
                      </w:tcPr>
                      <w:p>
                        <w:pPr>
                          <w:pStyle w:val="TableParagraph"/>
                          <w:spacing w:before="8"/>
                          <w:ind w:left="0"/>
                          <w:jc w:val="left"/>
                          <w:rPr>
                            <w:rFonts w:ascii="Microsoft JhengHei"/>
                            <w:b/>
                            <w:sz w:val="12"/>
                          </w:rPr>
                        </w:pPr>
                      </w:p>
                      <w:p>
                        <w:pPr>
                          <w:pStyle w:val="TableParagraph"/>
                          <w:ind w:left="116" w:right="81"/>
                          <w:rPr>
                            <w:sz w:val="20"/>
                          </w:rPr>
                        </w:pPr>
                        <w:r>
                          <w:rPr>
                            <w:w w:val="95"/>
                            <w:sz w:val="20"/>
                          </w:rPr>
                          <w:t>項次</w:t>
                        </w:r>
                      </w:p>
                    </w:tc>
                    <w:tc>
                      <w:tcPr>
                        <w:tcW w:w="5105" w:type="dxa"/>
                        <w:tcBorders>
                          <w:left w:val="single" w:sz="4" w:space="0" w:color="000000"/>
                          <w:bottom w:val="single" w:sz="4" w:space="0" w:color="000000"/>
                          <w:right w:val="single" w:sz="4" w:space="0" w:color="000000"/>
                        </w:tcBorders>
                      </w:tcPr>
                      <w:p>
                        <w:pPr>
                          <w:pStyle w:val="TableParagraph"/>
                          <w:spacing w:before="8"/>
                          <w:ind w:left="0"/>
                          <w:jc w:val="left"/>
                          <w:rPr>
                            <w:rFonts w:ascii="Microsoft JhengHei"/>
                            <w:b/>
                            <w:sz w:val="12"/>
                          </w:rPr>
                        </w:pPr>
                      </w:p>
                      <w:p>
                        <w:pPr>
                          <w:pStyle w:val="TableParagraph"/>
                          <w:ind w:left="2143" w:right="2111"/>
                          <w:rPr>
                            <w:sz w:val="20"/>
                          </w:rPr>
                        </w:pPr>
                        <w:r>
                          <w:rPr>
                            <w:sz w:val="20"/>
                          </w:rPr>
                          <w:t>失能程度</w:t>
                        </w:r>
                      </w:p>
                    </w:tc>
                    <w:tc>
                      <w:tcPr>
                        <w:tcW w:w="991" w:type="dxa"/>
                        <w:tcBorders>
                          <w:left w:val="single" w:sz="4" w:space="0" w:color="000000"/>
                          <w:bottom w:val="single" w:sz="4" w:space="0" w:color="000000"/>
                          <w:right w:val="single" w:sz="4" w:space="0" w:color="000000"/>
                        </w:tcBorders>
                      </w:tcPr>
                      <w:p>
                        <w:pPr>
                          <w:pStyle w:val="TableParagraph"/>
                          <w:spacing w:before="8"/>
                          <w:ind w:left="0"/>
                          <w:jc w:val="left"/>
                          <w:rPr>
                            <w:rFonts w:ascii="Microsoft JhengHei"/>
                            <w:b/>
                            <w:sz w:val="12"/>
                          </w:rPr>
                        </w:pPr>
                      </w:p>
                      <w:p>
                        <w:pPr>
                          <w:pStyle w:val="TableParagraph"/>
                          <w:ind w:left="87" w:right="54"/>
                          <w:rPr>
                            <w:sz w:val="20"/>
                          </w:rPr>
                        </w:pPr>
                        <w:r>
                          <w:rPr>
                            <w:sz w:val="20"/>
                          </w:rPr>
                          <w:t>失能等級</w:t>
                        </w:r>
                      </w:p>
                    </w:tc>
                    <w:tc>
                      <w:tcPr>
                        <w:tcW w:w="990" w:type="dxa"/>
                        <w:tcBorders>
                          <w:left w:val="single" w:sz="4" w:space="0" w:color="000000"/>
                          <w:bottom w:val="single" w:sz="4" w:space="0" w:color="000000"/>
                        </w:tcBorders>
                      </w:tcPr>
                      <w:p>
                        <w:pPr>
                          <w:pStyle w:val="TableParagraph"/>
                          <w:spacing w:before="8"/>
                          <w:ind w:left="0"/>
                          <w:jc w:val="left"/>
                          <w:rPr>
                            <w:rFonts w:ascii="Microsoft JhengHei"/>
                            <w:b/>
                            <w:sz w:val="12"/>
                          </w:rPr>
                        </w:pPr>
                      </w:p>
                      <w:p>
                        <w:pPr>
                          <w:pStyle w:val="TableParagraph"/>
                          <w:ind w:left="87" w:right="42"/>
                          <w:rPr>
                            <w:sz w:val="20"/>
                          </w:rPr>
                        </w:pPr>
                        <w:r>
                          <w:rPr>
                            <w:sz w:val="20"/>
                          </w:rPr>
                          <w:t>給付比例</w:t>
                        </w:r>
                      </w:p>
                    </w:tc>
                  </w:tr>
                  <w:tr>
                    <w:trPr>
                      <w:trHeight w:val="779" w:hRule="atLeast"/>
                    </w:trPr>
                    <w:tc>
                      <w:tcPr>
                        <w:tcW w:w="456" w:type="dxa"/>
                        <w:vMerge w:val="restart"/>
                        <w:tcBorders>
                          <w:top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2"/>
                          <w:ind w:left="0"/>
                          <w:jc w:val="left"/>
                          <w:rPr>
                            <w:rFonts w:ascii="Microsoft JhengHei"/>
                            <w:b/>
                            <w:sz w:val="24"/>
                          </w:rPr>
                        </w:pPr>
                      </w:p>
                      <w:p>
                        <w:pPr>
                          <w:pStyle w:val="TableParagraph"/>
                          <w:spacing w:line="244" w:lineRule="auto" w:before="1"/>
                          <w:ind w:left="126" w:right="108"/>
                          <w:jc w:val="both"/>
                          <w:rPr>
                            <w:sz w:val="20"/>
                          </w:rPr>
                        </w:pPr>
                        <w:r>
                          <w:rPr>
                            <w:sz w:val="20"/>
                          </w:rPr>
                          <w:t>１神經</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3"/>
                          <w:ind w:left="0"/>
                          <w:jc w:val="left"/>
                          <w:rPr>
                            <w:rFonts w:ascii="Microsoft JhengHei"/>
                            <w:b/>
                            <w:sz w:val="11"/>
                          </w:rPr>
                        </w:pPr>
                      </w:p>
                      <w:p>
                        <w:pPr>
                          <w:pStyle w:val="TableParagraph"/>
                          <w:spacing w:before="1"/>
                          <w:ind w:left="247"/>
                          <w:jc w:val="left"/>
                          <w:rPr>
                            <w:sz w:val="20"/>
                          </w:rPr>
                        </w:pPr>
                        <w:r>
                          <w:rPr>
                            <w:sz w:val="20"/>
                          </w:rPr>
                          <w:t>神經障害</w:t>
                        </w:r>
                      </w:p>
                      <w:p>
                        <w:pPr>
                          <w:pStyle w:val="TableParagraph"/>
                          <w:spacing w:before="5"/>
                          <w:ind w:left="297"/>
                          <w:jc w:val="left"/>
                          <w:rPr>
                            <w:sz w:val="20"/>
                          </w:rPr>
                        </w:pPr>
                        <w:r>
                          <w:rPr>
                            <w:sz w:val="20"/>
                          </w:rPr>
                          <w:t>（註1）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9"/>
                          <w:ind w:left="0"/>
                          <w:jc w:val="left"/>
                          <w:rPr>
                            <w:rFonts w:ascii="Microsoft JhengHei"/>
                            <w:b/>
                            <w:sz w:val="13"/>
                          </w:rPr>
                        </w:pPr>
                      </w:p>
                      <w:p>
                        <w:pPr>
                          <w:pStyle w:val="TableParagraph"/>
                          <w:ind w:left="115" w:right="83"/>
                          <w:rPr>
                            <w:sz w:val="20"/>
                          </w:rPr>
                        </w:pPr>
                        <w:r>
                          <w:rPr>
                            <w:sz w:val="20"/>
                          </w:rPr>
                          <w:t>1-1-1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ind w:right="-44"/>
                          <w:jc w:val="left"/>
                          <w:rPr>
                            <w:sz w:val="20"/>
                          </w:rPr>
                        </w:pPr>
                        <w:r>
                          <w:rPr>
                            <w:spacing w:val="-15"/>
                            <w:sz w:val="20"/>
                          </w:rPr>
                          <w:t>中樞神經系統機能遺存極度障害，包括植物人狀態或氣切呼吸</w:t>
                        </w:r>
                        <w:r>
                          <w:rPr>
                            <w:spacing w:val="-2"/>
                            <w:w w:val="95"/>
                            <w:sz w:val="20"/>
                          </w:rPr>
                          <w:t>器輔助，終身無工作能力，為維持生命必要之日常生活活動，</w:t>
                        </w:r>
                      </w:p>
                      <w:p>
                        <w:pPr>
                          <w:pStyle w:val="TableParagraph"/>
                          <w:spacing w:line="249" w:lineRule="exact"/>
                          <w:jc w:val="left"/>
                          <w:rPr>
                            <w:sz w:val="20"/>
                          </w:rPr>
                        </w:pPr>
                        <w:r>
                          <w:rPr>
                            <w:spacing w:val="-2"/>
                            <w:w w:val="95"/>
                            <w:sz w:val="20"/>
                          </w:rPr>
                          <w:t>全須他人扶助，經常需醫療護理或專人周密照護者。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9"/>
                          <w:ind w:left="0"/>
                          <w:jc w:val="left"/>
                          <w:rPr>
                            <w:rFonts w:ascii="Microsoft JhengHei"/>
                            <w:b/>
                            <w:sz w:val="13"/>
                          </w:rPr>
                        </w:pPr>
                      </w:p>
                      <w:p>
                        <w:pPr>
                          <w:pStyle w:val="TableParagraph"/>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before="9"/>
                          <w:ind w:left="0"/>
                          <w:jc w:val="left"/>
                          <w:rPr>
                            <w:rFonts w:ascii="Microsoft JhengHei"/>
                            <w:b/>
                            <w:sz w:val="13"/>
                          </w:rPr>
                        </w:pPr>
                      </w:p>
                      <w:p>
                        <w:pPr>
                          <w:pStyle w:val="TableParagraph"/>
                          <w:ind w:left="87" w:right="39"/>
                          <w:rPr>
                            <w:sz w:val="20"/>
                          </w:rPr>
                        </w:pPr>
                        <w:r>
                          <w:rPr>
                            <w:sz w:val="20"/>
                          </w:rPr>
                          <w:t>100%</w:t>
                        </w:r>
                      </w:p>
                    </w:tc>
                  </w:tr>
                  <w:tr>
                    <w:trPr>
                      <w:trHeight w:val="782"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
                          <w:ind w:left="0"/>
                          <w:jc w:val="left"/>
                          <w:rPr>
                            <w:rFonts w:ascii="Microsoft JhengHei"/>
                            <w:b/>
                            <w:sz w:val="13"/>
                          </w:rPr>
                        </w:pPr>
                      </w:p>
                      <w:p>
                        <w:pPr>
                          <w:pStyle w:val="TableParagraph"/>
                          <w:spacing w:before="1"/>
                          <w:ind w:left="115" w:right="83"/>
                          <w:rPr>
                            <w:sz w:val="20"/>
                          </w:rPr>
                        </w:pPr>
                        <w:r>
                          <w:rPr>
                            <w:sz w:val="20"/>
                          </w:rPr>
                          <w:t>1-1-2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
                          <w:jc w:val="left"/>
                          <w:rPr>
                            <w:sz w:val="20"/>
                          </w:rPr>
                        </w:pPr>
                        <w:r>
                          <w:rPr>
                            <w:spacing w:val="-2"/>
                            <w:w w:val="95"/>
                            <w:sz w:val="20"/>
                          </w:rPr>
                          <w:t>中樞神經系統機能遺存高度障害，須長期臥床或無法自行翻</w:t>
                        </w:r>
                      </w:p>
                      <w:p>
                        <w:pPr>
                          <w:pStyle w:val="TableParagraph"/>
                          <w:spacing w:line="260" w:lineRule="atLeast"/>
                          <w:ind w:right="-15"/>
                          <w:jc w:val="left"/>
                          <w:rPr>
                            <w:sz w:val="20"/>
                          </w:rPr>
                        </w:pPr>
                        <w:r>
                          <w:rPr>
                            <w:spacing w:val="-3"/>
                            <w:w w:val="95"/>
                            <w:sz w:val="20"/>
                          </w:rPr>
                          <w:t>身，終身無工作能力，為維持生命必要之日常生活活動之一部</w:t>
                        </w:r>
                        <w:r>
                          <w:rPr>
                            <w:sz w:val="20"/>
                          </w:rPr>
                          <w:t>分須他人扶助者。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
                          <w:ind w:left="0"/>
                          <w:jc w:val="left"/>
                          <w:rPr>
                            <w:rFonts w:ascii="Microsoft JhengHei"/>
                            <w:b/>
                            <w:sz w:val="13"/>
                          </w:rPr>
                        </w:pPr>
                      </w:p>
                      <w:p>
                        <w:pPr>
                          <w:pStyle w:val="TableParagraph"/>
                          <w:spacing w:before="1"/>
                          <w:ind w:left="34"/>
                          <w:rPr>
                            <w:sz w:val="20"/>
                          </w:rPr>
                        </w:pPr>
                        <w:r>
                          <w:rPr>
                            <w:w w:val="99"/>
                            <w:sz w:val="20"/>
                          </w:rPr>
                          <w:t>2</w:t>
                        </w:r>
                      </w:p>
                    </w:tc>
                    <w:tc>
                      <w:tcPr>
                        <w:tcW w:w="990" w:type="dxa"/>
                        <w:tcBorders>
                          <w:top w:val="single" w:sz="4" w:space="0" w:color="000000"/>
                          <w:left w:val="single" w:sz="4" w:space="0" w:color="000000"/>
                          <w:bottom w:val="single" w:sz="4" w:space="0" w:color="000000"/>
                        </w:tcBorders>
                      </w:tcPr>
                      <w:p>
                        <w:pPr>
                          <w:pStyle w:val="TableParagraph"/>
                          <w:spacing w:before="11"/>
                          <w:ind w:left="0"/>
                          <w:jc w:val="left"/>
                          <w:rPr>
                            <w:rFonts w:ascii="Microsoft JhengHei"/>
                            <w:b/>
                            <w:sz w:val="13"/>
                          </w:rPr>
                        </w:pPr>
                      </w:p>
                      <w:p>
                        <w:pPr>
                          <w:pStyle w:val="TableParagraph"/>
                          <w:spacing w:before="1"/>
                          <w:ind w:left="87" w:right="39"/>
                          <w:rPr>
                            <w:sz w:val="20"/>
                          </w:rPr>
                        </w:pPr>
                        <w:r>
                          <w:rPr>
                            <w:sz w:val="20"/>
                          </w:rPr>
                          <w:t>90%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1-1-3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
                          <w:jc w:val="left"/>
                          <w:rPr>
                            <w:sz w:val="20"/>
                          </w:rPr>
                        </w:pPr>
                        <w:r>
                          <w:rPr>
                            <w:spacing w:val="-3"/>
                            <w:w w:val="95"/>
                            <w:sz w:val="20"/>
                          </w:rPr>
                          <w:t>中樞神經系統機能遺存顯著障害，終身無工作能力，為維持生</w:t>
                        </w:r>
                      </w:p>
                      <w:p>
                        <w:pPr>
                          <w:pStyle w:val="TableParagraph"/>
                          <w:spacing w:line="252" w:lineRule="exact" w:before="3"/>
                          <w:jc w:val="left"/>
                          <w:rPr>
                            <w:sz w:val="20"/>
                          </w:rPr>
                        </w:pPr>
                        <w:r>
                          <w:rPr>
                            <w:spacing w:val="-2"/>
                            <w:w w:val="95"/>
                            <w:sz w:val="20"/>
                          </w:rPr>
                          <w:t>命必要之日常生活活動尚可自理者。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80%</w:t>
                        </w:r>
                      </w:p>
                    </w:tc>
                  </w:tr>
                  <w:tr>
                    <w:trPr>
                      <w:trHeight w:val="517"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1-1-4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
                          <w:jc w:val="left"/>
                          <w:rPr>
                            <w:sz w:val="20"/>
                          </w:rPr>
                        </w:pPr>
                        <w:r>
                          <w:rPr>
                            <w:spacing w:val="-3"/>
                            <w:w w:val="95"/>
                            <w:sz w:val="20"/>
                          </w:rPr>
                          <w:t>中樞神經系統機能遺存障害，由醫學上可證明局部遺存頑固神</w:t>
                        </w:r>
                      </w:p>
                      <w:p>
                        <w:pPr>
                          <w:pStyle w:val="TableParagraph"/>
                          <w:spacing w:line="249" w:lineRule="exact" w:before="3"/>
                          <w:jc w:val="left"/>
                          <w:rPr>
                            <w:sz w:val="20"/>
                          </w:rPr>
                        </w:pPr>
                        <w:r>
                          <w:rPr>
                            <w:spacing w:val="-2"/>
                            <w:w w:val="95"/>
                            <w:sz w:val="20"/>
                          </w:rPr>
                          <w:t>經症狀，且勞動能力較一般顯明低下者。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40%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1-1-5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5"/>
                          <w:jc w:val="left"/>
                          <w:rPr>
                            <w:sz w:val="20"/>
                          </w:rPr>
                        </w:pPr>
                        <w:r>
                          <w:rPr>
                            <w:spacing w:val="-3"/>
                            <w:w w:val="95"/>
                            <w:sz w:val="20"/>
                          </w:rPr>
                          <w:t>中樞神經系統機能遺存障害，由醫學上可證明局部遺存頑固神</w:t>
                        </w:r>
                      </w:p>
                      <w:p>
                        <w:pPr>
                          <w:pStyle w:val="TableParagraph"/>
                          <w:spacing w:line="249" w:lineRule="exact" w:before="3"/>
                          <w:jc w:val="left"/>
                          <w:rPr>
                            <w:sz w:val="20"/>
                          </w:rPr>
                        </w:pPr>
                        <w:r>
                          <w:rPr>
                            <w:spacing w:val="-2"/>
                            <w:w w:val="95"/>
                            <w:sz w:val="20"/>
                          </w:rPr>
                          <w:t>經症狀，但通常無礙勞動。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21"/>
                          <w:ind w:left="87" w:right="52"/>
                          <w:rPr>
                            <w:sz w:val="20"/>
                          </w:rPr>
                        </w:pPr>
                        <w:r>
                          <w:rPr>
                            <w:sz w:val="20"/>
                          </w:rPr>
                          <w:t>11</w:t>
                        </w:r>
                      </w:p>
                    </w:tc>
                    <w:tc>
                      <w:tcPr>
                        <w:tcW w:w="990" w:type="dxa"/>
                        <w:tcBorders>
                          <w:top w:val="single" w:sz="4" w:space="0" w:color="000000"/>
                          <w:left w:val="single" w:sz="4" w:space="0" w:color="000000"/>
                          <w:bottom w:val="single" w:sz="4" w:space="0" w:color="000000"/>
                        </w:tcBorders>
                      </w:tcPr>
                      <w:p>
                        <w:pPr>
                          <w:pStyle w:val="TableParagraph"/>
                          <w:spacing w:before="121"/>
                          <w:ind w:left="87" w:right="40"/>
                          <w:rPr>
                            <w:sz w:val="20"/>
                          </w:rPr>
                        </w:pPr>
                        <w:r>
                          <w:rPr>
                            <w:sz w:val="20"/>
                          </w:rPr>
                          <w:t>5%</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before="3"/>
                          <w:ind w:left="0"/>
                          <w:jc w:val="left"/>
                          <w:rPr>
                            <w:rFonts w:ascii="Microsoft JhengHei"/>
                            <w:b/>
                            <w:sz w:val="29"/>
                          </w:rPr>
                        </w:pPr>
                      </w:p>
                      <w:p>
                        <w:pPr>
                          <w:pStyle w:val="TableParagraph"/>
                          <w:spacing w:line="242" w:lineRule="auto"/>
                          <w:ind w:left="126" w:right="108"/>
                          <w:jc w:val="left"/>
                          <w:rPr>
                            <w:sz w:val="20"/>
                          </w:rPr>
                        </w:pPr>
                        <w:r>
                          <w:rPr>
                            <w:sz w:val="20"/>
                          </w:rPr>
                          <w:t>２眼</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ind w:left="0"/>
                          <w:jc w:val="left"/>
                          <w:rPr>
                            <w:rFonts w:ascii="Microsoft JhengHei"/>
                            <w:b/>
                            <w:sz w:val="29"/>
                          </w:rPr>
                        </w:pPr>
                      </w:p>
                      <w:p>
                        <w:pPr>
                          <w:pStyle w:val="TableParagraph"/>
                          <w:ind w:left="247"/>
                          <w:jc w:val="left"/>
                          <w:rPr>
                            <w:sz w:val="20"/>
                          </w:rPr>
                        </w:pPr>
                        <w:r>
                          <w:rPr>
                            <w:sz w:val="20"/>
                          </w:rPr>
                          <w:t>視力障害</w:t>
                        </w:r>
                      </w:p>
                      <w:p>
                        <w:pPr>
                          <w:pStyle w:val="TableParagraph"/>
                          <w:spacing w:before="3"/>
                          <w:ind w:left="297"/>
                          <w:jc w:val="left"/>
                          <w:rPr>
                            <w:sz w:val="20"/>
                          </w:rPr>
                        </w:pPr>
                        <w:r>
                          <w:rPr>
                            <w:sz w:val="20"/>
                          </w:rPr>
                          <w:t>（註2）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2-1-1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1"/>
                            <w:w w:val="95"/>
                            <w:sz w:val="20"/>
                          </w:rPr>
                          <w:t>雙目均失明者。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100%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2-1-2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雙目視力減退至</w:t>
                        </w:r>
                        <w:r>
                          <w:rPr>
                            <w:spacing w:val="-1"/>
                            <w:w w:val="95"/>
                            <w:sz w:val="20"/>
                          </w:rPr>
                          <w:t>0.06以下者。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60%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2-1-3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雙目視力減退至</w:t>
                        </w:r>
                        <w:r>
                          <w:rPr>
                            <w:spacing w:val="-1"/>
                            <w:w w:val="95"/>
                            <w:sz w:val="20"/>
                          </w:rPr>
                          <w:t>0.1以下者。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40%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2-1-4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一目失明，他目視力減退至</w:t>
                        </w:r>
                        <w:r>
                          <w:rPr>
                            <w:spacing w:val="-1"/>
                            <w:w w:val="95"/>
                            <w:sz w:val="20"/>
                          </w:rPr>
                          <w:t>0.06以下者。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4</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70%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2-1-5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一目失明，他目視力減退至</w:t>
                        </w:r>
                        <w:r>
                          <w:rPr>
                            <w:spacing w:val="-1"/>
                            <w:w w:val="95"/>
                            <w:sz w:val="20"/>
                          </w:rPr>
                          <w:t>0.1以下者。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50%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2-1-6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1"/>
                            <w:w w:val="95"/>
                            <w:sz w:val="20"/>
                          </w:rPr>
                          <w:t>一目失明者。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40%</w:t>
                        </w:r>
                      </w:p>
                    </w:tc>
                  </w:tr>
                  <w:tr>
                    <w:trPr>
                      <w:trHeight w:val="258"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50" w:lineRule="exact"/>
                          <w:ind w:left="126"/>
                          <w:jc w:val="left"/>
                          <w:rPr>
                            <w:sz w:val="20"/>
                          </w:rPr>
                        </w:pPr>
                        <w:r>
                          <w:rPr>
                            <w:w w:val="99"/>
                            <w:sz w:val="20"/>
                          </w:rPr>
                          <w:t>３</w:t>
                        </w:r>
                      </w:p>
                      <w:p>
                        <w:pPr>
                          <w:pStyle w:val="TableParagraph"/>
                          <w:spacing w:before="3"/>
                          <w:ind w:left="126"/>
                          <w:jc w:val="left"/>
                          <w:rPr>
                            <w:sz w:val="20"/>
                          </w:rPr>
                        </w:pPr>
                        <w:r>
                          <w:rPr>
                            <w:w w:val="99"/>
                            <w:sz w:val="20"/>
                          </w:rPr>
                          <w:t>耳</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47"/>
                          <w:jc w:val="left"/>
                          <w:rPr>
                            <w:sz w:val="20"/>
                          </w:rPr>
                        </w:pPr>
                        <w:r>
                          <w:rPr>
                            <w:sz w:val="20"/>
                          </w:rPr>
                          <w:t>聽覺障害</w:t>
                        </w:r>
                      </w:p>
                      <w:p>
                        <w:pPr>
                          <w:pStyle w:val="TableParagraph"/>
                          <w:spacing w:before="3"/>
                          <w:ind w:left="297"/>
                          <w:jc w:val="left"/>
                          <w:rPr>
                            <w:sz w:val="20"/>
                          </w:rPr>
                        </w:pPr>
                        <w:r>
                          <w:rPr>
                            <w:sz w:val="20"/>
                          </w:rPr>
                          <w:t>（註3）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3-1-1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兩耳鼓膜全部缺損或兩耳聽覺機能均喪失</w:t>
                        </w:r>
                        <w:r>
                          <w:rPr>
                            <w:spacing w:val="-1"/>
                            <w:w w:val="95"/>
                            <w:sz w:val="20"/>
                          </w:rPr>
                          <w:t>90分貝以上者。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60%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3-1-2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兩耳聽覺機能均喪失</w:t>
                        </w:r>
                        <w:r>
                          <w:rPr>
                            <w:spacing w:val="-1"/>
                            <w:w w:val="95"/>
                            <w:sz w:val="20"/>
                          </w:rPr>
                          <w:t>70分貝以上者。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40%</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50" w:lineRule="exact"/>
                          <w:ind w:left="126"/>
                          <w:jc w:val="left"/>
                          <w:rPr>
                            <w:sz w:val="20"/>
                          </w:rPr>
                        </w:pPr>
                        <w:r>
                          <w:rPr>
                            <w:w w:val="99"/>
                            <w:sz w:val="20"/>
                          </w:rPr>
                          <w:t>４</w:t>
                        </w:r>
                      </w:p>
                      <w:p>
                        <w:pPr>
                          <w:pStyle w:val="TableParagraph"/>
                          <w:spacing w:line="254" w:lineRule="exact" w:before="5"/>
                          <w:ind w:left="126"/>
                          <w:jc w:val="left"/>
                          <w:rPr>
                            <w:sz w:val="20"/>
                          </w:rPr>
                        </w:pPr>
                        <w:r>
                          <w:rPr>
                            <w:w w:val="99"/>
                            <w:sz w:val="20"/>
                          </w:rPr>
                          <w:t>鼻</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2"/>
                          <w:rPr>
                            <w:sz w:val="20"/>
                          </w:rPr>
                        </w:pPr>
                        <w:r>
                          <w:rPr>
                            <w:sz w:val="20"/>
                          </w:rPr>
                          <w:t>缺損及機能障</w:t>
                        </w:r>
                      </w:p>
                      <w:p>
                        <w:pPr>
                          <w:pStyle w:val="TableParagraph"/>
                          <w:spacing w:line="254" w:lineRule="exact" w:before="5"/>
                          <w:ind w:left="30"/>
                          <w:rPr>
                            <w:sz w:val="20"/>
                          </w:rPr>
                        </w:pPr>
                        <w:r>
                          <w:rPr>
                            <w:sz w:val="20"/>
                          </w:rPr>
                          <w:t>害（註4）</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4-1-1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鼻部缺損，致其機能永久遺存顯著障害者。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20%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4-1-2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z w:val="20"/>
                          </w:rPr>
                          <w:t>鼻未缺損，而鼻機能永久遺存顯著障害者。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7" w:right="52"/>
                          <w:rPr>
                            <w:sz w:val="20"/>
                          </w:rPr>
                        </w:pPr>
                        <w:r>
                          <w:rPr>
                            <w:sz w:val="20"/>
                          </w:rPr>
                          <w:t>11</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5%</w:t>
                        </w:r>
                      </w:p>
                    </w:tc>
                  </w:tr>
                  <w:tr>
                    <w:trPr>
                      <w:trHeight w:val="261"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2" w:lineRule="auto" w:before="131"/>
                          <w:ind w:left="126" w:right="108"/>
                          <w:jc w:val="left"/>
                          <w:rPr>
                            <w:sz w:val="20"/>
                          </w:rPr>
                        </w:pPr>
                        <w:r>
                          <w:rPr>
                            <w:sz w:val="20"/>
                          </w:rPr>
                          <w:t>５口</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48" w:right="14" w:hanging="3"/>
                          <w:rPr>
                            <w:sz w:val="20"/>
                          </w:rPr>
                        </w:pPr>
                        <w:r>
                          <w:rPr>
                            <w:sz w:val="20"/>
                          </w:rPr>
                          <w:t>咀嚼吞嚥及</w:t>
                        </w:r>
                        <w:r>
                          <w:rPr>
                            <w:spacing w:val="1"/>
                            <w:sz w:val="20"/>
                          </w:rPr>
                          <w:t> </w:t>
                        </w:r>
                        <w:r>
                          <w:rPr>
                            <w:spacing w:val="-1"/>
                            <w:sz w:val="20"/>
                          </w:rPr>
                          <w:t>言語機能障害</w:t>
                        </w:r>
                      </w:p>
                      <w:p>
                        <w:pPr>
                          <w:pStyle w:val="TableParagraph"/>
                          <w:spacing w:line="254" w:lineRule="exact"/>
                          <w:ind w:left="32"/>
                          <w:rPr>
                            <w:sz w:val="20"/>
                          </w:rPr>
                        </w:pPr>
                        <w:r>
                          <w:rPr>
                            <w:sz w:val="20"/>
                          </w:rPr>
                          <w:t>（註5）</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5-1-1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永久喪失咀嚼、吞嚥或言語之機能者。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100%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5-1-2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咀嚼、吞嚥及言語之機能永久遺存顯著障害者。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60%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5-1-3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咀嚼、吞嚥或言語構音之機能永久遺存顯著障害者。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40%</w:t>
                        </w:r>
                      </w:p>
                    </w:tc>
                  </w:tr>
                  <w:tr>
                    <w:trPr>
                      <w:trHeight w:val="520" w:hRule="atLeast"/>
                    </w:trPr>
                    <w:tc>
                      <w:tcPr>
                        <w:tcW w:w="456" w:type="dxa"/>
                        <w:vMerge w:val="restart"/>
                        <w:tcBorders>
                          <w:top w:val="single" w:sz="4" w:space="0" w:color="000000"/>
                          <w:bottom w:val="single" w:sz="4" w:space="0" w:color="000000"/>
                          <w:right w:val="single" w:sz="4" w:space="0" w:color="000000"/>
                        </w:tcBorders>
                      </w:tcPr>
                      <w:p>
                        <w:pPr>
                          <w:pStyle w:val="TableParagraph"/>
                          <w:spacing w:before="6"/>
                          <w:ind w:left="0"/>
                          <w:jc w:val="left"/>
                          <w:rPr>
                            <w:rFonts w:ascii="Microsoft JhengHei"/>
                            <w:b/>
                            <w:sz w:val="29"/>
                          </w:rPr>
                        </w:pPr>
                      </w:p>
                      <w:p>
                        <w:pPr>
                          <w:pStyle w:val="TableParagraph"/>
                          <w:spacing w:line="244" w:lineRule="auto"/>
                          <w:ind w:left="126" w:right="108"/>
                          <w:jc w:val="both"/>
                          <w:rPr>
                            <w:sz w:val="20"/>
                          </w:rPr>
                        </w:pPr>
                        <w:r>
                          <w:rPr>
                            <w:sz w:val="20"/>
                          </w:rPr>
                          <w:t>６胸腹部臟器</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
                          <w:ind w:left="0"/>
                          <w:jc w:val="left"/>
                          <w:rPr>
                            <w:rFonts w:ascii="Microsoft JhengHei"/>
                            <w:b/>
                            <w:sz w:val="28"/>
                          </w:rPr>
                        </w:pPr>
                      </w:p>
                      <w:p>
                        <w:pPr>
                          <w:pStyle w:val="TableParagraph"/>
                          <w:spacing w:line="242" w:lineRule="auto"/>
                          <w:ind w:left="146" w:right="114"/>
                          <w:rPr>
                            <w:sz w:val="20"/>
                          </w:rPr>
                        </w:pPr>
                        <w:r>
                          <w:rPr>
                            <w:spacing w:val="-1"/>
                            <w:sz w:val="20"/>
                          </w:rPr>
                          <w:t>胸腹部臟器</w:t>
                        </w:r>
                        <w:r>
                          <w:rPr>
                            <w:sz w:val="20"/>
                          </w:rPr>
                          <w:t>機能障害</w:t>
                        </w:r>
                      </w:p>
                      <w:p>
                        <w:pPr>
                          <w:pStyle w:val="TableParagraph"/>
                          <w:spacing w:before="3"/>
                          <w:ind w:left="32"/>
                          <w:rPr>
                            <w:sz w:val="20"/>
                          </w:rPr>
                        </w:pPr>
                        <w:r>
                          <w:rPr>
                            <w:sz w:val="20"/>
                          </w:rPr>
                          <w:t>（註6）</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6-1-1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
                          <w:jc w:val="left"/>
                          <w:rPr>
                            <w:sz w:val="20"/>
                          </w:rPr>
                        </w:pPr>
                        <w:r>
                          <w:rPr>
                            <w:spacing w:val="-3"/>
                            <w:w w:val="95"/>
                            <w:sz w:val="20"/>
                          </w:rPr>
                          <w:t>胸腹部臟器機能遺存極度障害，終身不能從事任何工作，經常</w:t>
                        </w:r>
                      </w:p>
                      <w:p>
                        <w:pPr>
                          <w:pStyle w:val="TableParagraph"/>
                          <w:spacing w:line="252" w:lineRule="exact" w:before="3"/>
                          <w:jc w:val="left"/>
                          <w:rPr>
                            <w:sz w:val="20"/>
                          </w:rPr>
                        </w:pPr>
                        <w:r>
                          <w:rPr>
                            <w:spacing w:val="-2"/>
                            <w:w w:val="95"/>
                            <w:sz w:val="20"/>
                          </w:rPr>
                          <w:t>需要醫療護理或專人周密照護者。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100%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6-1-2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
                          <w:jc w:val="left"/>
                          <w:rPr>
                            <w:sz w:val="20"/>
                          </w:rPr>
                        </w:pPr>
                        <w:r>
                          <w:rPr>
                            <w:spacing w:val="-3"/>
                            <w:w w:val="95"/>
                            <w:sz w:val="20"/>
                          </w:rPr>
                          <w:t>胸腹部臟器機能遺存高度障害，終身不能從事任何工作，且日</w:t>
                        </w:r>
                      </w:p>
                      <w:p>
                        <w:pPr>
                          <w:pStyle w:val="TableParagraph"/>
                          <w:spacing w:line="252" w:lineRule="exact" w:before="3"/>
                          <w:jc w:val="left"/>
                          <w:rPr>
                            <w:sz w:val="20"/>
                          </w:rPr>
                        </w:pPr>
                        <w:r>
                          <w:rPr>
                            <w:spacing w:val="-1"/>
                            <w:w w:val="95"/>
                            <w:sz w:val="20"/>
                          </w:rPr>
                          <w:t>常生活需人扶助。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2</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90%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5" w:right="83"/>
                          <w:rPr>
                            <w:sz w:val="20"/>
                          </w:rPr>
                        </w:pPr>
                        <w:r>
                          <w:rPr>
                            <w:sz w:val="20"/>
                          </w:rPr>
                          <w:t>6-1-3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
                          <w:jc w:val="left"/>
                          <w:rPr>
                            <w:sz w:val="20"/>
                          </w:rPr>
                        </w:pPr>
                        <w:r>
                          <w:rPr>
                            <w:spacing w:val="-3"/>
                            <w:w w:val="95"/>
                            <w:sz w:val="20"/>
                          </w:rPr>
                          <w:t>胸腹部臟器機能遺存顯著障害，終身不能從事任何工作，但日</w:t>
                        </w:r>
                      </w:p>
                      <w:p>
                        <w:pPr>
                          <w:pStyle w:val="TableParagraph"/>
                          <w:spacing w:line="252" w:lineRule="exact" w:before="3"/>
                          <w:jc w:val="left"/>
                          <w:rPr>
                            <w:sz w:val="20"/>
                          </w:rPr>
                        </w:pPr>
                        <w:r>
                          <w:rPr>
                            <w:spacing w:val="-2"/>
                            <w:w w:val="95"/>
                            <w:sz w:val="20"/>
                          </w:rPr>
                          <w:t>常生活尚可自理者。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80%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6-1-4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胸腹部臟器機能遺存顯著障害，終身祇能從事輕便工作者。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40%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6"/>
                          <w:ind w:left="247"/>
                          <w:jc w:val="left"/>
                          <w:rPr>
                            <w:sz w:val="20"/>
                          </w:rPr>
                        </w:pPr>
                        <w:r>
                          <w:rPr>
                            <w:sz w:val="20"/>
                          </w:rPr>
                          <w:t>臟器切除</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6-2-1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任一主要臟器切除二分之一以上者。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20%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6-2-2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1"/>
                            <w:w w:val="95"/>
                            <w:sz w:val="20"/>
                          </w:rPr>
                          <w:t>脾臟切除者。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7" w:right="52"/>
                          <w:rPr>
                            <w:sz w:val="20"/>
                          </w:rPr>
                        </w:pPr>
                        <w:r>
                          <w:rPr>
                            <w:sz w:val="20"/>
                          </w:rPr>
                          <w:t>11</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40"/>
                          <w:rPr>
                            <w:sz w:val="20"/>
                          </w:rPr>
                        </w:pPr>
                        <w:r>
                          <w:rPr>
                            <w:sz w:val="20"/>
                          </w:rPr>
                          <w:t>5%</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jc w:val="left"/>
                          <w:rPr>
                            <w:sz w:val="20"/>
                          </w:rPr>
                        </w:pPr>
                        <w:r>
                          <w:rPr>
                            <w:sz w:val="20"/>
                          </w:rPr>
                          <w:t>膀胱機能障害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6-3-1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膀胱機能完全喪失且無裝置人工膀胱者。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80%</w:t>
                        </w:r>
                      </w:p>
                    </w:tc>
                  </w:tr>
                  <w:tr>
                    <w:trPr>
                      <w:trHeight w:val="385" w:hRule="atLeast"/>
                    </w:trPr>
                    <w:tc>
                      <w:tcPr>
                        <w:tcW w:w="456" w:type="dxa"/>
                        <w:vMerge w:val="restart"/>
                        <w:tcBorders>
                          <w:top w:val="single" w:sz="4" w:space="0" w:color="000000"/>
                          <w:bottom w:val="single" w:sz="4" w:space="0" w:color="000000"/>
                          <w:right w:val="single" w:sz="4" w:space="0" w:color="000000"/>
                        </w:tcBorders>
                      </w:tcPr>
                      <w:p>
                        <w:pPr>
                          <w:pStyle w:val="TableParagraph"/>
                          <w:spacing w:line="242" w:lineRule="auto"/>
                          <w:ind w:left="126" w:right="108"/>
                          <w:jc w:val="left"/>
                          <w:rPr>
                            <w:sz w:val="20"/>
                          </w:rPr>
                        </w:pPr>
                        <w:r>
                          <w:rPr>
                            <w:sz w:val="20"/>
                          </w:rPr>
                          <w:t>７軀</w:t>
                        </w:r>
                      </w:p>
                      <w:p>
                        <w:pPr>
                          <w:pStyle w:val="TableParagraph"/>
                          <w:spacing w:line="249" w:lineRule="exact"/>
                          <w:ind w:left="126"/>
                          <w:jc w:val="left"/>
                          <w:rPr>
                            <w:sz w:val="20"/>
                          </w:rPr>
                        </w:pPr>
                        <w:r>
                          <w:rPr>
                            <w:w w:val="99"/>
                            <w:sz w:val="20"/>
                          </w:rPr>
                          <w:t>幹</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9"/>
                          <w:ind w:left="32"/>
                          <w:rPr>
                            <w:sz w:val="20"/>
                          </w:rPr>
                        </w:pPr>
                        <w:r>
                          <w:rPr>
                            <w:sz w:val="20"/>
                          </w:rPr>
                          <w:t>脊柱運動障害</w:t>
                        </w:r>
                      </w:p>
                      <w:p>
                        <w:pPr>
                          <w:pStyle w:val="TableParagraph"/>
                          <w:spacing w:before="5"/>
                          <w:ind w:left="32"/>
                          <w:rPr>
                            <w:sz w:val="20"/>
                          </w:rPr>
                        </w:pPr>
                        <w:r>
                          <w:rPr>
                            <w:sz w:val="20"/>
                          </w:rPr>
                          <w:t>（註7）</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51"/>
                          <w:ind w:left="115" w:right="83"/>
                          <w:rPr>
                            <w:sz w:val="20"/>
                          </w:rPr>
                        </w:pPr>
                        <w:r>
                          <w:rPr>
                            <w:sz w:val="20"/>
                          </w:rPr>
                          <w:t>7-1-1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51"/>
                          <w:jc w:val="left"/>
                          <w:rPr>
                            <w:sz w:val="20"/>
                          </w:rPr>
                        </w:pPr>
                        <w:r>
                          <w:rPr>
                            <w:spacing w:val="-2"/>
                            <w:w w:val="95"/>
                            <w:sz w:val="20"/>
                          </w:rPr>
                          <w:t>脊柱永久遺存顯著運動障害者。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1"/>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51"/>
                          <w:ind w:left="87" w:right="39"/>
                          <w:rPr>
                            <w:sz w:val="20"/>
                          </w:rPr>
                        </w:pPr>
                        <w:r>
                          <w:rPr>
                            <w:sz w:val="20"/>
                          </w:rPr>
                          <w:t>40%</w:t>
                        </w:r>
                      </w:p>
                    </w:tc>
                  </w:tr>
                  <w:tr>
                    <w:trPr>
                      <w:trHeight w:val="383"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52"/>
                          <w:ind w:left="115" w:right="83"/>
                          <w:rPr>
                            <w:sz w:val="20"/>
                          </w:rPr>
                        </w:pPr>
                        <w:r>
                          <w:rPr>
                            <w:sz w:val="20"/>
                          </w:rPr>
                          <w:t>7-1-2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52"/>
                          <w:jc w:val="left"/>
                          <w:rPr>
                            <w:sz w:val="20"/>
                          </w:rPr>
                        </w:pPr>
                        <w:r>
                          <w:rPr>
                            <w:spacing w:val="-2"/>
                            <w:w w:val="95"/>
                            <w:sz w:val="20"/>
                          </w:rPr>
                          <w:t>脊柱永久遺存運動障害者。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2"/>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before="52"/>
                          <w:ind w:left="87" w:right="40"/>
                          <w:rPr>
                            <w:sz w:val="20"/>
                          </w:rPr>
                        </w:pPr>
                        <w:r>
                          <w:rPr>
                            <w:sz w:val="20"/>
                          </w:rPr>
                          <w:t>20%</w:t>
                        </w:r>
                      </w:p>
                    </w:tc>
                  </w:tr>
                  <w:tr>
                    <w:trPr>
                      <w:trHeight w:val="251" w:hRule="atLeast"/>
                    </w:trPr>
                    <w:tc>
                      <w:tcPr>
                        <w:tcW w:w="456" w:type="dxa"/>
                        <w:vMerge w:val="restart"/>
                        <w:tcBorders>
                          <w:top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9"/>
                          <w:ind w:left="0"/>
                          <w:jc w:val="left"/>
                          <w:rPr>
                            <w:rFonts w:ascii="Microsoft JhengHei"/>
                            <w:b/>
                            <w:sz w:val="11"/>
                          </w:rPr>
                        </w:pPr>
                      </w:p>
                      <w:p>
                        <w:pPr>
                          <w:pStyle w:val="TableParagraph"/>
                          <w:spacing w:line="242" w:lineRule="auto"/>
                          <w:ind w:left="126" w:right="108"/>
                          <w:jc w:val="both"/>
                          <w:rPr>
                            <w:sz w:val="20"/>
                          </w:rPr>
                        </w:pPr>
                        <w:r>
                          <w:rPr>
                            <w:sz w:val="20"/>
                          </w:rPr>
                          <w:t>８上肢</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ind w:left="0"/>
                          <w:jc w:val="left"/>
                          <w:rPr>
                            <w:rFonts w:ascii="Microsoft JhengHei"/>
                            <w:b/>
                            <w:sz w:val="14"/>
                          </w:rPr>
                        </w:pPr>
                      </w:p>
                      <w:p>
                        <w:pPr>
                          <w:pStyle w:val="TableParagraph"/>
                          <w:ind w:left="48"/>
                          <w:jc w:val="left"/>
                          <w:rPr>
                            <w:sz w:val="20"/>
                          </w:rPr>
                        </w:pPr>
                        <w:r>
                          <w:rPr>
                            <w:sz w:val="20"/>
                          </w:rPr>
                          <w:t>上肢缺損障害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5" w:right="83"/>
                          <w:rPr>
                            <w:sz w:val="20"/>
                          </w:rPr>
                        </w:pPr>
                        <w:r>
                          <w:rPr>
                            <w:sz w:val="20"/>
                          </w:rPr>
                          <w:t>8-1-1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jc w:val="left"/>
                          <w:rPr>
                            <w:sz w:val="20"/>
                          </w:rPr>
                        </w:pPr>
                        <w:r>
                          <w:rPr>
                            <w:spacing w:val="-2"/>
                            <w:w w:val="95"/>
                            <w:sz w:val="20"/>
                          </w:rPr>
                          <w:t>兩上肢腕關節缺失者。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line="231" w:lineRule="exact"/>
                          <w:ind w:left="87" w:right="39"/>
                          <w:rPr>
                            <w:sz w:val="20"/>
                          </w:rPr>
                        </w:pPr>
                        <w:r>
                          <w:rPr>
                            <w:sz w:val="20"/>
                          </w:rPr>
                          <w:t>100%</w:t>
                        </w:r>
                      </w:p>
                    </w:tc>
                  </w:tr>
                  <w:tr>
                    <w:trPr>
                      <w:trHeight w:val="239"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一上肢肩、肘及腕關節中，有二大關節以上缺失者。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60%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一上肢腕關節缺失者。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50%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right w:val="single" w:sz="4" w:space="0" w:color="000000"/>
                        </w:tcBorders>
                      </w:tcPr>
                      <w:p>
                        <w:pPr>
                          <w:pStyle w:val="TableParagraph"/>
                          <w:ind w:left="0"/>
                          <w:jc w:val="left"/>
                          <w:rPr>
                            <w:rFonts w:ascii="Microsoft JhengHei"/>
                            <w:b/>
                            <w:sz w:val="20"/>
                          </w:rPr>
                        </w:pPr>
                      </w:p>
                      <w:p>
                        <w:pPr>
                          <w:pStyle w:val="TableParagraph"/>
                          <w:spacing w:before="17"/>
                          <w:ind w:left="0"/>
                          <w:jc w:val="left"/>
                          <w:rPr>
                            <w:rFonts w:ascii="Microsoft JhengHei"/>
                            <w:b/>
                            <w:sz w:val="15"/>
                          </w:rPr>
                        </w:pPr>
                      </w:p>
                      <w:p>
                        <w:pPr>
                          <w:pStyle w:val="TableParagraph"/>
                          <w:ind w:left="32"/>
                          <w:rPr>
                            <w:sz w:val="20"/>
                          </w:rPr>
                        </w:pPr>
                        <w:r>
                          <w:rPr>
                            <w:sz w:val="20"/>
                          </w:rPr>
                          <w:t>手指缺損障害</w:t>
                        </w:r>
                      </w:p>
                      <w:p>
                        <w:pPr>
                          <w:pStyle w:val="TableParagraph"/>
                          <w:spacing w:before="3"/>
                          <w:ind w:left="32"/>
                          <w:rPr>
                            <w:sz w:val="20"/>
                          </w:rPr>
                        </w:pPr>
                        <w:r>
                          <w:rPr>
                            <w:sz w:val="20"/>
                          </w:rPr>
                          <w:t>（註8）</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雙手十指均缺失者。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80%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8-2-2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雙手兩拇指均缺失者。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一手五指均缺失者。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8-2-4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一手包含拇指及食指在內，共有四指缺失者。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8-2-5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一手拇指及食指缺失者。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30%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8-2-6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一手包含拇指或食指在內，共有三指以上缺失。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30%</w:t>
                        </w:r>
                      </w:p>
                    </w:tc>
                  </w:tr>
                  <w:tr>
                    <w:trPr>
                      <w:trHeight w:val="24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right w:val="single" w:sz="4" w:space="0" w:color="000000"/>
                        </w:tcBorders>
                      </w:tcPr>
                      <w:p>
                        <w:pPr>
                          <w:pStyle w:val="TableParagraph"/>
                          <w:spacing w:line="228" w:lineRule="exact"/>
                          <w:ind w:left="115" w:right="83"/>
                          <w:rPr>
                            <w:sz w:val="20"/>
                          </w:rPr>
                        </w:pPr>
                        <w:r>
                          <w:rPr>
                            <w:sz w:val="20"/>
                          </w:rPr>
                          <w:t>8-2-7</w:t>
                        </w:r>
                      </w:p>
                    </w:tc>
                    <w:tc>
                      <w:tcPr>
                        <w:tcW w:w="5105" w:type="dxa"/>
                        <w:tcBorders>
                          <w:top w:val="single" w:sz="4" w:space="0" w:color="000000"/>
                          <w:left w:val="single" w:sz="4" w:space="0" w:color="000000"/>
                          <w:right w:val="single" w:sz="4" w:space="0" w:color="000000"/>
                        </w:tcBorders>
                      </w:tcPr>
                      <w:p>
                        <w:pPr>
                          <w:pStyle w:val="TableParagraph"/>
                          <w:spacing w:line="228" w:lineRule="exact"/>
                          <w:jc w:val="left"/>
                          <w:rPr>
                            <w:sz w:val="20"/>
                          </w:rPr>
                        </w:pPr>
                        <w:r>
                          <w:rPr>
                            <w:spacing w:val="-2"/>
                            <w:w w:val="95"/>
                            <w:sz w:val="20"/>
                          </w:rPr>
                          <w:t>一手包含拇指在內，共有二指缺失者。</w:t>
                        </w:r>
                      </w:p>
                    </w:tc>
                    <w:tc>
                      <w:tcPr>
                        <w:tcW w:w="991" w:type="dxa"/>
                        <w:tcBorders>
                          <w:top w:val="single" w:sz="4" w:space="0" w:color="000000"/>
                          <w:left w:val="single" w:sz="4" w:space="0" w:color="000000"/>
                          <w:right w:val="single" w:sz="4" w:space="0" w:color="000000"/>
                        </w:tcBorders>
                      </w:tcPr>
                      <w:p>
                        <w:pPr>
                          <w:pStyle w:val="TableParagraph"/>
                          <w:spacing w:line="228" w:lineRule="exact"/>
                          <w:ind w:left="34"/>
                          <w:rPr>
                            <w:sz w:val="20"/>
                          </w:rPr>
                        </w:pPr>
                        <w:r>
                          <w:rPr>
                            <w:w w:val="99"/>
                            <w:sz w:val="20"/>
                          </w:rPr>
                          <w:t>9</w:t>
                        </w:r>
                      </w:p>
                    </w:tc>
                    <w:tc>
                      <w:tcPr>
                        <w:tcW w:w="990" w:type="dxa"/>
                        <w:tcBorders>
                          <w:top w:val="single" w:sz="4" w:space="0" w:color="000000"/>
                          <w:left w:val="single" w:sz="4" w:space="0" w:color="000000"/>
                        </w:tcBorders>
                      </w:tcPr>
                      <w:p>
                        <w:pPr>
                          <w:pStyle w:val="TableParagraph"/>
                          <w:spacing w:line="228" w:lineRule="exact"/>
                          <w:ind w:left="87" w:right="39"/>
                          <w:rPr>
                            <w:sz w:val="20"/>
                          </w:rPr>
                        </w:pPr>
                        <w:r>
                          <w:rPr>
                            <w:sz w:val="20"/>
                          </w:rPr>
                          <w:t>20%</w:t>
                        </w:r>
                      </w:p>
                    </w:tc>
                  </w:tr>
                </w:tbl>
                <w:p>
                  <w:pPr>
                    <w:pStyle w:val="BodyText"/>
                    <w:ind w:left="0"/>
                  </w:pPr>
                </w:p>
              </w:txbxContent>
            </v:textbox>
            <w10:wrap type="none"/>
          </v:shape>
        </w:pict>
      </w:r>
      <w:r>
        <w:rPr>
          <w:rFonts w:ascii="Microsoft JhengHei" w:eastAsia="Microsoft JhengHei" w:hint="eastAsia"/>
          <w:b/>
          <w:sz w:val="20"/>
        </w:rPr>
        <w:t>附表二：失能程度與保險金給付表</w:t>
      </w:r>
    </w:p>
    <w:p>
      <w:pPr>
        <w:spacing w:after="0" w:line="331" w:lineRule="exact"/>
        <w:jc w:val="left"/>
        <w:rPr>
          <w:rFonts w:ascii="Microsoft JhengHei" w:eastAsia="Microsoft JhengHei" w:hint="eastAsia"/>
          <w:sz w:val="20"/>
        </w:rPr>
        <w:sectPr>
          <w:pgSz w:w="11910" w:h="16840"/>
          <w:pgMar w:header="0" w:footer="746" w:top="1360" w:bottom="1020" w:left="980" w:right="880"/>
        </w:sectPr>
      </w:pPr>
    </w:p>
    <w:tbl>
      <w:tblPr>
        <w:tblW w:w="0" w:type="auto"/>
        <w:jc w:val="left"/>
        <w:tblInd w:w="13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56"/>
        <w:gridCol w:w="1274"/>
        <w:gridCol w:w="849"/>
        <w:gridCol w:w="5105"/>
        <w:gridCol w:w="991"/>
        <w:gridCol w:w="990"/>
      </w:tblGrid>
      <w:tr>
        <w:trPr>
          <w:trHeight w:val="260" w:hRule="atLeast"/>
        </w:trPr>
        <w:tc>
          <w:tcPr>
            <w:tcW w:w="456" w:type="dxa"/>
            <w:vMerge w:val="restart"/>
            <w:tcBorders>
              <w:bottom w:val="single" w:sz="4" w:space="0" w:color="000000"/>
              <w:right w:val="single" w:sz="4" w:space="0" w:color="000000"/>
            </w:tcBorders>
          </w:tcPr>
          <w:p>
            <w:pPr>
              <w:pStyle w:val="TableParagraph"/>
              <w:ind w:left="0"/>
              <w:jc w:val="left"/>
              <w:rPr>
                <w:rFonts w:ascii="Times New Roman"/>
                <w:sz w:val="18"/>
              </w:rPr>
            </w:pPr>
          </w:p>
        </w:tc>
        <w:tc>
          <w:tcPr>
            <w:tcW w:w="1274" w:type="dxa"/>
            <w:vMerge w:val="restart"/>
            <w:tcBorders>
              <w:left w:val="single" w:sz="4" w:space="0" w:color="000000"/>
              <w:bottom w:val="single" w:sz="4" w:space="0" w:color="000000"/>
              <w:right w:val="single" w:sz="4" w:space="0" w:color="000000"/>
            </w:tcBorders>
          </w:tcPr>
          <w:p>
            <w:pPr>
              <w:pStyle w:val="TableParagraph"/>
              <w:ind w:left="0"/>
              <w:jc w:val="left"/>
              <w:rPr>
                <w:rFonts w:ascii="Times New Roman"/>
                <w:sz w:val="18"/>
              </w:rPr>
            </w:pPr>
          </w:p>
        </w:tc>
        <w:tc>
          <w:tcPr>
            <w:tcW w:w="849" w:type="dxa"/>
            <w:tcBorders>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8-2-8</w:t>
            </w:r>
          </w:p>
        </w:tc>
        <w:tc>
          <w:tcPr>
            <w:tcW w:w="5105" w:type="dxa"/>
            <w:tcBorders>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一手拇指缺失或一手食指缺失者。</w:t>
            </w:r>
          </w:p>
        </w:tc>
        <w:tc>
          <w:tcPr>
            <w:tcW w:w="991" w:type="dxa"/>
            <w:tcBorders>
              <w:left w:val="single" w:sz="4" w:space="0" w:color="000000"/>
              <w:bottom w:val="single" w:sz="4" w:space="0" w:color="000000"/>
              <w:right w:val="single" w:sz="4" w:space="0" w:color="000000"/>
            </w:tcBorders>
          </w:tcPr>
          <w:p>
            <w:pPr>
              <w:pStyle w:val="TableParagraph"/>
              <w:spacing w:line="241" w:lineRule="exact"/>
              <w:ind w:left="87" w:right="52"/>
              <w:rPr>
                <w:sz w:val="20"/>
              </w:rPr>
            </w:pPr>
            <w:r>
              <w:rPr>
                <w:sz w:val="20"/>
              </w:rPr>
              <w:t>11</w:t>
            </w:r>
          </w:p>
        </w:tc>
        <w:tc>
          <w:tcPr>
            <w:tcW w:w="990" w:type="dxa"/>
            <w:tcBorders>
              <w:left w:val="single" w:sz="4" w:space="0" w:color="000000"/>
              <w:bottom w:val="single" w:sz="4" w:space="0" w:color="000000"/>
            </w:tcBorders>
          </w:tcPr>
          <w:p>
            <w:pPr>
              <w:pStyle w:val="TableParagraph"/>
              <w:spacing w:line="241" w:lineRule="exact"/>
              <w:ind w:left="87" w:right="39"/>
              <w:rPr>
                <w:sz w:val="20"/>
              </w:rPr>
            </w:pPr>
            <w:r>
              <w:rPr>
                <w:sz w:val="20"/>
              </w:rPr>
              <w:t>5%</w:t>
            </w:r>
          </w:p>
        </w:tc>
      </w:tr>
      <w:tr>
        <w:trPr>
          <w:trHeight w:val="259"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8-2-9</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一手拇指及食指以外之任何手指，共有二指以上缺失者。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7" w:right="52"/>
              <w:rPr>
                <w:sz w:val="20"/>
              </w:rPr>
            </w:pPr>
            <w:r>
              <w:rPr>
                <w:sz w:val="20"/>
              </w:rPr>
              <w:t>11</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5%</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13"/>
              <w:ind w:left="0"/>
              <w:jc w:val="left"/>
              <w:rPr>
                <w:rFonts w:ascii="Microsoft JhengHei"/>
                <w:b/>
                <w:sz w:val="21"/>
              </w:rPr>
            </w:pPr>
          </w:p>
          <w:p>
            <w:pPr>
              <w:pStyle w:val="TableParagraph"/>
              <w:ind w:left="32"/>
              <w:rPr>
                <w:sz w:val="20"/>
              </w:rPr>
            </w:pPr>
            <w:r>
              <w:rPr>
                <w:sz w:val="20"/>
              </w:rPr>
              <w:t>上肢機能障害</w:t>
            </w:r>
          </w:p>
          <w:p>
            <w:pPr>
              <w:pStyle w:val="TableParagraph"/>
              <w:spacing w:before="6"/>
              <w:ind w:left="32"/>
              <w:rPr>
                <w:sz w:val="20"/>
              </w:rPr>
            </w:pPr>
            <w:r>
              <w:rPr>
                <w:sz w:val="20"/>
              </w:rPr>
              <w:t>（註9）</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兩上肢肩、肘及腕關節均永久喪失機能者。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2</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90%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兩上肢肩、肘及腕關節中，各有二大關節永久喪失機能者。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80%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兩上肢肩、肘及腕關節中，各有一大關節永久喪失機能者。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50%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一上肢肩、肘及腕關節均永久喪失機能者。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50%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一上肢肩、肘及腕關節中，有二大關節永久喪失機能者。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40%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8-3-6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一上肢肩、肘及腕關節中，有一大關節永久喪失機能者。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30%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8-3-7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兩上肢肩、肘及腕關節均永久遺存顯著運動障害者。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4</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70%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8-3-8</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
              <w:jc w:val="left"/>
              <w:rPr>
                <w:sz w:val="20"/>
              </w:rPr>
            </w:pPr>
            <w:r>
              <w:rPr>
                <w:spacing w:val="-3"/>
                <w:w w:val="95"/>
                <w:sz w:val="20"/>
              </w:rPr>
              <w:t>兩上肢肩、肘及腕關節中，各有二大關節永久遺存顯著運動障</w:t>
            </w:r>
          </w:p>
          <w:p>
            <w:pPr>
              <w:pStyle w:val="TableParagraph"/>
              <w:spacing w:line="249" w:lineRule="exact" w:before="5"/>
              <w:jc w:val="left"/>
              <w:rPr>
                <w:sz w:val="20"/>
              </w:rPr>
            </w:pPr>
            <w:r>
              <w:rPr>
                <w:spacing w:val="-3"/>
                <w:w w:val="95"/>
                <w:sz w:val="20"/>
              </w:rPr>
              <w:t>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21"/>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before="121"/>
              <w:ind w:left="87" w:right="39"/>
              <w:rPr>
                <w:sz w:val="20"/>
              </w:rPr>
            </w:pPr>
            <w:r>
              <w:rPr>
                <w:sz w:val="20"/>
              </w:rPr>
              <w:t>60%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8-3-9</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
              <w:jc w:val="left"/>
              <w:rPr>
                <w:sz w:val="20"/>
              </w:rPr>
            </w:pPr>
            <w:r>
              <w:rPr>
                <w:spacing w:val="-3"/>
                <w:w w:val="95"/>
                <w:sz w:val="20"/>
              </w:rPr>
              <w:t>兩上肢肩、肘及腕關節中，各有一大關節永久遺存顯著運動障</w:t>
            </w:r>
          </w:p>
          <w:p>
            <w:pPr>
              <w:pStyle w:val="TableParagraph"/>
              <w:spacing w:line="249" w:lineRule="exact" w:before="5"/>
              <w:jc w:val="left"/>
              <w:rPr>
                <w:sz w:val="20"/>
              </w:rPr>
            </w:pPr>
            <w:r>
              <w:rPr>
                <w:spacing w:val="-3"/>
                <w:w w:val="95"/>
                <w:sz w:val="20"/>
              </w:rPr>
              <w:t>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21"/>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121"/>
              <w:ind w:left="87" w:right="39"/>
              <w:rPr>
                <w:sz w:val="20"/>
              </w:rPr>
            </w:pPr>
            <w:r>
              <w:rPr>
                <w:sz w:val="20"/>
              </w:rPr>
              <w:t>40%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 w:right="83"/>
              <w:rPr>
                <w:sz w:val="20"/>
              </w:rPr>
            </w:pPr>
            <w:r>
              <w:rPr>
                <w:sz w:val="20"/>
              </w:rPr>
              <w:t>8-3-10</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一上肢肩、肘及腕關節均永久遺存顯著運動障害者。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40%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9"/>
              <w:ind w:left="116" w:right="83"/>
              <w:rPr>
                <w:sz w:val="20"/>
              </w:rPr>
            </w:pPr>
            <w:r>
              <w:rPr>
                <w:sz w:val="20"/>
              </w:rPr>
              <w:t>8-3-11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
              <w:jc w:val="left"/>
              <w:rPr>
                <w:sz w:val="20"/>
              </w:rPr>
            </w:pPr>
            <w:r>
              <w:rPr>
                <w:spacing w:val="-3"/>
                <w:w w:val="95"/>
                <w:sz w:val="20"/>
              </w:rPr>
              <w:t>一上肢肩、肘及腕關節中，有二大關節永久遺存顯著運動障害</w:t>
            </w:r>
          </w:p>
          <w:p>
            <w:pPr>
              <w:pStyle w:val="TableParagraph"/>
              <w:spacing w:line="252" w:lineRule="exact" w:before="3"/>
              <w:jc w:val="left"/>
              <w:rPr>
                <w:sz w:val="20"/>
              </w:rPr>
            </w:pPr>
            <w:r>
              <w:rPr>
                <w:spacing w:val="-3"/>
                <w:w w:val="95"/>
                <w:sz w:val="20"/>
              </w:rPr>
              <w:t>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9"/>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before="119"/>
              <w:ind w:left="87" w:right="39"/>
              <w:rPr>
                <w:sz w:val="20"/>
              </w:rPr>
            </w:pPr>
            <w:r>
              <w:rPr>
                <w:sz w:val="20"/>
              </w:rPr>
              <w:t>30%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6" w:right="83"/>
              <w:rPr>
                <w:sz w:val="20"/>
              </w:rPr>
            </w:pPr>
            <w:r>
              <w:rPr>
                <w:sz w:val="20"/>
              </w:rPr>
              <w:t>8-3-12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兩上肢肩、肘及腕關節均永久遺存運動障害者。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50%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 w:right="83"/>
              <w:rPr>
                <w:sz w:val="20"/>
              </w:rPr>
            </w:pPr>
            <w:r>
              <w:rPr>
                <w:sz w:val="20"/>
              </w:rPr>
              <w:t>8-3-13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一上肢肩、肘及腕關節均永久遺存運動障害者。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20%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spacing w:before="9"/>
              <w:ind w:left="0"/>
              <w:jc w:val="left"/>
              <w:rPr>
                <w:rFonts w:ascii="Microsoft JhengHei"/>
                <w:b/>
                <w:sz w:val="23"/>
              </w:rPr>
            </w:pPr>
          </w:p>
          <w:p>
            <w:pPr>
              <w:pStyle w:val="TableParagraph"/>
              <w:spacing w:before="1"/>
              <w:ind w:left="32"/>
              <w:rPr>
                <w:sz w:val="20"/>
              </w:rPr>
            </w:pPr>
            <w:r>
              <w:rPr>
                <w:sz w:val="20"/>
              </w:rPr>
              <w:t>手指機能障害</w:t>
            </w:r>
          </w:p>
          <w:p>
            <w:pPr>
              <w:pStyle w:val="TableParagraph"/>
              <w:spacing w:before="3"/>
              <w:ind w:left="30"/>
              <w:rPr>
                <w:sz w:val="20"/>
              </w:rPr>
            </w:pPr>
            <w:r>
              <w:rPr>
                <w:sz w:val="20"/>
              </w:rPr>
              <w:t>（註10）</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8-4-1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雙手十指均永久喪失機能者。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60%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8-4-2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雙手兩拇指均永久喪失機能者。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30%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8-4-3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一手五指均永久喪失機能者。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30%</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8-4-4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一手包含拇指及食指在內，共有四指永久喪失機能者。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30%</w:t>
            </w:r>
          </w:p>
        </w:tc>
      </w:tr>
      <w:tr>
        <w:trPr>
          <w:trHeight w:val="261"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83"/>
              <w:rPr>
                <w:sz w:val="20"/>
              </w:rPr>
            </w:pPr>
            <w:r>
              <w:rPr>
                <w:sz w:val="20"/>
              </w:rPr>
              <w:t>8-4-5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jc w:val="left"/>
              <w:rPr>
                <w:sz w:val="20"/>
              </w:rPr>
            </w:pPr>
            <w:r>
              <w:rPr>
                <w:spacing w:val="-2"/>
                <w:w w:val="95"/>
                <w:sz w:val="20"/>
              </w:rPr>
              <w:t>一手拇指及食指永久喪失機能者。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 w:right="52"/>
              <w:rPr>
                <w:sz w:val="20"/>
              </w:rPr>
            </w:pPr>
            <w:r>
              <w:rPr>
                <w:sz w:val="20"/>
              </w:rPr>
              <w:t>11</w:t>
            </w:r>
          </w:p>
        </w:tc>
        <w:tc>
          <w:tcPr>
            <w:tcW w:w="990" w:type="dxa"/>
            <w:tcBorders>
              <w:top w:val="single" w:sz="4" w:space="0" w:color="000000"/>
              <w:left w:val="single" w:sz="4" w:space="0" w:color="000000"/>
              <w:bottom w:val="single" w:sz="4" w:space="0" w:color="000000"/>
            </w:tcBorders>
          </w:tcPr>
          <w:p>
            <w:pPr>
              <w:pStyle w:val="TableParagraph"/>
              <w:spacing w:line="241" w:lineRule="exact"/>
              <w:ind w:left="87" w:right="39"/>
              <w:rPr>
                <w:sz w:val="20"/>
              </w:rPr>
            </w:pPr>
            <w:r>
              <w:rPr>
                <w:sz w:val="20"/>
              </w:rPr>
              <w:t>5%</w:t>
            </w:r>
          </w:p>
        </w:tc>
      </w:tr>
      <w:tr>
        <w:trPr>
          <w:trHeight w:val="258"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83"/>
              <w:rPr>
                <w:sz w:val="20"/>
              </w:rPr>
            </w:pPr>
            <w:r>
              <w:rPr>
                <w:sz w:val="20"/>
              </w:rPr>
              <w:t>8-4-6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jc w:val="left"/>
              <w:rPr>
                <w:sz w:val="20"/>
              </w:rPr>
            </w:pPr>
            <w:r>
              <w:rPr>
                <w:spacing w:val="-2"/>
                <w:w w:val="95"/>
                <w:sz w:val="20"/>
              </w:rPr>
              <w:t>一手含拇指及食指有三手指以上之機能永久完全喪失者。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39" w:lineRule="exact"/>
              <w:ind w:left="87" w:right="39"/>
              <w:rPr>
                <w:sz w:val="20"/>
              </w:rPr>
            </w:pPr>
            <w:r>
              <w:rPr>
                <w:sz w:val="20"/>
              </w:rPr>
              <w:t>20%</w:t>
            </w:r>
          </w:p>
        </w:tc>
      </w:tr>
      <w:tr>
        <w:trPr>
          <w:trHeight w:val="520" w:hRule="atLeast"/>
        </w:trPr>
        <w:tc>
          <w:tcPr>
            <w:tcW w:w="456" w:type="dxa"/>
            <w:vMerge/>
            <w:tcBorders>
              <w:top w:val="nil"/>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21"/>
              <w:ind w:left="115" w:right="83"/>
              <w:rPr>
                <w:sz w:val="20"/>
              </w:rPr>
            </w:pPr>
            <w:r>
              <w:rPr>
                <w:sz w:val="20"/>
              </w:rPr>
              <w:t>8-4-7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5"/>
              <w:jc w:val="left"/>
              <w:rPr>
                <w:sz w:val="20"/>
              </w:rPr>
            </w:pPr>
            <w:r>
              <w:rPr>
                <w:spacing w:val="-3"/>
                <w:w w:val="95"/>
                <w:sz w:val="20"/>
              </w:rPr>
              <w:t>一手拇指或食指及其他任何手指，共有三指以上永久喪失機能</w:t>
            </w:r>
          </w:p>
          <w:p>
            <w:pPr>
              <w:pStyle w:val="TableParagraph"/>
              <w:spacing w:line="249" w:lineRule="exact" w:before="5"/>
              <w:jc w:val="left"/>
              <w:rPr>
                <w:sz w:val="20"/>
              </w:rPr>
            </w:pPr>
            <w:r>
              <w:rPr>
                <w:spacing w:val="-3"/>
                <w:w w:val="95"/>
                <w:sz w:val="20"/>
              </w:rPr>
              <w:t>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21"/>
              <w:ind w:left="87" w:right="52"/>
              <w:rPr>
                <w:sz w:val="20"/>
              </w:rPr>
            </w:pPr>
            <w:r>
              <w:rPr>
                <w:sz w:val="20"/>
              </w:rPr>
              <w:t>10</w:t>
            </w:r>
          </w:p>
        </w:tc>
        <w:tc>
          <w:tcPr>
            <w:tcW w:w="990" w:type="dxa"/>
            <w:tcBorders>
              <w:top w:val="single" w:sz="4" w:space="0" w:color="000000"/>
              <w:left w:val="single" w:sz="4" w:space="0" w:color="000000"/>
              <w:bottom w:val="single" w:sz="4" w:space="0" w:color="000000"/>
            </w:tcBorders>
          </w:tcPr>
          <w:p>
            <w:pPr>
              <w:pStyle w:val="TableParagraph"/>
              <w:spacing w:before="121"/>
              <w:ind w:left="87" w:right="39"/>
              <w:rPr>
                <w:sz w:val="20"/>
              </w:rPr>
            </w:pPr>
            <w:r>
              <w:rPr>
                <w:sz w:val="20"/>
              </w:rPr>
              <w:t>10%</w:t>
            </w:r>
          </w:p>
        </w:tc>
      </w:tr>
      <w:tr>
        <w:trPr>
          <w:trHeight w:val="251" w:hRule="atLeast"/>
        </w:trPr>
        <w:tc>
          <w:tcPr>
            <w:tcW w:w="456" w:type="dxa"/>
            <w:vMerge w:val="restart"/>
            <w:tcBorders>
              <w:top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9"/>
              <w:ind w:left="0"/>
              <w:jc w:val="left"/>
              <w:rPr>
                <w:rFonts w:ascii="Microsoft JhengHei"/>
                <w:b/>
                <w:sz w:val="20"/>
              </w:rPr>
            </w:pPr>
          </w:p>
          <w:p>
            <w:pPr>
              <w:pStyle w:val="TableParagraph"/>
              <w:spacing w:line="244" w:lineRule="auto"/>
              <w:ind w:left="126" w:right="108"/>
              <w:jc w:val="both"/>
              <w:rPr>
                <w:sz w:val="20"/>
              </w:rPr>
            </w:pPr>
            <w:r>
              <w:rPr>
                <w:sz w:val="20"/>
              </w:rPr>
              <w:t>９下肢</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ind w:left="0"/>
              <w:jc w:val="left"/>
              <w:rPr>
                <w:rFonts w:ascii="Microsoft JhengHei"/>
                <w:b/>
                <w:sz w:val="14"/>
              </w:rPr>
            </w:pPr>
          </w:p>
          <w:p>
            <w:pPr>
              <w:pStyle w:val="TableParagraph"/>
              <w:ind w:left="48"/>
              <w:jc w:val="left"/>
              <w:rPr>
                <w:sz w:val="20"/>
              </w:rPr>
            </w:pPr>
            <w:r>
              <w:rPr>
                <w:sz w:val="20"/>
              </w:rPr>
              <w:t>下肢缺損障害</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15" w:right="83"/>
              <w:rPr>
                <w:sz w:val="20"/>
              </w:rPr>
            </w:pPr>
            <w:r>
              <w:rPr>
                <w:sz w:val="20"/>
              </w:rPr>
              <w:t>9-1-1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jc w:val="left"/>
              <w:rPr>
                <w:sz w:val="20"/>
              </w:rPr>
            </w:pPr>
            <w:r>
              <w:rPr>
                <w:spacing w:val="-2"/>
                <w:w w:val="95"/>
                <w:sz w:val="20"/>
              </w:rPr>
              <w:t>兩下肢足踝關節缺失者。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4"/>
              <w:rPr>
                <w:sz w:val="20"/>
              </w:rPr>
            </w:pPr>
            <w:r>
              <w:rPr>
                <w:w w:val="99"/>
                <w:sz w:val="20"/>
              </w:rPr>
              <w:t>1</w:t>
            </w:r>
          </w:p>
        </w:tc>
        <w:tc>
          <w:tcPr>
            <w:tcW w:w="990" w:type="dxa"/>
            <w:tcBorders>
              <w:top w:val="single" w:sz="4" w:space="0" w:color="000000"/>
              <w:left w:val="single" w:sz="4" w:space="0" w:color="000000"/>
              <w:bottom w:val="single" w:sz="4" w:space="0" w:color="000000"/>
            </w:tcBorders>
          </w:tcPr>
          <w:p>
            <w:pPr>
              <w:pStyle w:val="TableParagraph"/>
              <w:spacing w:line="231" w:lineRule="exact"/>
              <w:ind w:left="87" w:right="39"/>
              <w:rPr>
                <w:sz w:val="20"/>
              </w:rPr>
            </w:pPr>
            <w:r>
              <w:rPr>
                <w:sz w:val="20"/>
              </w:rPr>
              <w:t>100%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一下肢髖、膝及足踝關節中，有二大關節以上缺失者。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60%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一下肢足踝關節缺失者。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50%</w:t>
            </w:r>
          </w:p>
        </w:tc>
      </w:tr>
      <w:tr>
        <w:trPr>
          <w:trHeight w:val="500" w:hRule="atLeast"/>
        </w:trPr>
        <w:tc>
          <w:tcPr>
            <w:tcW w:w="456" w:type="dxa"/>
            <w:vMerge/>
            <w:tcBorders>
              <w:top w:val="nil"/>
              <w:right w:val="single" w:sz="4" w:space="0" w:color="000000"/>
            </w:tcBorders>
          </w:tcPr>
          <w:p>
            <w:pPr>
              <w:rPr>
                <w:sz w:val="2"/>
                <w:szCs w:val="2"/>
              </w:rPr>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47"/>
              <w:jc w:val="left"/>
              <w:rPr>
                <w:sz w:val="20"/>
              </w:rPr>
            </w:pPr>
            <w:r>
              <w:rPr>
                <w:w w:val="95"/>
                <w:sz w:val="20"/>
              </w:rPr>
              <w:t>縮短障害</w:t>
            </w:r>
          </w:p>
          <w:p>
            <w:pPr>
              <w:pStyle w:val="TableParagraph"/>
              <w:spacing w:line="242" w:lineRule="exact" w:before="3"/>
              <w:ind w:left="247"/>
              <w:jc w:val="left"/>
              <w:rPr>
                <w:sz w:val="20"/>
              </w:rPr>
            </w:pPr>
            <w:r>
              <w:rPr>
                <w:w w:val="95"/>
                <w:sz w:val="20"/>
              </w:rPr>
              <w:t>（註11）</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right="83"/>
              <w:rPr>
                <w:sz w:val="20"/>
              </w:rPr>
            </w:pPr>
            <w:r>
              <w:rPr>
                <w:sz w:val="20"/>
              </w:rPr>
              <w:t>9-2-1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before="109"/>
              <w:jc w:val="left"/>
              <w:rPr>
                <w:sz w:val="20"/>
              </w:rPr>
            </w:pPr>
            <w:r>
              <w:rPr>
                <w:spacing w:val="-2"/>
                <w:w w:val="95"/>
                <w:sz w:val="20"/>
              </w:rPr>
              <w:t>一下肢永久縮短五公分以上者。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9"/>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109"/>
              <w:ind w:left="87" w:right="39"/>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
              <w:rPr>
                <w:sz w:val="20"/>
              </w:rPr>
            </w:pPr>
            <w:r>
              <w:rPr>
                <w:sz w:val="20"/>
              </w:rPr>
              <w:t>足趾缺損障害</w:t>
            </w:r>
          </w:p>
          <w:p>
            <w:pPr>
              <w:pStyle w:val="TableParagraph"/>
              <w:spacing w:line="247" w:lineRule="exact" w:before="3"/>
              <w:ind w:left="30"/>
              <w:rPr>
                <w:sz w:val="20"/>
              </w:rPr>
            </w:pPr>
            <w:r>
              <w:rPr>
                <w:sz w:val="20"/>
              </w:rPr>
              <w:t>（註12）</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9-3-1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雙足十趾均缺失者。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60%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9-3-2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一足五趾均缺失者。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40%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ind w:left="0"/>
              <w:jc w:val="left"/>
              <w:rPr>
                <w:rFonts w:ascii="Microsoft JhengHei"/>
                <w:b/>
                <w:sz w:val="20"/>
              </w:rPr>
            </w:pPr>
          </w:p>
          <w:p>
            <w:pPr>
              <w:pStyle w:val="TableParagraph"/>
              <w:spacing w:before="3"/>
              <w:ind w:left="0"/>
              <w:jc w:val="left"/>
              <w:rPr>
                <w:rFonts w:ascii="Microsoft JhengHei"/>
                <w:b/>
                <w:sz w:val="21"/>
              </w:rPr>
            </w:pPr>
          </w:p>
          <w:p>
            <w:pPr>
              <w:pStyle w:val="TableParagraph"/>
              <w:ind w:left="32"/>
              <w:rPr>
                <w:sz w:val="20"/>
              </w:rPr>
            </w:pPr>
            <w:r>
              <w:rPr>
                <w:sz w:val="20"/>
              </w:rPr>
              <w:t>下肢機能障害</w:t>
            </w:r>
          </w:p>
          <w:p>
            <w:pPr>
              <w:pStyle w:val="TableParagraph"/>
              <w:spacing w:before="3"/>
              <w:ind w:left="30"/>
              <w:rPr>
                <w:sz w:val="20"/>
              </w:rPr>
            </w:pPr>
            <w:r>
              <w:rPr>
                <w:sz w:val="20"/>
              </w:rPr>
              <w:t>（註13）</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9-4-1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兩下肢髖、膝及足踝關節均永久喪失機能者。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2</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90%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9-4-2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44"/>
              <w:jc w:val="left"/>
              <w:rPr>
                <w:sz w:val="20"/>
              </w:rPr>
            </w:pPr>
            <w:r>
              <w:rPr>
                <w:spacing w:val="-2"/>
                <w:w w:val="95"/>
                <w:sz w:val="20"/>
              </w:rPr>
              <w:t>兩下肢髖、膝及足踝關節中，各有二大關節永久喪失機能者。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3</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80%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9-4-3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44"/>
              <w:jc w:val="left"/>
              <w:rPr>
                <w:sz w:val="20"/>
              </w:rPr>
            </w:pPr>
            <w:r>
              <w:rPr>
                <w:spacing w:val="-2"/>
                <w:w w:val="95"/>
                <w:sz w:val="20"/>
              </w:rPr>
              <w:t>兩下肢髖、膝及足踝關節中，各有一大關節永久喪失機能者。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50%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9-4-4</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一下肢髖、膝及足踝關節均永久喪失機能者。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50%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9-4-5</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一下肢髖、膝及足踝關節中，有二大關節永久喪失機能者。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9-4-6</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一下肢髖、膝及足踝關節中，有一大關節永久喪失機能者。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30%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5" w:right="83"/>
              <w:rPr>
                <w:sz w:val="20"/>
              </w:rPr>
            </w:pPr>
            <w:r>
              <w:rPr>
                <w:sz w:val="20"/>
              </w:rPr>
              <w:t>9-4-7</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兩下肢髖、膝及足踝關節均永久遺存顯著運動障害者。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4</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70%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right="83"/>
              <w:rPr>
                <w:sz w:val="20"/>
              </w:rPr>
            </w:pPr>
            <w:r>
              <w:rPr>
                <w:sz w:val="20"/>
              </w:rPr>
              <w:t>9-4-8</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5"/>
              <w:jc w:val="left"/>
              <w:rPr>
                <w:sz w:val="20"/>
              </w:rPr>
            </w:pPr>
            <w:r>
              <w:rPr>
                <w:spacing w:val="-3"/>
                <w:w w:val="95"/>
                <w:sz w:val="20"/>
              </w:rPr>
              <w:t>兩下肢髖、膝及足踝關節中，各有二大關節永久遺存顯著運動</w:t>
            </w:r>
          </w:p>
          <w:p>
            <w:pPr>
              <w:pStyle w:val="TableParagraph"/>
              <w:spacing w:line="239" w:lineRule="exact" w:before="5"/>
              <w:jc w:val="left"/>
              <w:rPr>
                <w:sz w:val="20"/>
              </w:rPr>
            </w:pPr>
            <w:r>
              <w:rPr>
                <w:spacing w:val="-3"/>
                <w:w w:val="95"/>
                <w:sz w:val="20"/>
              </w:rPr>
              <w:t>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9"/>
              <w:ind w:left="34"/>
              <w:rPr>
                <w:sz w:val="20"/>
              </w:rPr>
            </w:pPr>
            <w:r>
              <w:rPr>
                <w:w w:val="99"/>
                <w:sz w:val="20"/>
              </w:rPr>
              <w:t>5</w:t>
            </w:r>
          </w:p>
        </w:tc>
        <w:tc>
          <w:tcPr>
            <w:tcW w:w="990" w:type="dxa"/>
            <w:tcBorders>
              <w:top w:val="single" w:sz="4" w:space="0" w:color="000000"/>
              <w:left w:val="single" w:sz="4" w:space="0" w:color="000000"/>
              <w:bottom w:val="single" w:sz="4" w:space="0" w:color="000000"/>
            </w:tcBorders>
          </w:tcPr>
          <w:p>
            <w:pPr>
              <w:pStyle w:val="TableParagraph"/>
              <w:spacing w:before="109"/>
              <w:ind w:left="87" w:right="39"/>
              <w:rPr>
                <w:sz w:val="20"/>
              </w:rPr>
            </w:pPr>
            <w:r>
              <w:rPr>
                <w:sz w:val="20"/>
              </w:rPr>
              <w:t>60%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09"/>
              <w:ind w:left="115" w:right="83"/>
              <w:rPr>
                <w:sz w:val="20"/>
              </w:rPr>
            </w:pPr>
            <w:r>
              <w:rPr>
                <w:sz w:val="20"/>
              </w:rPr>
              <w:t>9-4-9</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5"/>
              <w:jc w:val="left"/>
              <w:rPr>
                <w:sz w:val="20"/>
              </w:rPr>
            </w:pPr>
            <w:r>
              <w:rPr>
                <w:spacing w:val="-3"/>
                <w:w w:val="95"/>
                <w:sz w:val="20"/>
              </w:rPr>
              <w:t>兩下肢髖、膝及足踝關節中，各有一大關節永久遺存顯著運動</w:t>
            </w:r>
          </w:p>
          <w:p>
            <w:pPr>
              <w:pStyle w:val="TableParagraph"/>
              <w:spacing w:line="242" w:lineRule="exact" w:before="3"/>
              <w:jc w:val="left"/>
              <w:rPr>
                <w:sz w:val="20"/>
              </w:rPr>
            </w:pPr>
            <w:r>
              <w:rPr>
                <w:spacing w:val="-3"/>
                <w:w w:val="95"/>
                <w:sz w:val="20"/>
              </w:rPr>
              <w:t>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09"/>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before="109"/>
              <w:ind w:left="87" w:right="39"/>
              <w:rPr>
                <w:sz w:val="20"/>
              </w:rPr>
            </w:pPr>
            <w:r>
              <w:rPr>
                <w:sz w:val="20"/>
              </w:rPr>
              <w:t>40%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6" w:right="83"/>
              <w:rPr>
                <w:sz w:val="20"/>
              </w:rPr>
            </w:pPr>
            <w:r>
              <w:rPr>
                <w:sz w:val="20"/>
              </w:rPr>
              <w:t>9-4-10</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一下肢髖、膝及足踝關節均遺存永久顯著運動障害者。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40%</w:t>
            </w:r>
          </w:p>
        </w:tc>
      </w:tr>
      <w:tr>
        <w:trPr>
          <w:trHeight w:val="500"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before="111"/>
              <w:ind w:left="116" w:right="83"/>
              <w:rPr>
                <w:sz w:val="20"/>
              </w:rPr>
            </w:pPr>
            <w:r>
              <w:rPr>
                <w:sz w:val="20"/>
              </w:rPr>
              <w:t>9-4-11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5"/>
              <w:jc w:val="left"/>
              <w:rPr>
                <w:sz w:val="20"/>
              </w:rPr>
            </w:pPr>
            <w:r>
              <w:rPr>
                <w:spacing w:val="-3"/>
                <w:w w:val="95"/>
                <w:sz w:val="20"/>
              </w:rPr>
              <w:t>一下肢髖、膝及足踝關節中，有二大關節永久遺存顯著運動障</w:t>
            </w:r>
          </w:p>
          <w:p>
            <w:pPr>
              <w:pStyle w:val="TableParagraph"/>
              <w:spacing w:line="239" w:lineRule="exact" w:before="3"/>
              <w:jc w:val="left"/>
              <w:rPr>
                <w:sz w:val="20"/>
              </w:rPr>
            </w:pPr>
            <w:r>
              <w:rPr>
                <w:spacing w:val="-3"/>
                <w:w w:val="95"/>
                <w:sz w:val="20"/>
              </w:rPr>
              <w:t>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111"/>
              <w:ind w:left="34"/>
              <w:rPr>
                <w:sz w:val="20"/>
              </w:rPr>
            </w:pPr>
            <w:r>
              <w:rPr>
                <w:w w:val="99"/>
                <w:sz w:val="20"/>
              </w:rPr>
              <w:t>8</w:t>
            </w:r>
          </w:p>
        </w:tc>
        <w:tc>
          <w:tcPr>
            <w:tcW w:w="990" w:type="dxa"/>
            <w:tcBorders>
              <w:top w:val="single" w:sz="4" w:space="0" w:color="000000"/>
              <w:left w:val="single" w:sz="4" w:space="0" w:color="000000"/>
              <w:bottom w:val="single" w:sz="4" w:space="0" w:color="000000"/>
            </w:tcBorders>
          </w:tcPr>
          <w:p>
            <w:pPr>
              <w:pStyle w:val="TableParagraph"/>
              <w:spacing w:before="111"/>
              <w:ind w:left="87" w:right="39"/>
              <w:rPr>
                <w:sz w:val="20"/>
              </w:rPr>
            </w:pPr>
            <w:r>
              <w:rPr>
                <w:sz w:val="20"/>
              </w:rPr>
              <w:t>30%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6" w:right="83"/>
              <w:rPr>
                <w:sz w:val="20"/>
              </w:rPr>
            </w:pPr>
            <w:r>
              <w:rPr>
                <w:sz w:val="20"/>
              </w:rPr>
              <w:t>9-4-12</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兩下肢髖、膝及足踝關節均永久遺存運動障害者。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6</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50%</w:t>
            </w:r>
          </w:p>
        </w:tc>
      </w:tr>
      <w:tr>
        <w:trPr>
          <w:trHeight w:val="241"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16" w:right="83"/>
              <w:rPr>
                <w:sz w:val="20"/>
              </w:rPr>
            </w:pPr>
            <w:r>
              <w:rPr>
                <w:sz w:val="20"/>
              </w:rPr>
              <w:t>9-4-13</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jc w:val="left"/>
              <w:rPr>
                <w:sz w:val="20"/>
              </w:rPr>
            </w:pPr>
            <w:r>
              <w:rPr>
                <w:spacing w:val="-2"/>
                <w:w w:val="95"/>
                <w:sz w:val="20"/>
              </w:rPr>
              <w:t>一下肢髖、膝及足踝關節均永久遺存運動障害者。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34"/>
              <w:rPr>
                <w:sz w:val="20"/>
              </w:rPr>
            </w:pPr>
            <w:r>
              <w:rPr>
                <w:w w:val="99"/>
                <w:sz w:val="20"/>
              </w:rPr>
              <w:t>9</w:t>
            </w:r>
          </w:p>
        </w:tc>
        <w:tc>
          <w:tcPr>
            <w:tcW w:w="990" w:type="dxa"/>
            <w:tcBorders>
              <w:top w:val="single" w:sz="4" w:space="0" w:color="000000"/>
              <w:left w:val="single" w:sz="4" w:space="0" w:color="000000"/>
              <w:bottom w:val="single" w:sz="4" w:space="0" w:color="000000"/>
            </w:tcBorders>
          </w:tcPr>
          <w:p>
            <w:pPr>
              <w:pStyle w:val="TableParagraph"/>
              <w:spacing w:line="221" w:lineRule="exact"/>
              <w:ind w:left="87" w:right="39"/>
              <w:rPr>
                <w:sz w:val="20"/>
              </w:rPr>
            </w:pPr>
            <w:r>
              <w:rPr>
                <w:sz w:val="20"/>
              </w:rPr>
              <w:t>20%</w:t>
            </w:r>
          </w:p>
        </w:tc>
      </w:tr>
      <w:tr>
        <w:trPr>
          <w:trHeight w:val="238" w:hRule="atLeast"/>
        </w:trPr>
        <w:tc>
          <w:tcPr>
            <w:tcW w:w="456" w:type="dxa"/>
            <w:vMerge/>
            <w:tcBorders>
              <w:top w:val="nil"/>
              <w:right w:val="single" w:sz="4" w:space="0" w:color="000000"/>
            </w:tcBorders>
          </w:tcPr>
          <w:p>
            <w:pPr>
              <w:rPr>
                <w:sz w:val="2"/>
                <w:szCs w:val="2"/>
              </w:rPr>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exact"/>
              <w:ind w:left="32"/>
              <w:rPr>
                <w:sz w:val="20"/>
              </w:rPr>
            </w:pPr>
            <w:r>
              <w:rPr>
                <w:sz w:val="20"/>
              </w:rPr>
              <w:t>足趾機能障害</w:t>
            </w:r>
          </w:p>
          <w:p>
            <w:pPr>
              <w:pStyle w:val="TableParagraph"/>
              <w:spacing w:line="254" w:lineRule="exact" w:before="3"/>
              <w:ind w:left="30"/>
              <w:rPr>
                <w:sz w:val="20"/>
              </w:rPr>
            </w:pPr>
            <w:r>
              <w:rPr>
                <w:sz w:val="20"/>
              </w:rPr>
              <w:t>（註14）</w:t>
            </w:r>
          </w:p>
        </w:tc>
        <w:tc>
          <w:tcPr>
            <w:tcW w:w="8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15" w:right="83"/>
              <w:rPr>
                <w:sz w:val="20"/>
              </w:rPr>
            </w:pPr>
            <w:r>
              <w:rPr>
                <w:sz w:val="20"/>
              </w:rPr>
              <w:t>9-5-1</w:t>
            </w:r>
          </w:p>
        </w:tc>
        <w:tc>
          <w:tcPr>
            <w:tcW w:w="510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jc w:val="left"/>
              <w:rPr>
                <w:sz w:val="20"/>
              </w:rPr>
            </w:pPr>
            <w:r>
              <w:rPr>
                <w:spacing w:val="-2"/>
                <w:w w:val="95"/>
                <w:sz w:val="20"/>
              </w:rPr>
              <w:t>雙足十趾均永久喪失機能者。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4"/>
              <w:rPr>
                <w:sz w:val="20"/>
              </w:rPr>
            </w:pPr>
            <w:r>
              <w:rPr>
                <w:w w:val="99"/>
                <w:sz w:val="20"/>
              </w:rPr>
              <w:t>7</w:t>
            </w:r>
          </w:p>
        </w:tc>
        <w:tc>
          <w:tcPr>
            <w:tcW w:w="990" w:type="dxa"/>
            <w:tcBorders>
              <w:top w:val="single" w:sz="4" w:space="0" w:color="000000"/>
              <w:left w:val="single" w:sz="4" w:space="0" w:color="000000"/>
              <w:bottom w:val="single" w:sz="4" w:space="0" w:color="000000"/>
            </w:tcBorders>
          </w:tcPr>
          <w:p>
            <w:pPr>
              <w:pStyle w:val="TableParagraph"/>
              <w:spacing w:line="219" w:lineRule="exact"/>
              <w:ind w:left="87" w:right="39"/>
              <w:rPr>
                <w:sz w:val="20"/>
              </w:rPr>
            </w:pPr>
            <w:r>
              <w:rPr>
                <w:sz w:val="20"/>
              </w:rPr>
              <w:t>40%</w:t>
            </w:r>
          </w:p>
        </w:tc>
      </w:tr>
      <w:tr>
        <w:trPr>
          <w:trHeight w:val="248" w:hRule="atLeast"/>
        </w:trPr>
        <w:tc>
          <w:tcPr>
            <w:tcW w:w="456" w:type="dxa"/>
            <w:vMerge/>
            <w:tcBorders>
              <w:top w:val="nil"/>
              <w:right w:val="single" w:sz="4" w:space="0" w:color="000000"/>
            </w:tcBorders>
          </w:tcPr>
          <w:p>
            <w:pPr>
              <w:rPr>
                <w:sz w:val="2"/>
                <w:szCs w:val="2"/>
              </w:rPr>
            </w:pPr>
          </w:p>
        </w:tc>
        <w:tc>
          <w:tcPr>
            <w:tcW w:w="1274" w:type="dxa"/>
            <w:vMerge/>
            <w:tcBorders>
              <w:top w:val="nil"/>
              <w:left w:val="single" w:sz="4" w:space="0" w:color="000000"/>
              <w:right w:val="single" w:sz="4" w:space="0" w:color="000000"/>
            </w:tcBorders>
          </w:tcPr>
          <w:p>
            <w:pPr>
              <w:rPr>
                <w:sz w:val="2"/>
                <w:szCs w:val="2"/>
              </w:rPr>
            </w:pPr>
          </w:p>
        </w:tc>
        <w:tc>
          <w:tcPr>
            <w:tcW w:w="849" w:type="dxa"/>
            <w:tcBorders>
              <w:top w:val="single" w:sz="4" w:space="0" w:color="000000"/>
              <w:left w:val="single" w:sz="4" w:space="0" w:color="000000"/>
              <w:right w:val="single" w:sz="4" w:space="0" w:color="000000"/>
            </w:tcBorders>
          </w:tcPr>
          <w:p>
            <w:pPr>
              <w:pStyle w:val="TableParagraph"/>
              <w:spacing w:line="228" w:lineRule="exact"/>
              <w:ind w:left="115" w:right="83"/>
              <w:rPr>
                <w:sz w:val="20"/>
              </w:rPr>
            </w:pPr>
            <w:r>
              <w:rPr>
                <w:sz w:val="20"/>
              </w:rPr>
              <w:t>9-5-2</w:t>
            </w:r>
          </w:p>
        </w:tc>
        <w:tc>
          <w:tcPr>
            <w:tcW w:w="5105" w:type="dxa"/>
            <w:tcBorders>
              <w:top w:val="single" w:sz="4" w:space="0" w:color="000000"/>
              <w:left w:val="single" w:sz="4" w:space="0" w:color="000000"/>
              <w:right w:val="single" w:sz="4" w:space="0" w:color="000000"/>
            </w:tcBorders>
          </w:tcPr>
          <w:p>
            <w:pPr>
              <w:pStyle w:val="TableParagraph"/>
              <w:spacing w:line="228" w:lineRule="exact"/>
              <w:jc w:val="left"/>
              <w:rPr>
                <w:sz w:val="20"/>
              </w:rPr>
            </w:pPr>
            <w:r>
              <w:rPr>
                <w:spacing w:val="-2"/>
                <w:w w:val="95"/>
                <w:sz w:val="20"/>
              </w:rPr>
              <w:t>一足五趾均永久喪失機能者。</w:t>
            </w:r>
          </w:p>
        </w:tc>
        <w:tc>
          <w:tcPr>
            <w:tcW w:w="991" w:type="dxa"/>
            <w:tcBorders>
              <w:top w:val="single" w:sz="4" w:space="0" w:color="000000"/>
              <w:left w:val="single" w:sz="4" w:space="0" w:color="000000"/>
              <w:right w:val="single" w:sz="4" w:space="0" w:color="000000"/>
            </w:tcBorders>
          </w:tcPr>
          <w:p>
            <w:pPr>
              <w:pStyle w:val="TableParagraph"/>
              <w:spacing w:line="228" w:lineRule="exact"/>
              <w:ind w:left="34"/>
              <w:rPr>
                <w:sz w:val="20"/>
              </w:rPr>
            </w:pPr>
            <w:r>
              <w:rPr>
                <w:w w:val="99"/>
                <w:sz w:val="20"/>
              </w:rPr>
              <w:t>9</w:t>
            </w:r>
          </w:p>
        </w:tc>
        <w:tc>
          <w:tcPr>
            <w:tcW w:w="990" w:type="dxa"/>
            <w:tcBorders>
              <w:top w:val="single" w:sz="4" w:space="0" w:color="000000"/>
              <w:left w:val="single" w:sz="4" w:space="0" w:color="000000"/>
            </w:tcBorders>
          </w:tcPr>
          <w:p>
            <w:pPr>
              <w:pStyle w:val="TableParagraph"/>
              <w:spacing w:line="228" w:lineRule="exact"/>
              <w:ind w:left="87" w:right="39"/>
              <w:rPr>
                <w:sz w:val="20"/>
              </w:rPr>
            </w:pPr>
            <w:r>
              <w:rPr>
                <w:sz w:val="20"/>
              </w:rPr>
              <w:t>20%</w:t>
            </w:r>
          </w:p>
        </w:tc>
      </w:tr>
    </w:tbl>
    <w:p>
      <w:pPr>
        <w:rPr>
          <w:sz w:val="2"/>
          <w:szCs w:val="2"/>
        </w:rPr>
      </w:pPr>
      <w:r>
        <w:rPr/>
        <w:drawing>
          <wp:anchor distT="0" distB="0" distL="0" distR="0" allowOverlap="1" layoutInCell="1" locked="0" behindDoc="1" simplePos="0" relativeHeight="486329344">
            <wp:simplePos x="0" y="0"/>
            <wp:positionH relativeFrom="page">
              <wp:posOffset>2874040</wp:posOffset>
            </wp:positionH>
            <wp:positionV relativeFrom="page">
              <wp:posOffset>3140089</wp:posOffset>
            </wp:positionV>
            <wp:extent cx="1837644" cy="4428464"/>
            <wp:effectExtent l="0" t="0" r="0" b="0"/>
            <wp:wrapNone/>
            <wp:docPr id="39" name="image1.png"/>
            <wp:cNvGraphicFramePr>
              <a:graphicFrameLocks noChangeAspect="1"/>
            </wp:cNvGraphicFramePr>
            <a:graphic>
              <a:graphicData uri="http://schemas.openxmlformats.org/drawingml/2006/picture">
                <pic:pic>
                  <pic:nvPicPr>
                    <pic:cNvPr id="40" name="image1.png"/>
                    <pic:cNvPicPr/>
                  </pic:nvPicPr>
                  <pic:blipFill>
                    <a:blip r:embed="rId7" cstate="print"/>
                    <a:stretch>
                      <a:fillRect/>
                    </a:stretch>
                  </pic:blipFill>
                  <pic:spPr>
                    <a:xfrm>
                      <a:off x="0" y="0"/>
                      <a:ext cx="1837644" cy="4428464"/>
                    </a:xfrm>
                    <a:prstGeom prst="rect">
                      <a:avLst/>
                    </a:prstGeom>
                  </pic:spPr>
                </pic:pic>
              </a:graphicData>
            </a:graphic>
          </wp:anchor>
        </w:drawing>
      </w:r>
    </w:p>
    <w:p>
      <w:pPr>
        <w:spacing w:after="0"/>
        <w:rPr>
          <w:sz w:val="2"/>
          <w:szCs w:val="2"/>
        </w:rPr>
        <w:sectPr>
          <w:pgSz w:w="11910" w:h="16840"/>
          <w:pgMar w:header="0" w:footer="746" w:top="1400" w:bottom="940" w:left="980" w:right="880"/>
        </w:sectPr>
      </w:pPr>
    </w:p>
    <w:p>
      <w:pPr>
        <w:spacing w:line="310" w:lineRule="exact" w:before="0"/>
        <w:ind w:left="152" w:right="0" w:firstLine="0"/>
        <w:jc w:val="left"/>
        <w:rPr>
          <w:rFonts w:ascii="Microsoft JhengHei" w:eastAsia="Microsoft JhengHei" w:hint="eastAsia"/>
          <w:b/>
          <w:sz w:val="20"/>
        </w:rPr>
      </w:pPr>
      <w:r>
        <w:rPr>
          <w:rFonts w:ascii="Microsoft JhengHei" w:eastAsia="Microsoft JhengHei" w:hint="eastAsia"/>
          <w:b/>
          <w:sz w:val="20"/>
        </w:rPr>
        <w:t>註1：</w:t>
      </w:r>
    </w:p>
    <w:p>
      <w:pPr>
        <w:spacing w:line="235" w:lineRule="exact" w:before="0"/>
        <w:ind w:left="152" w:right="0" w:firstLine="0"/>
        <w:jc w:val="left"/>
        <w:rPr>
          <w:sz w:val="20"/>
        </w:rPr>
      </w:pPr>
      <w:r>
        <w:rPr>
          <w:sz w:val="20"/>
        </w:rPr>
        <w:t>1-1.於審定「神經障害等級」時，須有精神科、神經科、神經外科或復健科專科醫師診斷證明及相關檢驗報告</w:t>
      </w:r>
    </w:p>
    <w:p>
      <w:pPr>
        <w:spacing w:line="242" w:lineRule="auto" w:before="5"/>
        <w:ind w:left="436" w:right="251" w:firstLine="0"/>
        <w:jc w:val="both"/>
        <w:rPr>
          <w:sz w:val="20"/>
        </w:rPr>
      </w:pPr>
      <w:r>
        <w:rPr>
          <w:sz w:val="20"/>
        </w:rPr>
        <w:t>（如簡式智能評估表(MMSE)、失能評估表(modified</w:t>
      </w:r>
      <w:r>
        <w:rPr>
          <w:spacing w:val="10"/>
          <w:sz w:val="20"/>
        </w:rPr>
        <w:t> </w:t>
      </w:r>
      <w:r>
        <w:rPr>
          <w:sz w:val="20"/>
        </w:rPr>
        <w:t>Rankin</w:t>
      </w:r>
      <w:r>
        <w:rPr>
          <w:spacing w:val="10"/>
          <w:sz w:val="20"/>
        </w:rPr>
        <w:t> </w:t>
      </w:r>
      <w:r>
        <w:rPr>
          <w:sz w:val="20"/>
        </w:rPr>
        <w:t>Scale</w:t>
      </w:r>
      <w:r>
        <w:rPr>
          <w:spacing w:val="5"/>
          <w:sz w:val="20"/>
        </w:rPr>
        <w:t>, </w:t>
      </w:r>
      <w:r>
        <w:rPr>
          <w:sz w:val="20"/>
        </w:rPr>
        <w:t>mRS)、臨床失智評估量表(CDR)、神經</w:t>
      </w:r>
      <w:r>
        <w:rPr>
          <w:w w:val="95"/>
          <w:sz w:val="20"/>
        </w:rPr>
        <w:t>電生理檢查報告、神經系統影像檢查報告及相符之診斷檢查報告等）資料為依據，必要時保險人得另行指定</w:t>
      </w:r>
      <w:r>
        <w:rPr>
          <w:spacing w:val="134"/>
          <w:sz w:val="20"/>
        </w:rPr>
        <w:t> </w:t>
      </w:r>
      <w:r>
        <w:rPr>
          <w:sz w:val="20"/>
        </w:rPr>
        <w:t>專科醫師會同認定。</w:t>
      </w:r>
    </w:p>
    <w:p>
      <w:pPr>
        <w:pStyle w:val="ListParagraph"/>
        <w:numPr>
          <w:ilvl w:val="0"/>
          <w:numId w:val="1"/>
        </w:numPr>
        <w:tabs>
          <w:tab w:pos="1165" w:val="left" w:leader="none"/>
        </w:tabs>
        <w:spacing w:line="240" w:lineRule="auto" w:before="4" w:after="0"/>
        <w:ind w:left="1164" w:right="0" w:hanging="501"/>
        <w:jc w:val="left"/>
        <w:rPr>
          <w:sz w:val="20"/>
        </w:rPr>
      </w:pPr>
      <w:r>
        <w:rPr>
          <w:w w:val="95"/>
          <w:sz w:val="20"/>
        </w:rPr>
        <w:t>「為維持生命必要之日常生活活動」係指食物攝取、大小便始末、穿脫衣服、起居、步行、入浴等。</w:t>
      </w:r>
    </w:p>
    <w:p>
      <w:pPr>
        <w:pStyle w:val="ListParagraph"/>
        <w:numPr>
          <w:ilvl w:val="0"/>
          <w:numId w:val="1"/>
        </w:numPr>
        <w:tabs>
          <w:tab w:pos="1165" w:val="left" w:leader="none"/>
        </w:tabs>
        <w:spacing w:line="244" w:lineRule="auto" w:before="3" w:after="0"/>
        <w:ind w:left="1089" w:right="203" w:hanging="425"/>
        <w:jc w:val="both"/>
        <w:rPr>
          <w:sz w:val="20"/>
        </w:rPr>
      </w:pPr>
      <w:r>
        <w:rPr>
          <w:w w:val="95"/>
          <w:sz w:val="20"/>
        </w:rPr>
        <w:t>有失語、失認、失行等之病灶症狀、四肢麻痺、錐體外路症狀、記憶力障害、知覺障害、感情障害、</w:t>
      </w:r>
      <w:r>
        <w:rPr>
          <w:spacing w:val="39"/>
          <w:w w:val="95"/>
          <w:sz w:val="20"/>
        </w:rPr>
        <w:t> </w:t>
      </w:r>
      <w:r>
        <w:rPr>
          <w:w w:val="95"/>
          <w:sz w:val="20"/>
        </w:rPr>
        <w:t>意欲減退、人格變化等顯著障害；或者麻痺等症狀，雖為輕度，身體能力仍存，但非他人在身邊指示，</w:t>
      </w:r>
      <w:r>
        <w:rPr>
          <w:spacing w:val="1"/>
          <w:w w:val="95"/>
          <w:sz w:val="20"/>
        </w:rPr>
        <w:t> </w:t>
      </w:r>
      <w:r>
        <w:rPr>
          <w:sz w:val="20"/>
        </w:rPr>
        <w:t>無法遂行其工作者：適用第3級。</w:t>
      </w:r>
    </w:p>
    <w:p>
      <w:pPr>
        <w:pStyle w:val="ListParagraph"/>
        <w:numPr>
          <w:ilvl w:val="0"/>
          <w:numId w:val="1"/>
        </w:numPr>
        <w:tabs>
          <w:tab w:pos="1169" w:val="left" w:leader="none"/>
        </w:tabs>
        <w:spacing w:line="244" w:lineRule="auto" w:before="0" w:after="0"/>
        <w:ind w:left="1089" w:right="257" w:hanging="425"/>
        <w:jc w:val="left"/>
        <w:rPr>
          <w:sz w:val="20"/>
        </w:rPr>
      </w:pPr>
      <w:r>
        <w:rPr>
          <w:w w:val="95"/>
          <w:sz w:val="20"/>
        </w:rPr>
        <w:t>中樞神經系統障害，例如無知覺障害之錐體路及錐體外路症狀之輕度麻痺，依影像檢查始可證明之</w:t>
      </w:r>
      <w:r>
        <w:rPr>
          <w:spacing w:val="156"/>
          <w:sz w:val="20"/>
        </w:rPr>
        <w:t> </w:t>
      </w:r>
      <w:r>
        <w:rPr>
          <w:sz w:val="20"/>
        </w:rPr>
        <w:t>輕度腦萎縮、腦波異常等屬之，此等症狀須據專科醫師檢查、診斷之結果審定之。</w:t>
      </w:r>
    </w:p>
    <w:p>
      <w:pPr>
        <w:pStyle w:val="ListParagraph"/>
        <w:numPr>
          <w:ilvl w:val="0"/>
          <w:numId w:val="1"/>
        </w:numPr>
        <w:tabs>
          <w:tab w:pos="1169" w:val="left" w:leader="none"/>
        </w:tabs>
        <w:spacing w:line="244" w:lineRule="auto" w:before="0" w:after="0"/>
        <w:ind w:left="1089" w:right="257" w:hanging="425"/>
        <w:jc w:val="left"/>
        <w:rPr>
          <w:sz w:val="20"/>
        </w:rPr>
      </w:pPr>
      <w:r>
        <w:rPr>
          <w:w w:val="95"/>
          <w:sz w:val="20"/>
        </w:rPr>
        <w:t>中樞神經系統之頹廢症狀如發生於中樞神經系統以外之機能障害，應按其發現部位所定等級定之，</w:t>
      </w:r>
      <w:r>
        <w:rPr>
          <w:spacing w:val="156"/>
          <w:sz w:val="20"/>
        </w:rPr>
        <w:t> </w:t>
      </w:r>
      <w:r>
        <w:rPr>
          <w:sz w:val="20"/>
        </w:rPr>
        <w:t>如障害同時併存時，應綜合其全部症狀擇一等級定之，等級不同者，應按其中較重者定其等級。</w:t>
      </w:r>
    </w:p>
    <w:p>
      <w:pPr>
        <w:spacing w:line="242" w:lineRule="auto" w:before="0"/>
        <w:ind w:left="554" w:right="258" w:hanging="402"/>
        <w:jc w:val="left"/>
        <w:rPr>
          <w:sz w:val="20"/>
        </w:rPr>
      </w:pPr>
      <w:r>
        <w:rPr/>
        <w:drawing>
          <wp:anchor distT="0" distB="0" distL="0" distR="0" allowOverlap="1" layoutInCell="1" locked="0" behindDoc="1" simplePos="0" relativeHeight="486329856">
            <wp:simplePos x="0" y="0"/>
            <wp:positionH relativeFrom="page">
              <wp:posOffset>2874040</wp:posOffset>
            </wp:positionH>
            <wp:positionV relativeFrom="paragraph">
              <wp:posOffset>98439</wp:posOffset>
            </wp:positionV>
            <wp:extent cx="1837644" cy="4428464"/>
            <wp:effectExtent l="0" t="0" r="0" b="0"/>
            <wp:wrapNone/>
            <wp:docPr id="41" name="image1.png"/>
            <wp:cNvGraphicFramePr>
              <a:graphicFrameLocks noChangeAspect="1"/>
            </wp:cNvGraphicFramePr>
            <a:graphic>
              <a:graphicData uri="http://schemas.openxmlformats.org/drawingml/2006/picture">
                <pic:pic>
                  <pic:nvPicPr>
                    <pic:cNvPr id="42" name="image1.png"/>
                    <pic:cNvPicPr/>
                  </pic:nvPicPr>
                  <pic:blipFill>
                    <a:blip r:embed="rId7" cstate="print"/>
                    <a:stretch>
                      <a:fillRect/>
                    </a:stretch>
                  </pic:blipFill>
                  <pic:spPr>
                    <a:xfrm>
                      <a:off x="0" y="0"/>
                      <a:ext cx="1837644" cy="4428464"/>
                    </a:xfrm>
                    <a:prstGeom prst="rect">
                      <a:avLst/>
                    </a:prstGeom>
                  </pic:spPr>
                </pic:pic>
              </a:graphicData>
            </a:graphic>
          </wp:anchor>
        </w:drawing>
      </w:r>
      <w:r>
        <w:rPr>
          <w:w w:val="95"/>
          <w:sz w:val="20"/>
        </w:rPr>
        <w:t>1-2.「平衡機能障害與聽力障害」等級之審定：因頭部損傷引起聽力障害與平衡機能障害同時併存時，須綜合</w:t>
      </w:r>
      <w:r>
        <w:rPr>
          <w:spacing w:val="221"/>
          <w:sz w:val="20"/>
        </w:rPr>
        <w:t> </w:t>
      </w:r>
      <w:r>
        <w:rPr>
          <w:sz w:val="20"/>
        </w:rPr>
        <w:t>其障害狀況定其等級。</w:t>
      </w:r>
    </w:p>
    <w:p>
      <w:pPr>
        <w:spacing w:line="244" w:lineRule="auto" w:before="0"/>
        <w:ind w:left="554" w:right="251" w:hanging="402"/>
        <w:jc w:val="both"/>
        <w:rPr>
          <w:sz w:val="20"/>
        </w:rPr>
      </w:pPr>
      <w:r>
        <w:rPr>
          <w:w w:val="95"/>
          <w:sz w:val="20"/>
        </w:rPr>
        <w:t>1-3.「外傷性癲癇」障害等級之審定：癲癇發作，同時應重視因反復發作致性格變化而終至失智、人格崩壞，</w:t>
      </w:r>
      <w:r>
        <w:rPr>
          <w:spacing w:val="238"/>
          <w:sz w:val="20"/>
        </w:rPr>
        <w:t> </w:t>
      </w:r>
      <w:r>
        <w:rPr>
          <w:w w:val="95"/>
          <w:sz w:val="20"/>
        </w:rPr>
        <w:t>即成癲癇性精神病狀態者，依附註1-1原則審定之。癲癇症狀之固定時期，應以經專科醫師之治療，認為不</w:t>
      </w:r>
      <w:r>
        <w:rPr>
          <w:spacing w:val="111"/>
          <w:sz w:val="20"/>
        </w:rPr>
        <w:t> </w:t>
      </w:r>
      <w:r>
        <w:rPr>
          <w:sz w:val="20"/>
        </w:rPr>
        <w:t>能期待醫療效果時，及因治療致症狀安定者為準，不論其發作型態，依下列標準審定之：</w:t>
      </w:r>
    </w:p>
    <w:p>
      <w:pPr>
        <w:pStyle w:val="ListParagraph"/>
        <w:numPr>
          <w:ilvl w:val="0"/>
          <w:numId w:val="2"/>
        </w:numPr>
        <w:tabs>
          <w:tab w:pos="1166" w:val="left" w:leader="none"/>
        </w:tabs>
        <w:spacing w:line="253" w:lineRule="exact" w:before="0" w:after="0"/>
        <w:ind w:left="1165" w:right="0" w:hanging="502"/>
        <w:jc w:val="left"/>
        <w:rPr>
          <w:sz w:val="20"/>
        </w:rPr>
      </w:pPr>
      <w:r>
        <w:rPr>
          <w:w w:val="95"/>
          <w:sz w:val="20"/>
        </w:rPr>
        <w:t>雖經充分治療，每週仍有一次以上發作者：適用第3級。</w:t>
      </w:r>
    </w:p>
    <w:p>
      <w:pPr>
        <w:pStyle w:val="ListParagraph"/>
        <w:numPr>
          <w:ilvl w:val="0"/>
          <w:numId w:val="2"/>
        </w:numPr>
        <w:tabs>
          <w:tab w:pos="1166" w:val="left" w:leader="none"/>
        </w:tabs>
        <w:spacing w:line="240" w:lineRule="auto" w:before="0" w:after="0"/>
        <w:ind w:left="1165" w:right="0" w:hanging="502"/>
        <w:jc w:val="left"/>
        <w:rPr>
          <w:sz w:val="20"/>
        </w:rPr>
      </w:pPr>
      <w:r>
        <w:rPr>
          <w:w w:val="95"/>
          <w:sz w:val="20"/>
        </w:rPr>
        <w:t>雖經充分治療，每月仍有一次以上發作者：適用第7級。</w:t>
      </w:r>
    </w:p>
    <w:p>
      <w:pPr>
        <w:spacing w:line="242" w:lineRule="auto" w:before="3"/>
        <w:ind w:left="453" w:right="258" w:hanging="301"/>
        <w:jc w:val="left"/>
        <w:rPr>
          <w:sz w:val="20"/>
        </w:rPr>
      </w:pPr>
      <w:r>
        <w:rPr>
          <w:w w:val="95"/>
          <w:sz w:val="20"/>
        </w:rPr>
        <w:t>1-4.「眩暈及平衡機能障害」等級之審定：頭部外傷後或因中樞神經系統受損引起之眩暈及平衡機能障害，不</w:t>
      </w:r>
      <w:r>
        <w:rPr>
          <w:spacing w:val="221"/>
          <w:sz w:val="20"/>
        </w:rPr>
        <w:t> </w:t>
      </w:r>
      <w:r>
        <w:rPr>
          <w:sz w:val="20"/>
        </w:rPr>
        <w:t>單由於內耳障害引起，因小腦、腦幹部、額葉等中樞神經系之障害發現者亦不少，其審定標準如次：</w:t>
      </w:r>
    </w:p>
    <w:p>
      <w:pPr>
        <w:pStyle w:val="ListParagraph"/>
        <w:numPr>
          <w:ilvl w:val="0"/>
          <w:numId w:val="3"/>
        </w:numPr>
        <w:tabs>
          <w:tab w:pos="1169" w:val="left" w:leader="none"/>
        </w:tabs>
        <w:spacing w:line="242" w:lineRule="auto" w:before="3" w:after="0"/>
        <w:ind w:left="1089" w:right="257" w:hanging="425"/>
        <w:jc w:val="left"/>
        <w:rPr>
          <w:sz w:val="20"/>
        </w:rPr>
      </w:pPr>
      <w:r>
        <w:rPr>
          <w:w w:val="95"/>
          <w:sz w:val="20"/>
        </w:rPr>
        <w:t>為維持生命必要之日常生活活動仍有可能，但因高度平衡機能障害，終身不能從事任何工作者：適</w:t>
      </w:r>
      <w:r>
        <w:rPr>
          <w:spacing w:val="156"/>
          <w:sz w:val="20"/>
        </w:rPr>
        <w:t> </w:t>
      </w:r>
      <w:r>
        <w:rPr>
          <w:sz w:val="20"/>
        </w:rPr>
        <w:t>用第3級。</w:t>
      </w:r>
    </w:p>
    <w:p>
      <w:pPr>
        <w:pStyle w:val="ListParagraph"/>
        <w:numPr>
          <w:ilvl w:val="0"/>
          <w:numId w:val="3"/>
        </w:numPr>
        <w:tabs>
          <w:tab w:pos="1166" w:val="left" w:leader="none"/>
        </w:tabs>
        <w:spacing w:line="240" w:lineRule="auto" w:before="1" w:after="0"/>
        <w:ind w:left="1165" w:right="0" w:hanging="502"/>
        <w:jc w:val="left"/>
        <w:rPr>
          <w:sz w:val="20"/>
        </w:rPr>
      </w:pPr>
      <w:r>
        <w:rPr>
          <w:w w:val="95"/>
          <w:sz w:val="20"/>
        </w:rPr>
        <w:t>因中等度平衡機能障害、勞動能力較一般平常人顯明低下者：適用第7級。</w:t>
      </w:r>
    </w:p>
    <w:p>
      <w:pPr>
        <w:spacing w:line="242" w:lineRule="auto" w:before="5"/>
        <w:ind w:left="554" w:right="258" w:hanging="402"/>
        <w:jc w:val="left"/>
        <w:rPr>
          <w:sz w:val="20"/>
        </w:rPr>
      </w:pPr>
      <w:r>
        <w:rPr>
          <w:w w:val="95"/>
          <w:sz w:val="20"/>
        </w:rPr>
        <w:t>1-5.「外傷性脊髓障害」等級之審定，依其損傷之程度發現四肢等之運動障害、知覺障害、腸管障害、尿路障</w:t>
      </w:r>
      <w:r>
        <w:rPr>
          <w:spacing w:val="221"/>
          <w:sz w:val="20"/>
        </w:rPr>
        <w:t> </w:t>
      </w:r>
      <w:r>
        <w:rPr>
          <w:sz w:val="20"/>
        </w:rPr>
        <w:t>害、生殖器障害等，依附註1-1之原則，綜合其症狀選用合適等級。</w:t>
      </w:r>
    </w:p>
    <w:p>
      <w:pPr>
        <w:spacing w:line="242" w:lineRule="auto" w:before="3"/>
        <w:ind w:left="554" w:right="258" w:hanging="402"/>
        <w:jc w:val="left"/>
        <w:rPr>
          <w:sz w:val="20"/>
        </w:rPr>
      </w:pPr>
      <w:r>
        <w:rPr>
          <w:w w:val="95"/>
          <w:sz w:val="20"/>
        </w:rPr>
        <w:t>1-6.「一氧化碳中毒後遺症」障害等級之審定：一氧化碳中毒後遺症障害之審定，綜合其所遺諸症候，按照附</w:t>
      </w:r>
      <w:r>
        <w:rPr>
          <w:spacing w:val="221"/>
          <w:sz w:val="20"/>
        </w:rPr>
        <w:t> </w:t>
      </w:r>
      <w:r>
        <w:rPr>
          <w:sz w:val="20"/>
        </w:rPr>
        <w:t>註說明精神、神經障害等級之審定基本原則判斷，定其等級。</w:t>
      </w:r>
    </w:p>
    <w:p>
      <w:pPr>
        <w:spacing w:line="346" w:lineRule="exact" w:before="137"/>
        <w:ind w:left="152" w:right="0" w:firstLine="0"/>
        <w:jc w:val="left"/>
        <w:rPr>
          <w:rFonts w:ascii="Microsoft JhengHei" w:eastAsia="Microsoft JhengHei" w:hint="eastAsia"/>
          <w:b/>
          <w:sz w:val="20"/>
        </w:rPr>
      </w:pPr>
      <w:r>
        <w:rPr>
          <w:rFonts w:ascii="Microsoft JhengHei" w:eastAsia="Microsoft JhengHei" w:hint="eastAsia"/>
          <w:b/>
          <w:sz w:val="20"/>
        </w:rPr>
        <w:t>註2：</w:t>
      </w:r>
    </w:p>
    <w:p>
      <w:pPr>
        <w:spacing w:line="235" w:lineRule="exact" w:before="0"/>
        <w:ind w:left="152" w:right="0" w:firstLine="0"/>
        <w:jc w:val="left"/>
        <w:rPr>
          <w:sz w:val="20"/>
        </w:rPr>
      </w:pPr>
      <w:r>
        <w:rPr>
          <w:sz w:val="20"/>
        </w:rPr>
        <w:t>2-1.「視力」之測定：</w:t>
      </w:r>
    </w:p>
    <w:p>
      <w:pPr>
        <w:pStyle w:val="ListParagraph"/>
        <w:numPr>
          <w:ilvl w:val="0"/>
          <w:numId w:val="4"/>
        </w:numPr>
        <w:tabs>
          <w:tab w:pos="1166" w:val="left" w:leader="none"/>
        </w:tabs>
        <w:spacing w:line="240" w:lineRule="auto" w:before="6" w:after="0"/>
        <w:ind w:left="1166" w:right="0" w:hanging="502"/>
        <w:jc w:val="left"/>
        <w:rPr>
          <w:sz w:val="20"/>
        </w:rPr>
      </w:pPr>
      <w:r>
        <w:rPr>
          <w:w w:val="95"/>
          <w:sz w:val="20"/>
        </w:rPr>
        <w:t>應用萬國式視力表以矯正後視力為準，但矯正不能者，得以裸眼視力測定之。</w:t>
      </w:r>
    </w:p>
    <w:p>
      <w:pPr>
        <w:pStyle w:val="ListParagraph"/>
        <w:numPr>
          <w:ilvl w:val="0"/>
          <w:numId w:val="4"/>
        </w:numPr>
        <w:tabs>
          <w:tab w:pos="1166" w:val="left" w:leader="none"/>
        </w:tabs>
        <w:spacing w:line="240" w:lineRule="auto" w:before="3" w:after="0"/>
        <w:ind w:left="1166" w:right="0" w:hanging="502"/>
        <w:jc w:val="left"/>
        <w:rPr>
          <w:sz w:val="20"/>
        </w:rPr>
      </w:pPr>
      <w:r>
        <w:rPr>
          <w:w w:val="95"/>
          <w:sz w:val="20"/>
        </w:rPr>
        <w:t>視力障害之測定，必要時須通過「測盲(Malingering)」檢查。</w:t>
      </w:r>
    </w:p>
    <w:p>
      <w:pPr>
        <w:spacing w:line="244" w:lineRule="auto" w:before="2"/>
        <w:ind w:left="580" w:right="255" w:hanging="428"/>
        <w:jc w:val="left"/>
        <w:rPr>
          <w:sz w:val="20"/>
        </w:rPr>
      </w:pPr>
      <w:r>
        <w:rPr>
          <w:w w:val="95"/>
          <w:sz w:val="20"/>
        </w:rPr>
        <w:t>2-2.「失明」係指視力永久在萬國式視力表0.02以下而言，並包括眼球喪失、摘出、僅能辨明暗或辨眼前一公</w:t>
      </w:r>
      <w:r>
        <w:rPr>
          <w:spacing w:val="224"/>
          <w:sz w:val="20"/>
        </w:rPr>
        <w:t> </w:t>
      </w:r>
      <w:r>
        <w:rPr>
          <w:sz w:val="20"/>
        </w:rPr>
        <w:t>尺以內手動或辨眼前五公分以內指數者。</w:t>
      </w:r>
    </w:p>
    <w:p>
      <w:pPr>
        <w:spacing w:line="254" w:lineRule="exact" w:before="0"/>
        <w:ind w:left="152" w:right="0" w:firstLine="0"/>
        <w:jc w:val="left"/>
        <w:rPr>
          <w:sz w:val="20"/>
        </w:rPr>
      </w:pPr>
      <w:r>
        <w:rPr>
          <w:sz w:val="20"/>
        </w:rPr>
        <w:t>2-3.以自傷害之日起經過六個月的治療為判定原則，但眼球摘出等明顯無法復原之情況，不在此限。</w:t>
      </w:r>
    </w:p>
    <w:p>
      <w:pPr>
        <w:spacing w:line="346" w:lineRule="exact" w:before="139"/>
        <w:ind w:left="152" w:right="0" w:firstLine="0"/>
        <w:jc w:val="left"/>
        <w:rPr>
          <w:rFonts w:ascii="Microsoft JhengHei" w:eastAsia="Microsoft JhengHei" w:hint="eastAsia"/>
          <w:b/>
          <w:sz w:val="20"/>
        </w:rPr>
      </w:pPr>
      <w:r>
        <w:rPr>
          <w:rFonts w:ascii="Microsoft JhengHei" w:eastAsia="Microsoft JhengHei" w:hint="eastAsia"/>
          <w:b/>
          <w:sz w:val="20"/>
        </w:rPr>
        <w:t>註3：</w:t>
      </w:r>
    </w:p>
    <w:p>
      <w:pPr>
        <w:spacing w:line="235" w:lineRule="exact" w:before="0"/>
        <w:ind w:left="152" w:right="0" w:firstLine="0"/>
        <w:jc w:val="left"/>
        <w:rPr>
          <w:sz w:val="20"/>
        </w:rPr>
      </w:pPr>
      <w:r>
        <w:rPr>
          <w:sz w:val="20"/>
        </w:rPr>
        <w:t>3-1.兩耳聽覺障害程度不同時，應將優耳之聽覺障害審定之。</w:t>
      </w:r>
    </w:p>
    <w:p>
      <w:pPr>
        <w:spacing w:before="5"/>
        <w:ind w:left="152" w:right="0" w:firstLine="0"/>
        <w:jc w:val="left"/>
        <w:rPr>
          <w:sz w:val="20"/>
        </w:rPr>
      </w:pPr>
      <w:r>
        <w:rPr>
          <w:sz w:val="20"/>
        </w:rPr>
        <w:t>3-2.聽覺障害之測定，需用精密聽力計(Audiometer)行之，其平均聽力喪失率以分貝表示之。</w:t>
      </w:r>
    </w:p>
    <w:p>
      <w:pPr>
        <w:spacing w:before="3"/>
        <w:ind w:left="152" w:right="0" w:firstLine="0"/>
        <w:jc w:val="left"/>
        <w:rPr>
          <w:sz w:val="20"/>
        </w:rPr>
      </w:pPr>
      <w:r>
        <w:rPr>
          <w:sz w:val="20"/>
        </w:rPr>
        <w:t>3-3.內耳損傷引起平衡機能障害之審定，準用神經障害所定等級，按其障害之程度審定之。</w:t>
      </w:r>
    </w:p>
    <w:p>
      <w:pPr>
        <w:spacing w:line="346" w:lineRule="exact" w:before="139"/>
        <w:ind w:left="152" w:right="0" w:firstLine="0"/>
        <w:jc w:val="left"/>
        <w:rPr>
          <w:rFonts w:ascii="Microsoft JhengHei" w:eastAsia="Microsoft JhengHei" w:hint="eastAsia"/>
          <w:b/>
          <w:sz w:val="20"/>
        </w:rPr>
      </w:pPr>
      <w:r>
        <w:rPr>
          <w:rFonts w:ascii="Microsoft JhengHei" w:eastAsia="Microsoft JhengHei" w:hint="eastAsia"/>
          <w:b/>
          <w:sz w:val="20"/>
        </w:rPr>
        <w:t>註4：</w:t>
      </w:r>
    </w:p>
    <w:p>
      <w:pPr>
        <w:spacing w:line="235" w:lineRule="exact" w:before="0"/>
        <w:ind w:left="152" w:right="0" w:firstLine="0"/>
        <w:jc w:val="left"/>
        <w:rPr>
          <w:sz w:val="20"/>
        </w:rPr>
      </w:pPr>
      <w:r>
        <w:rPr>
          <w:sz w:val="20"/>
        </w:rPr>
        <w:t>4-1.「鼻部缺損」，係指鼻軟骨二分之一以上缺損之程度。</w:t>
      </w:r>
    </w:p>
    <w:p>
      <w:pPr>
        <w:spacing w:before="56"/>
        <w:ind w:left="152" w:right="0" w:firstLine="0"/>
        <w:jc w:val="left"/>
        <w:rPr>
          <w:sz w:val="20"/>
        </w:rPr>
      </w:pPr>
      <w:r>
        <w:rPr>
          <w:sz w:val="20"/>
        </w:rPr>
        <w:t>4-2.「機能永久遺存顯著障害」，係指兩側鼻孔閉塞、鼻呼吸困難、不能矯治，或兩側嗅覺完全喪失者。</w:t>
      </w:r>
    </w:p>
    <w:p>
      <w:pPr>
        <w:pStyle w:val="BodyText"/>
        <w:spacing w:before="7"/>
        <w:ind w:left="0"/>
        <w:rPr>
          <w:sz w:val="14"/>
        </w:rPr>
      </w:pPr>
    </w:p>
    <w:p>
      <w:pPr>
        <w:spacing w:line="346" w:lineRule="exact" w:before="0"/>
        <w:ind w:left="152" w:right="0" w:firstLine="0"/>
        <w:jc w:val="left"/>
        <w:rPr>
          <w:rFonts w:ascii="Microsoft JhengHei" w:eastAsia="Microsoft JhengHei" w:hint="eastAsia"/>
          <w:b/>
          <w:sz w:val="20"/>
        </w:rPr>
      </w:pPr>
      <w:r>
        <w:rPr>
          <w:rFonts w:ascii="Microsoft JhengHei" w:eastAsia="Microsoft JhengHei" w:hint="eastAsia"/>
          <w:b/>
          <w:sz w:val="20"/>
        </w:rPr>
        <w:t>註5：</w:t>
      </w:r>
    </w:p>
    <w:p>
      <w:pPr>
        <w:spacing w:line="235" w:lineRule="exact" w:before="0"/>
        <w:ind w:left="152" w:right="0" w:firstLine="0"/>
        <w:jc w:val="left"/>
        <w:rPr>
          <w:sz w:val="20"/>
        </w:rPr>
      </w:pPr>
      <w:r>
        <w:rPr>
          <w:sz w:val="20"/>
        </w:rPr>
        <w:t>5-1.咀嚼機能發生障害，係專指由於牙齒以外之原因（如頰、舌、軟硬口蓋、顎骨、下顎關節等之障害），所</w:t>
      </w:r>
    </w:p>
    <w:p>
      <w:pPr>
        <w:spacing w:line="242" w:lineRule="auto" w:before="6"/>
        <w:ind w:left="554" w:right="253" w:firstLine="0"/>
        <w:jc w:val="left"/>
        <w:rPr>
          <w:sz w:val="20"/>
        </w:rPr>
      </w:pPr>
      <w:r>
        <w:rPr>
          <w:w w:val="95"/>
          <w:sz w:val="20"/>
        </w:rPr>
        <w:t>引起者。食道狹窄、舌異常、咽喉頭支配神經麻痺等引起之吞嚥障害，往往併發咀嚼機能障害，故兩項障</w:t>
      </w:r>
      <w:r>
        <w:rPr>
          <w:spacing w:val="204"/>
          <w:sz w:val="20"/>
        </w:rPr>
        <w:t> </w:t>
      </w:r>
      <w:r>
        <w:rPr>
          <w:sz w:val="20"/>
        </w:rPr>
        <w:t>害合併定為「咀嚼、吞嚥障害」：</w:t>
      </w:r>
    </w:p>
    <w:p>
      <w:pPr>
        <w:pStyle w:val="ListParagraph"/>
        <w:numPr>
          <w:ilvl w:val="0"/>
          <w:numId w:val="5"/>
        </w:numPr>
        <w:tabs>
          <w:tab w:pos="1165" w:val="left" w:leader="none"/>
        </w:tabs>
        <w:spacing w:line="244" w:lineRule="auto" w:before="0" w:after="0"/>
        <w:ind w:left="1089" w:right="253" w:hanging="425"/>
        <w:jc w:val="left"/>
        <w:rPr>
          <w:sz w:val="20"/>
        </w:rPr>
      </w:pPr>
      <w:r>
        <w:rPr>
          <w:sz w:val="20"/>
        </w:rPr>
        <w:t>「喪失咀嚼、吞嚥之機能」,係指因器質障害或機能障害，以致不能作咀嚼、吞嚥運動，除流質食物外，不能攝取或吞嚥者。</w:t>
      </w:r>
    </w:p>
    <w:p>
      <w:pPr>
        <w:pStyle w:val="ListParagraph"/>
        <w:numPr>
          <w:ilvl w:val="0"/>
          <w:numId w:val="5"/>
        </w:numPr>
        <w:tabs>
          <w:tab w:pos="1168" w:val="left" w:leader="none"/>
        </w:tabs>
        <w:spacing w:line="254" w:lineRule="exact" w:before="0" w:after="0"/>
        <w:ind w:left="1167" w:right="0" w:hanging="504"/>
        <w:jc w:val="left"/>
        <w:rPr>
          <w:sz w:val="20"/>
        </w:rPr>
      </w:pPr>
      <w:r>
        <w:rPr>
          <w:spacing w:val="-1"/>
          <w:sz w:val="20"/>
        </w:rPr>
        <w:t>「咀嚼、吞嚥機能遺存顯著障害」,係指不能充分作咀嚼、吞嚥運動，致除粥、糊、或類似之食物以</w:t>
      </w:r>
    </w:p>
    <w:p>
      <w:pPr>
        <w:spacing w:after="0" w:line="254" w:lineRule="exact"/>
        <w:jc w:val="left"/>
        <w:rPr>
          <w:sz w:val="20"/>
        </w:rPr>
        <w:sectPr>
          <w:pgSz w:w="11910" w:h="16840"/>
          <w:pgMar w:header="0" w:footer="746" w:top="1360" w:bottom="940" w:left="980" w:right="880"/>
        </w:sectPr>
      </w:pPr>
    </w:p>
    <w:p>
      <w:pPr>
        <w:spacing w:before="29"/>
        <w:ind w:left="1089" w:right="0" w:firstLine="0"/>
        <w:jc w:val="left"/>
        <w:rPr>
          <w:sz w:val="20"/>
        </w:rPr>
      </w:pPr>
      <w:r>
        <w:rPr>
          <w:sz w:val="20"/>
        </w:rPr>
        <w:t>外，不能攝取或吞嚥者。</w:t>
      </w:r>
    </w:p>
    <w:p>
      <w:pPr>
        <w:spacing w:before="4"/>
        <w:ind w:left="152" w:right="0" w:firstLine="0"/>
        <w:jc w:val="left"/>
        <w:rPr>
          <w:sz w:val="20"/>
        </w:rPr>
      </w:pPr>
      <w:r>
        <w:rPr>
          <w:sz w:val="20"/>
        </w:rPr>
        <w:t>5-2.言語機能障害，係指由於牙齒損傷以外之原因引起之構音機能障害、發聲機能障害及綴音機能障害等：</w:t>
      </w:r>
    </w:p>
    <w:p>
      <w:pPr>
        <w:pStyle w:val="ListParagraph"/>
        <w:numPr>
          <w:ilvl w:val="0"/>
          <w:numId w:val="6"/>
        </w:numPr>
        <w:tabs>
          <w:tab w:pos="1169" w:val="left" w:leader="none"/>
        </w:tabs>
        <w:spacing w:line="242" w:lineRule="auto" w:before="5" w:after="0"/>
        <w:ind w:left="1089" w:right="257" w:hanging="425"/>
        <w:jc w:val="left"/>
        <w:rPr>
          <w:sz w:val="20"/>
        </w:rPr>
      </w:pPr>
      <w:r>
        <w:rPr>
          <w:w w:val="95"/>
          <w:sz w:val="20"/>
        </w:rPr>
        <w:t>「喪失言語機能障害」，係指後列構成語言之口唇音、齒舌音、口蓋音、喉頭音等之四種語音機能</w:t>
      </w:r>
      <w:r>
        <w:rPr>
          <w:spacing w:val="156"/>
          <w:sz w:val="20"/>
        </w:rPr>
        <w:t> </w:t>
      </w:r>
      <w:r>
        <w:rPr>
          <w:sz w:val="20"/>
        </w:rPr>
        <w:t>中，有三種以上不能構音者。</w:t>
      </w:r>
    </w:p>
    <w:p>
      <w:pPr>
        <w:pStyle w:val="ListParagraph"/>
        <w:numPr>
          <w:ilvl w:val="0"/>
          <w:numId w:val="6"/>
        </w:numPr>
        <w:tabs>
          <w:tab w:pos="1169" w:val="left" w:leader="none"/>
        </w:tabs>
        <w:spacing w:line="244" w:lineRule="auto" w:before="1" w:after="0"/>
        <w:ind w:left="1089" w:right="257" w:hanging="425"/>
        <w:jc w:val="left"/>
        <w:rPr>
          <w:sz w:val="20"/>
        </w:rPr>
      </w:pPr>
      <w:r>
        <w:rPr>
          <w:w w:val="95"/>
          <w:sz w:val="20"/>
        </w:rPr>
        <w:t>「言語機能遺存顯著障害」，係指後列構成語言之口唇音、齒舌音、口蓋音、喉頭音等之四種語言</w:t>
      </w:r>
      <w:r>
        <w:rPr>
          <w:spacing w:val="156"/>
          <w:sz w:val="20"/>
        </w:rPr>
        <w:t> </w:t>
      </w:r>
      <w:r>
        <w:rPr>
          <w:sz w:val="20"/>
        </w:rPr>
        <w:t>機能中，有二種以上不能構音者。</w:t>
      </w:r>
    </w:p>
    <w:p>
      <w:pPr>
        <w:spacing w:line="244" w:lineRule="auto" w:before="0"/>
        <w:ind w:left="1173" w:right="5659" w:firstLine="0"/>
        <w:jc w:val="left"/>
        <w:rPr>
          <w:sz w:val="20"/>
        </w:rPr>
      </w:pPr>
      <w:r>
        <w:rPr>
          <w:spacing w:val="-1"/>
          <w:sz w:val="20"/>
        </w:rPr>
        <w:t>A.</w:t>
      </w:r>
      <w:r>
        <w:rPr>
          <w:sz w:val="20"/>
        </w:rPr>
        <w:t>雙唇音：ㄅㄆㄇ(發音部位雙唇者)</w:t>
      </w:r>
      <w:r>
        <w:rPr>
          <w:spacing w:val="-97"/>
          <w:sz w:val="20"/>
        </w:rPr>
        <w:t> </w:t>
      </w:r>
      <w:r>
        <w:rPr>
          <w:sz w:val="20"/>
        </w:rPr>
        <w:t>B.唇齒音：ㄈ(發音部位唇齒)</w:t>
      </w:r>
    </w:p>
    <w:p>
      <w:pPr>
        <w:spacing w:line="244" w:lineRule="auto" w:before="0"/>
        <w:ind w:left="1173" w:right="5070" w:firstLine="0"/>
        <w:jc w:val="left"/>
        <w:rPr>
          <w:sz w:val="20"/>
        </w:rPr>
      </w:pPr>
      <w:r>
        <w:rPr>
          <w:spacing w:val="-1"/>
          <w:sz w:val="20"/>
        </w:rPr>
        <w:t>C.</w:t>
      </w:r>
      <w:r>
        <w:rPr>
          <w:sz w:val="20"/>
        </w:rPr>
        <w:t>舌尖音：ㄉㄊㄋㄌ(發音部位舌尖與牙齦)</w:t>
      </w:r>
      <w:r>
        <w:rPr>
          <w:spacing w:val="-97"/>
          <w:sz w:val="20"/>
        </w:rPr>
        <w:t> </w:t>
      </w:r>
      <w:r>
        <w:rPr>
          <w:sz w:val="20"/>
        </w:rPr>
        <w:t>D.舌根音：ㄍㄎㄏ(發音部位舌根與軟顎)</w:t>
      </w:r>
      <w:r>
        <w:rPr>
          <w:spacing w:val="1"/>
          <w:sz w:val="20"/>
        </w:rPr>
        <w:t> </w:t>
      </w:r>
      <w:r>
        <w:rPr>
          <w:sz w:val="20"/>
        </w:rPr>
        <w:t>E.舌面音：ㄐㄑㄒ(發音部位舌面與硬顎)</w:t>
      </w:r>
    </w:p>
    <w:p>
      <w:pPr>
        <w:spacing w:line="244" w:lineRule="auto" w:before="0"/>
        <w:ind w:left="1173" w:right="4859" w:firstLine="0"/>
        <w:jc w:val="left"/>
        <w:rPr>
          <w:sz w:val="20"/>
        </w:rPr>
      </w:pPr>
      <w:r>
        <w:rPr>
          <w:spacing w:val="-1"/>
          <w:sz w:val="20"/>
        </w:rPr>
        <w:t>F.</w:t>
      </w:r>
      <w:r>
        <w:rPr>
          <w:sz w:val="20"/>
        </w:rPr>
        <w:t>舌尖後音：ㄓㄔㄕㄖ(發音部位舌尖與硬顎)</w:t>
      </w:r>
      <w:r>
        <w:rPr>
          <w:spacing w:val="-97"/>
          <w:sz w:val="20"/>
        </w:rPr>
        <w:t> </w:t>
      </w:r>
      <w:r>
        <w:rPr>
          <w:spacing w:val="-1"/>
          <w:sz w:val="20"/>
        </w:rPr>
        <w:t>G.</w:t>
      </w:r>
      <w:r>
        <w:rPr>
          <w:sz w:val="20"/>
        </w:rPr>
        <w:t>舌尖前音：ㄗㄘㄙ(發音部位舌尖與上牙齦)</w:t>
      </w:r>
    </w:p>
    <w:p>
      <w:pPr>
        <w:spacing w:line="242" w:lineRule="auto" w:before="0"/>
        <w:ind w:left="554" w:right="258" w:hanging="402"/>
        <w:jc w:val="left"/>
        <w:rPr>
          <w:sz w:val="20"/>
        </w:rPr>
      </w:pPr>
      <w:r>
        <w:rPr/>
        <w:drawing>
          <wp:anchor distT="0" distB="0" distL="0" distR="0" allowOverlap="1" layoutInCell="1" locked="0" behindDoc="1" simplePos="0" relativeHeight="486330368">
            <wp:simplePos x="0" y="0"/>
            <wp:positionH relativeFrom="page">
              <wp:posOffset>2874040</wp:posOffset>
            </wp:positionH>
            <wp:positionV relativeFrom="paragraph">
              <wp:posOffset>98439</wp:posOffset>
            </wp:positionV>
            <wp:extent cx="1837644" cy="4428464"/>
            <wp:effectExtent l="0" t="0" r="0" b="0"/>
            <wp:wrapNone/>
            <wp:docPr id="43" name="image1.png"/>
            <wp:cNvGraphicFramePr>
              <a:graphicFrameLocks noChangeAspect="1"/>
            </wp:cNvGraphicFramePr>
            <a:graphic>
              <a:graphicData uri="http://schemas.openxmlformats.org/drawingml/2006/picture">
                <pic:pic>
                  <pic:nvPicPr>
                    <pic:cNvPr id="44" name="image1.png"/>
                    <pic:cNvPicPr/>
                  </pic:nvPicPr>
                  <pic:blipFill>
                    <a:blip r:embed="rId7" cstate="print"/>
                    <a:stretch>
                      <a:fillRect/>
                    </a:stretch>
                  </pic:blipFill>
                  <pic:spPr>
                    <a:xfrm>
                      <a:off x="0" y="0"/>
                      <a:ext cx="1837644" cy="4428464"/>
                    </a:xfrm>
                    <a:prstGeom prst="rect">
                      <a:avLst/>
                    </a:prstGeom>
                  </pic:spPr>
                </pic:pic>
              </a:graphicData>
            </a:graphic>
          </wp:anchor>
        </w:drawing>
      </w:r>
      <w:r>
        <w:rPr>
          <w:w w:val="95"/>
          <w:sz w:val="20"/>
        </w:rPr>
        <w:t>5-3.因綴音機能遺存顯著障害，祇以言語表示對方不能通曉其意思者，準用「言語機能遺存顯著障害」所定等</w:t>
      </w:r>
      <w:r>
        <w:rPr>
          <w:spacing w:val="221"/>
          <w:sz w:val="20"/>
        </w:rPr>
        <w:t> </w:t>
      </w:r>
      <w:r>
        <w:rPr>
          <w:sz w:val="20"/>
        </w:rPr>
        <w:t>級。</w:t>
      </w:r>
    </w:p>
    <w:p>
      <w:pPr>
        <w:spacing w:line="348" w:lineRule="exact" w:before="127"/>
        <w:ind w:left="152" w:right="0" w:firstLine="0"/>
        <w:jc w:val="left"/>
        <w:rPr>
          <w:rFonts w:ascii="Microsoft JhengHei" w:eastAsia="Microsoft JhengHei" w:hint="eastAsia"/>
          <w:b/>
          <w:sz w:val="20"/>
        </w:rPr>
      </w:pPr>
      <w:r>
        <w:rPr>
          <w:rFonts w:ascii="Microsoft JhengHei" w:eastAsia="Microsoft JhengHei" w:hint="eastAsia"/>
          <w:b/>
          <w:sz w:val="20"/>
        </w:rPr>
        <w:t>註6：</w:t>
      </w:r>
    </w:p>
    <w:p>
      <w:pPr>
        <w:spacing w:line="236" w:lineRule="exact" w:before="0"/>
        <w:ind w:left="152" w:right="0" w:firstLine="0"/>
        <w:jc w:val="left"/>
        <w:rPr>
          <w:sz w:val="20"/>
        </w:rPr>
      </w:pPr>
      <w:r>
        <w:rPr>
          <w:sz w:val="20"/>
        </w:rPr>
        <w:t>6-1.胸腹部臟器：</w:t>
      </w:r>
    </w:p>
    <w:p>
      <w:pPr>
        <w:pStyle w:val="ListParagraph"/>
        <w:numPr>
          <w:ilvl w:val="0"/>
          <w:numId w:val="7"/>
        </w:numPr>
        <w:tabs>
          <w:tab w:pos="1166" w:val="left" w:leader="none"/>
        </w:tabs>
        <w:spacing w:line="240" w:lineRule="auto" w:before="3" w:after="0"/>
        <w:ind w:left="1165" w:right="0" w:hanging="502"/>
        <w:jc w:val="left"/>
        <w:rPr>
          <w:sz w:val="20"/>
        </w:rPr>
      </w:pPr>
      <w:r>
        <w:rPr>
          <w:w w:val="95"/>
          <w:sz w:val="20"/>
        </w:rPr>
        <w:t>胸部臟器，係指心臟、心囊、主動脈、氣管、支氣管、肺臟、胸膜及食道。</w:t>
      </w:r>
    </w:p>
    <w:p>
      <w:pPr>
        <w:pStyle w:val="ListParagraph"/>
        <w:numPr>
          <w:ilvl w:val="0"/>
          <w:numId w:val="7"/>
        </w:numPr>
        <w:tabs>
          <w:tab w:pos="1166" w:val="left" w:leader="none"/>
        </w:tabs>
        <w:spacing w:line="240" w:lineRule="auto" w:before="3" w:after="0"/>
        <w:ind w:left="1165" w:right="0" w:hanging="502"/>
        <w:jc w:val="left"/>
        <w:rPr>
          <w:sz w:val="20"/>
        </w:rPr>
      </w:pPr>
      <w:r>
        <w:rPr>
          <w:w w:val="95"/>
          <w:sz w:val="20"/>
        </w:rPr>
        <w:t>腹部臟器，係指胃、肝臟、膽囊、胰臟、小腸、大腸、腸間膜、脾臟及腎上腺。</w:t>
      </w:r>
    </w:p>
    <w:p>
      <w:pPr>
        <w:pStyle w:val="ListParagraph"/>
        <w:numPr>
          <w:ilvl w:val="0"/>
          <w:numId w:val="7"/>
        </w:numPr>
        <w:tabs>
          <w:tab w:pos="1166" w:val="left" w:leader="none"/>
        </w:tabs>
        <w:spacing w:line="240" w:lineRule="auto" w:before="5" w:after="0"/>
        <w:ind w:left="1165" w:right="0" w:hanging="502"/>
        <w:jc w:val="left"/>
        <w:rPr>
          <w:sz w:val="20"/>
        </w:rPr>
      </w:pPr>
      <w:r>
        <w:rPr>
          <w:w w:val="95"/>
          <w:sz w:val="20"/>
        </w:rPr>
        <w:t>泌尿器官，係指腎臟、輸尿管、膀胱及尿道。</w:t>
      </w:r>
    </w:p>
    <w:p>
      <w:pPr>
        <w:pStyle w:val="ListParagraph"/>
        <w:numPr>
          <w:ilvl w:val="0"/>
          <w:numId w:val="7"/>
        </w:numPr>
        <w:tabs>
          <w:tab w:pos="1166" w:val="left" w:leader="none"/>
        </w:tabs>
        <w:spacing w:line="240" w:lineRule="auto" w:before="3" w:after="0"/>
        <w:ind w:left="1165" w:right="0" w:hanging="502"/>
        <w:jc w:val="left"/>
        <w:rPr>
          <w:sz w:val="20"/>
        </w:rPr>
      </w:pPr>
      <w:r>
        <w:rPr>
          <w:w w:val="95"/>
          <w:sz w:val="20"/>
        </w:rPr>
        <w:t>生殖器官，係指內生殖器及外生殖器。</w:t>
      </w:r>
    </w:p>
    <w:p>
      <w:pPr>
        <w:spacing w:line="242" w:lineRule="auto" w:before="5"/>
        <w:ind w:left="753" w:right="258" w:hanging="601"/>
        <w:jc w:val="left"/>
        <w:rPr>
          <w:sz w:val="20"/>
        </w:rPr>
      </w:pPr>
      <w:r>
        <w:rPr>
          <w:w w:val="95"/>
          <w:sz w:val="20"/>
        </w:rPr>
        <w:t>6-2.1.任一主要臟器切除二分之一以上者之主要臟器係指心臟、肺臟、食道、胃、肝臟、胰臟、小腸、大腸、</w:t>
      </w:r>
      <w:r>
        <w:rPr>
          <w:spacing w:val="221"/>
          <w:sz w:val="20"/>
        </w:rPr>
        <w:t> </w:t>
      </w:r>
      <w:r>
        <w:rPr>
          <w:sz w:val="20"/>
        </w:rPr>
        <w:t>腎臟、腎上腺、輸尿管、膀胱及尿道。</w:t>
      </w:r>
    </w:p>
    <w:p>
      <w:pPr>
        <w:spacing w:before="1"/>
        <w:ind w:left="659" w:right="0" w:firstLine="0"/>
        <w:jc w:val="left"/>
        <w:rPr>
          <w:sz w:val="20"/>
        </w:rPr>
      </w:pPr>
      <w:r>
        <w:rPr>
          <w:sz w:val="20"/>
        </w:rPr>
        <w:t>2.前述「二分之一以上」之認定標準於對稱器官以切除一側，肺臟以切除二葉為準。</w:t>
      </w:r>
    </w:p>
    <w:p>
      <w:pPr>
        <w:spacing w:line="242" w:lineRule="auto" w:before="5"/>
        <w:ind w:left="554" w:right="258" w:hanging="402"/>
        <w:jc w:val="left"/>
        <w:rPr>
          <w:sz w:val="20"/>
        </w:rPr>
      </w:pPr>
      <w:r>
        <w:rPr>
          <w:w w:val="95"/>
          <w:sz w:val="20"/>
        </w:rPr>
        <w:t>6-3.胸腹部臟器障害等級之審定：胸腹部臟器機能遺存障害，須將症狀綜合衡量，永久影響其日常生活活動之</w:t>
      </w:r>
      <w:r>
        <w:rPr>
          <w:spacing w:val="221"/>
          <w:sz w:val="20"/>
        </w:rPr>
        <w:t> </w:t>
      </w:r>
      <w:r>
        <w:rPr>
          <w:sz w:val="20"/>
        </w:rPr>
        <w:t>狀況及需他人扶助之情形，比照神經障害等級審定基本原則、綜合審定其等級。</w:t>
      </w:r>
    </w:p>
    <w:p>
      <w:pPr>
        <w:spacing w:line="242" w:lineRule="auto" w:before="4"/>
        <w:ind w:left="554" w:right="254" w:hanging="402"/>
        <w:jc w:val="left"/>
        <w:rPr>
          <w:sz w:val="20"/>
        </w:rPr>
      </w:pPr>
      <w:r>
        <w:rPr>
          <w:w w:val="95"/>
          <w:sz w:val="20"/>
        </w:rPr>
        <w:t>6-4.膀胱機能完全喪失，係指必須永久性自腹表排尿或長期導尿者(包括永久性迴腸導管、寇克氏囊與輸尿管造</w:t>
      </w:r>
      <w:r>
        <w:rPr>
          <w:spacing w:val="130"/>
          <w:sz w:val="20"/>
        </w:rPr>
        <w:t> </w:t>
      </w:r>
      <w:r>
        <w:rPr>
          <w:sz w:val="20"/>
        </w:rPr>
        <w:t>口術)。</w:t>
      </w:r>
    </w:p>
    <w:p>
      <w:pPr>
        <w:spacing w:line="347" w:lineRule="exact" w:before="136"/>
        <w:ind w:left="152" w:right="0" w:firstLine="0"/>
        <w:jc w:val="left"/>
        <w:rPr>
          <w:rFonts w:ascii="Microsoft JhengHei" w:eastAsia="Microsoft JhengHei" w:hint="eastAsia"/>
          <w:b/>
          <w:sz w:val="20"/>
        </w:rPr>
      </w:pPr>
      <w:r>
        <w:rPr>
          <w:rFonts w:ascii="Microsoft JhengHei" w:eastAsia="Microsoft JhengHei" w:hint="eastAsia"/>
          <w:b/>
          <w:sz w:val="20"/>
        </w:rPr>
        <w:t>註7：</w:t>
      </w:r>
    </w:p>
    <w:p>
      <w:pPr>
        <w:spacing w:line="235" w:lineRule="exact" w:before="0"/>
        <w:ind w:left="152" w:right="0" w:firstLine="0"/>
        <w:jc w:val="left"/>
        <w:rPr>
          <w:sz w:val="20"/>
        </w:rPr>
      </w:pPr>
      <w:r>
        <w:rPr>
          <w:sz w:val="20"/>
        </w:rPr>
        <w:t>7-1.脊柱遺存障害者，若併存神經障害時，應綜合其全部症狀擇一等級定之，等級不同者，應按其中較重者定</w:t>
      </w:r>
    </w:p>
    <w:p>
      <w:pPr>
        <w:spacing w:before="3"/>
        <w:ind w:left="554" w:right="0" w:firstLine="0"/>
        <w:jc w:val="left"/>
        <w:rPr>
          <w:sz w:val="20"/>
        </w:rPr>
      </w:pPr>
      <w:r>
        <w:rPr>
          <w:sz w:val="20"/>
        </w:rPr>
        <w:t>其等級。</w:t>
      </w:r>
    </w:p>
    <w:p>
      <w:pPr>
        <w:spacing w:line="269" w:lineRule="exact" w:before="5"/>
        <w:ind w:left="152" w:right="0" w:firstLine="0"/>
        <w:jc w:val="left"/>
        <w:rPr>
          <w:sz w:val="20"/>
        </w:rPr>
      </w:pPr>
      <w:r>
        <w:rPr>
          <w:sz w:val="20"/>
        </w:rPr>
        <w:t>7-2.脊柱運動障害須經</w:t>
      </w:r>
      <w:r>
        <w:rPr>
          <w:rFonts w:ascii="MingLiU_HKSCS-ExtB" w:eastAsia="MingLiU_HKSCS-ExtB"/>
          <w:sz w:val="20"/>
        </w:rPr>
        <w:t>X</w:t>
      </w:r>
      <w:r>
        <w:rPr>
          <w:sz w:val="20"/>
        </w:rPr>
        <w:t>光照片檢查始可診斷，如經診斷有明顯骨折、脫位或變形者，應依下列規定審定：</w:t>
      </w:r>
    </w:p>
    <w:p>
      <w:pPr>
        <w:pStyle w:val="ListParagraph"/>
        <w:numPr>
          <w:ilvl w:val="0"/>
          <w:numId w:val="8"/>
        </w:numPr>
        <w:tabs>
          <w:tab w:pos="1169" w:val="left" w:leader="none"/>
        </w:tabs>
        <w:spacing w:line="244" w:lineRule="auto" w:before="0" w:after="0"/>
        <w:ind w:left="1089" w:right="256" w:hanging="425"/>
        <w:jc w:val="left"/>
        <w:rPr>
          <w:sz w:val="20"/>
        </w:rPr>
      </w:pPr>
      <w:r>
        <w:rPr>
          <w:w w:val="95"/>
          <w:sz w:val="20"/>
        </w:rPr>
        <w:t>「遺存顯著運動障害」，係指脊柱連續固定四個椎體及三個椎間盤（含）以上，且喪失生理運動範</w:t>
      </w:r>
      <w:r>
        <w:rPr>
          <w:spacing w:val="157"/>
          <w:sz w:val="20"/>
        </w:rPr>
        <w:t> </w:t>
      </w:r>
      <w:r>
        <w:rPr>
          <w:sz w:val="20"/>
        </w:rPr>
        <w:t>圍二分之一以上者。</w:t>
      </w:r>
    </w:p>
    <w:p>
      <w:pPr>
        <w:pStyle w:val="ListParagraph"/>
        <w:numPr>
          <w:ilvl w:val="0"/>
          <w:numId w:val="8"/>
        </w:numPr>
        <w:tabs>
          <w:tab w:pos="1169" w:val="left" w:leader="none"/>
        </w:tabs>
        <w:spacing w:line="242" w:lineRule="auto" w:before="0" w:after="0"/>
        <w:ind w:left="1089" w:right="257" w:hanging="425"/>
        <w:jc w:val="left"/>
        <w:rPr>
          <w:sz w:val="20"/>
        </w:rPr>
      </w:pPr>
      <w:r>
        <w:rPr>
          <w:w w:val="95"/>
          <w:sz w:val="20"/>
        </w:rPr>
        <w:t>「遺存運動障害」，係指脊柱連續固定四個椎體及三個椎間盤（含）以上，且喪失生理運動範圍三</w:t>
      </w:r>
      <w:r>
        <w:rPr>
          <w:spacing w:val="156"/>
          <w:sz w:val="20"/>
        </w:rPr>
        <w:t> </w:t>
      </w:r>
      <w:r>
        <w:rPr>
          <w:sz w:val="20"/>
        </w:rPr>
        <w:t>分之一以上者。</w:t>
      </w:r>
    </w:p>
    <w:p>
      <w:pPr>
        <w:pStyle w:val="ListParagraph"/>
        <w:numPr>
          <w:ilvl w:val="0"/>
          <w:numId w:val="8"/>
        </w:numPr>
        <w:tabs>
          <w:tab w:pos="1166" w:val="left" w:leader="none"/>
        </w:tabs>
        <w:spacing w:line="240" w:lineRule="auto" w:before="0" w:after="0"/>
        <w:ind w:left="1165" w:right="0" w:hanging="502"/>
        <w:jc w:val="left"/>
        <w:rPr>
          <w:sz w:val="20"/>
        </w:rPr>
      </w:pPr>
      <w:r>
        <w:rPr>
          <w:w w:val="95"/>
          <w:sz w:val="20"/>
        </w:rPr>
        <w:t>脊柱運動限制不明顯或脊柱固定三個椎體及二個椎間盤（含）以下者，不在給付範圍。</w:t>
      </w:r>
    </w:p>
    <w:p>
      <w:pPr>
        <w:spacing w:line="346" w:lineRule="exact" w:before="130"/>
        <w:ind w:left="152" w:right="0" w:firstLine="0"/>
        <w:jc w:val="left"/>
        <w:rPr>
          <w:rFonts w:ascii="Microsoft JhengHei" w:eastAsia="Microsoft JhengHei" w:hint="eastAsia"/>
          <w:b/>
          <w:sz w:val="20"/>
        </w:rPr>
      </w:pPr>
      <w:r>
        <w:rPr>
          <w:rFonts w:ascii="Microsoft JhengHei" w:eastAsia="Microsoft JhengHei" w:hint="eastAsia"/>
          <w:b/>
          <w:sz w:val="20"/>
        </w:rPr>
        <w:t>註8：</w:t>
      </w:r>
    </w:p>
    <w:p>
      <w:pPr>
        <w:spacing w:line="235" w:lineRule="exact" w:before="0"/>
        <w:ind w:left="152" w:right="0" w:firstLine="0"/>
        <w:jc w:val="left"/>
        <w:rPr>
          <w:sz w:val="20"/>
        </w:rPr>
      </w:pPr>
      <w:r>
        <w:rPr>
          <w:sz w:val="20"/>
        </w:rPr>
        <w:t>8-1.「手指缺失」係指：</w:t>
      </w:r>
    </w:p>
    <w:p>
      <w:pPr>
        <w:pStyle w:val="ListParagraph"/>
        <w:numPr>
          <w:ilvl w:val="0"/>
          <w:numId w:val="9"/>
        </w:numPr>
        <w:tabs>
          <w:tab w:pos="1166" w:val="left" w:leader="none"/>
        </w:tabs>
        <w:spacing w:line="240" w:lineRule="auto" w:before="3" w:after="0"/>
        <w:ind w:left="1165" w:right="0" w:hanging="502"/>
        <w:jc w:val="left"/>
        <w:rPr>
          <w:sz w:val="20"/>
        </w:rPr>
      </w:pPr>
      <w:r>
        <w:rPr>
          <w:w w:val="95"/>
          <w:sz w:val="20"/>
        </w:rPr>
        <w:t>在拇指者，係由指節間關節切斷者。</w:t>
      </w:r>
    </w:p>
    <w:p>
      <w:pPr>
        <w:pStyle w:val="ListParagraph"/>
        <w:numPr>
          <w:ilvl w:val="0"/>
          <w:numId w:val="9"/>
        </w:numPr>
        <w:tabs>
          <w:tab w:pos="1166" w:val="left" w:leader="none"/>
        </w:tabs>
        <w:spacing w:line="240" w:lineRule="auto" w:before="5" w:after="0"/>
        <w:ind w:left="1165" w:right="0" w:hanging="502"/>
        <w:jc w:val="left"/>
        <w:rPr>
          <w:sz w:val="20"/>
        </w:rPr>
      </w:pPr>
      <w:r>
        <w:rPr>
          <w:w w:val="95"/>
          <w:sz w:val="20"/>
        </w:rPr>
        <w:t>其他各指，係指由近位指節間關節切斷者。</w:t>
      </w:r>
    </w:p>
    <w:p>
      <w:pPr>
        <w:spacing w:before="3"/>
        <w:ind w:left="152" w:right="0" w:firstLine="0"/>
        <w:jc w:val="left"/>
        <w:rPr>
          <w:sz w:val="20"/>
        </w:rPr>
      </w:pPr>
      <w:r>
        <w:rPr>
          <w:w w:val="95"/>
          <w:sz w:val="20"/>
        </w:rPr>
        <w:t>8-2.若經接指手術後機能仍永久完全喪失者，視為缺失。足趾亦同。</w:t>
      </w:r>
    </w:p>
    <w:p>
      <w:pPr>
        <w:spacing w:line="242" w:lineRule="auto" w:before="6"/>
        <w:ind w:left="554" w:right="256" w:hanging="402"/>
        <w:jc w:val="left"/>
        <w:rPr>
          <w:sz w:val="20"/>
        </w:rPr>
      </w:pPr>
      <w:r>
        <w:rPr>
          <w:w w:val="95"/>
          <w:sz w:val="20"/>
        </w:rPr>
        <w:t>8-3.截取拇趾接合於拇指時，若拇指原本之缺失已符合失能標準，接合後機能雖完全正常，拇指之部份仍視為</w:t>
      </w:r>
      <w:r>
        <w:rPr>
          <w:spacing w:val="223"/>
          <w:sz w:val="20"/>
        </w:rPr>
        <w:t> </w:t>
      </w:r>
      <w:r>
        <w:rPr>
          <w:sz w:val="20"/>
        </w:rPr>
        <w:t>缺失，而拇趾之自截部份不予計入。</w:t>
      </w:r>
    </w:p>
    <w:p>
      <w:pPr>
        <w:spacing w:line="346" w:lineRule="exact" w:before="136"/>
        <w:ind w:left="152" w:right="0" w:firstLine="0"/>
        <w:jc w:val="left"/>
        <w:rPr>
          <w:rFonts w:ascii="Microsoft JhengHei" w:eastAsia="Microsoft JhengHei" w:hint="eastAsia"/>
          <w:b/>
          <w:sz w:val="20"/>
        </w:rPr>
      </w:pPr>
      <w:r>
        <w:rPr>
          <w:rFonts w:ascii="Microsoft JhengHei" w:eastAsia="Microsoft JhengHei" w:hint="eastAsia"/>
          <w:b/>
          <w:sz w:val="20"/>
        </w:rPr>
        <w:t>註9：</w:t>
      </w:r>
    </w:p>
    <w:p>
      <w:pPr>
        <w:spacing w:line="235" w:lineRule="exact" w:before="0"/>
        <w:ind w:left="152" w:right="0" w:firstLine="0"/>
        <w:jc w:val="left"/>
        <w:rPr>
          <w:sz w:val="20"/>
        </w:rPr>
      </w:pPr>
      <w:r>
        <w:rPr>
          <w:sz w:val="20"/>
        </w:rPr>
        <w:t>9-1.「一上肢肩、肘及腕關節永久喪失機能」，係指一上肢完全廢用，如下列情況者：</w:t>
      </w:r>
    </w:p>
    <w:p>
      <w:pPr>
        <w:pStyle w:val="ListParagraph"/>
        <w:numPr>
          <w:ilvl w:val="0"/>
          <w:numId w:val="10"/>
        </w:numPr>
        <w:tabs>
          <w:tab w:pos="1166" w:val="left" w:leader="none"/>
        </w:tabs>
        <w:spacing w:line="240" w:lineRule="auto" w:before="3" w:after="0"/>
        <w:ind w:left="1165" w:right="0" w:hanging="502"/>
        <w:jc w:val="left"/>
        <w:rPr>
          <w:sz w:val="20"/>
        </w:rPr>
      </w:pPr>
      <w:r>
        <w:rPr>
          <w:w w:val="95"/>
          <w:sz w:val="20"/>
        </w:rPr>
        <w:t>一上肢肩、肘及腕關節完全強直或完全麻痺，及該手五指均永久喪失機能者。</w:t>
      </w:r>
    </w:p>
    <w:p>
      <w:pPr>
        <w:pStyle w:val="ListParagraph"/>
        <w:numPr>
          <w:ilvl w:val="0"/>
          <w:numId w:val="10"/>
        </w:numPr>
        <w:tabs>
          <w:tab w:pos="1166" w:val="left" w:leader="none"/>
        </w:tabs>
        <w:spacing w:line="240" w:lineRule="auto" w:before="6" w:after="0"/>
        <w:ind w:left="1165" w:right="0" w:hanging="502"/>
        <w:jc w:val="left"/>
        <w:rPr>
          <w:sz w:val="20"/>
        </w:rPr>
      </w:pPr>
      <w:r>
        <w:rPr>
          <w:w w:val="95"/>
          <w:sz w:val="20"/>
        </w:rPr>
        <w:t>一上肢肩、肘及腕關節完全強直或完全麻痺者。</w:t>
      </w:r>
    </w:p>
    <w:p>
      <w:pPr>
        <w:spacing w:before="3"/>
        <w:ind w:left="152" w:right="0" w:firstLine="0"/>
        <w:jc w:val="left"/>
        <w:rPr>
          <w:sz w:val="20"/>
        </w:rPr>
      </w:pPr>
      <w:r>
        <w:rPr>
          <w:spacing w:val="-2"/>
          <w:sz w:val="20"/>
        </w:rPr>
        <w:t>9-2.「一上肢肩、肘及腕關節永久遺存顯著運動障害」，係指一上肢各關節遺存顯著運動障害，如下列情況者：</w:t>
      </w:r>
    </w:p>
    <w:p>
      <w:pPr>
        <w:pStyle w:val="ListParagraph"/>
        <w:numPr>
          <w:ilvl w:val="0"/>
          <w:numId w:val="11"/>
        </w:numPr>
        <w:tabs>
          <w:tab w:pos="1166" w:val="left" w:leader="none"/>
        </w:tabs>
        <w:spacing w:line="240" w:lineRule="auto" w:before="5" w:after="0"/>
        <w:ind w:left="1165" w:right="0" w:hanging="502"/>
        <w:jc w:val="left"/>
        <w:rPr>
          <w:sz w:val="20"/>
        </w:rPr>
      </w:pPr>
      <w:r>
        <w:rPr>
          <w:w w:val="95"/>
          <w:sz w:val="20"/>
        </w:rPr>
        <w:t>一上肢肩、肘及腕關節均永久遺存顯著運動障害，及該手五指均永久喪失機能者。</w:t>
      </w:r>
    </w:p>
    <w:p>
      <w:pPr>
        <w:spacing w:after="0" w:line="240" w:lineRule="auto"/>
        <w:jc w:val="left"/>
        <w:rPr>
          <w:sz w:val="20"/>
        </w:rPr>
        <w:sectPr>
          <w:pgSz w:w="11910" w:h="16840"/>
          <w:pgMar w:header="0" w:footer="746" w:top="1360" w:bottom="1020" w:left="980" w:right="880"/>
        </w:sectPr>
      </w:pPr>
    </w:p>
    <w:p>
      <w:pPr>
        <w:pStyle w:val="ListParagraph"/>
        <w:numPr>
          <w:ilvl w:val="0"/>
          <w:numId w:val="11"/>
        </w:numPr>
        <w:tabs>
          <w:tab w:pos="1166" w:val="left" w:leader="none"/>
        </w:tabs>
        <w:spacing w:line="242" w:lineRule="auto" w:before="29" w:after="0"/>
        <w:ind w:left="152" w:right="4281" w:firstLine="511"/>
        <w:jc w:val="left"/>
        <w:rPr>
          <w:sz w:val="20"/>
        </w:rPr>
      </w:pPr>
      <w:r>
        <w:rPr>
          <w:w w:val="95"/>
          <w:sz w:val="20"/>
        </w:rPr>
        <w:t>一上肢肩、肘及腕關節均永久遺存顯著運動障害者。9-3.以生理運動範圍，作審定關節機能障害之標準，規定如下：</w:t>
      </w:r>
    </w:p>
    <w:p>
      <w:pPr>
        <w:pStyle w:val="ListParagraph"/>
        <w:numPr>
          <w:ilvl w:val="0"/>
          <w:numId w:val="12"/>
        </w:numPr>
        <w:tabs>
          <w:tab w:pos="1166" w:val="left" w:leader="none"/>
        </w:tabs>
        <w:spacing w:line="240" w:lineRule="auto" w:before="4" w:after="0"/>
        <w:ind w:left="1165" w:right="0" w:hanging="502"/>
        <w:jc w:val="left"/>
        <w:rPr>
          <w:sz w:val="20"/>
        </w:rPr>
      </w:pPr>
      <w:r>
        <w:rPr>
          <w:w w:val="95"/>
          <w:sz w:val="20"/>
        </w:rPr>
        <w:t>「喪失機能」，係指關節完全強直或完全麻痺狀態者。</w:t>
      </w:r>
    </w:p>
    <w:p>
      <w:pPr>
        <w:pStyle w:val="ListParagraph"/>
        <w:numPr>
          <w:ilvl w:val="0"/>
          <w:numId w:val="12"/>
        </w:numPr>
        <w:tabs>
          <w:tab w:pos="1166" w:val="left" w:leader="none"/>
        </w:tabs>
        <w:spacing w:line="240" w:lineRule="auto" w:before="3" w:after="0"/>
        <w:ind w:left="1165" w:right="0" w:hanging="502"/>
        <w:jc w:val="left"/>
        <w:rPr>
          <w:sz w:val="20"/>
        </w:rPr>
      </w:pPr>
      <w:r>
        <w:rPr>
          <w:w w:val="95"/>
          <w:sz w:val="20"/>
        </w:rPr>
        <w:t>「顯著運動障害」，係指喪失生理運動範圍二分之一以上者。</w:t>
      </w:r>
    </w:p>
    <w:p>
      <w:pPr>
        <w:pStyle w:val="ListParagraph"/>
        <w:numPr>
          <w:ilvl w:val="0"/>
          <w:numId w:val="12"/>
        </w:numPr>
        <w:tabs>
          <w:tab w:pos="1166" w:val="left" w:leader="none"/>
        </w:tabs>
        <w:spacing w:line="244" w:lineRule="auto" w:before="3" w:after="0"/>
        <w:ind w:left="152" w:right="3883" w:firstLine="511"/>
        <w:jc w:val="left"/>
        <w:rPr>
          <w:sz w:val="20"/>
        </w:rPr>
      </w:pPr>
      <w:r>
        <w:rPr>
          <w:w w:val="95"/>
          <w:sz w:val="20"/>
        </w:rPr>
        <w:t>「運動障害」，係指喪失生理運動範圍三分之一以上者。</w:t>
      </w:r>
      <w:r>
        <w:rPr>
          <w:sz w:val="20"/>
        </w:rPr>
        <w:t>9-4.運動限制之測定：</w:t>
      </w:r>
    </w:p>
    <w:p>
      <w:pPr>
        <w:pStyle w:val="ListParagraph"/>
        <w:numPr>
          <w:ilvl w:val="0"/>
          <w:numId w:val="13"/>
        </w:numPr>
        <w:tabs>
          <w:tab w:pos="1169" w:val="left" w:leader="none"/>
        </w:tabs>
        <w:spacing w:line="244" w:lineRule="auto" w:before="0" w:after="0"/>
        <w:ind w:left="1089" w:right="254" w:hanging="425"/>
        <w:jc w:val="left"/>
        <w:rPr>
          <w:sz w:val="20"/>
        </w:rPr>
      </w:pPr>
      <w:r>
        <w:rPr>
          <w:w w:val="95"/>
          <w:sz w:val="20"/>
        </w:rPr>
        <w:t>以各關節之生理運動範圍為基準。機能(運動)障害原因及程度明顯時，採用主動運動之運動範圍，</w:t>
      </w:r>
      <w:r>
        <w:rPr>
          <w:spacing w:val="159"/>
          <w:sz w:val="20"/>
        </w:rPr>
        <w:t> </w:t>
      </w:r>
      <w:r>
        <w:rPr>
          <w:sz w:val="20"/>
        </w:rPr>
        <w:t>如障害程度不明確時，則須由被動運動之可能運動範圍參考決定之。</w:t>
      </w:r>
    </w:p>
    <w:p>
      <w:pPr>
        <w:pStyle w:val="ListParagraph"/>
        <w:numPr>
          <w:ilvl w:val="0"/>
          <w:numId w:val="13"/>
        </w:numPr>
        <w:tabs>
          <w:tab w:pos="1166" w:val="left" w:leader="none"/>
        </w:tabs>
        <w:spacing w:line="242" w:lineRule="auto" w:before="0" w:after="0"/>
        <w:ind w:left="152" w:right="3280" w:firstLine="511"/>
        <w:jc w:val="left"/>
        <w:rPr>
          <w:sz w:val="20"/>
        </w:rPr>
      </w:pPr>
      <w:r>
        <w:rPr>
          <w:w w:val="95"/>
          <w:sz w:val="20"/>
        </w:rPr>
        <w:t>經石膏固定患部者，應考慮其癒後恢復之程度，作適宜之決定。</w:t>
      </w:r>
      <w:r>
        <w:rPr>
          <w:sz w:val="20"/>
        </w:rPr>
        <w:t>9-5.上下肢關節名稱及生理運動範圍如說明圖表。</w:t>
      </w:r>
    </w:p>
    <w:p>
      <w:pPr>
        <w:spacing w:line="348" w:lineRule="exact" w:before="132"/>
        <w:ind w:left="152" w:right="0" w:firstLine="0"/>
        <w:jc w:val="left"/>
        <w:rPr>
          <w:rFonts w:ascii="Microsoft JhengHei" w:eastAsia="Microsoft JhengHei" w:hint="eastAsia"/>
          <w:b/>
          <w:sz w:val="20"/>
        </w:rPr>
      </w:pPr>
      <w:r>
        <w:rPr>
          <w:rFonts w:ascii="Microsoft JhengHei" w:eastAsia="Microsoft JhengHei" w:hint="eastAsia"/>
          <w:b/>
          <w:sz w:val="20"/>
        </w:rPr>
        <w:t>註10：</w:t>
      </w:r>
    </w:p>
    <w:p>
      <w:pPr>
        <w:spacing w:line="236" w:lineRule="exact" w:before="0"/>
        <w:ind w:left="152" w:right="0" w:firstLine="0"/>
        <w:jc w:val="left"/>
        <w:rPr>
          <w:sz w:val="20"/>
        </w:rPr>
      </w:pPr>
      <w:r>
        <w:rPr>
          <w:sz w:val="20"/>
        </w:rPr>
        <w:t>10-1.「手指永久喪失機能」係指：</w:t>
      </w:r>
    </w:p>
    <w:p>
      <w:pPr>
        <w:pStyle w:val="ListParagraph"/>
        <w:numPr>
          <w:ilvl w:val="0"/>
          <w:numId w:val="14"/>
        </w:numPr>
        <w:tabs>
          <w:tab w:pos="1166" w:val="left" w:leader="none"/>
        </w:tabs>
        <w:spacing w:line="240" w:lineRule="auto" w:before="3" w:after="0"/>
        <w:ind w:left="1165" w:right="0" w:hanging="502"/>
        <w:jc w:val="left"/>
        <w:rPr>
          <w:sz w:val="20"/>
        </w:rPr>
      </w:pPr>
      <w:r>
        <w:rPr/>
        <w:drawing>
          <wp:anchor distT="0" distB="0" distL="0" distR="0" allowOverlap="1" layoutInCell="1" locked="0" behindDoc="1" simplePos="0" relativeHeight="486331392">
            <wp:simplePos x="0" y="0"/>
            <wp:positionH relativeFrom="page">
              <wp:posOffset>2874040</wp:posOffset>
            </wp:positionH>
            <wp:positionV relativeFrom="paragraph">
              <wp:posOffset>138444</wp:posOffset>
            </wp:positionV>
            <wp:extent cx="1837644" cy="4428464"/>
            <wp:effectExtent l="0" t="0" r="0" b="0"/>
            <wp:wrapNone/>
            <wp:docPr id="45" name="image1.png"/>
            <wp:cNvGraphicFramePr>
              <a:graphicFrameLocks noChangeAspect="1"/>
            </wp:cNvGraphicFramePr>
            <a:graphic>
              <a:graphicData uri="http://schemas.openxmlformats.org/drawingml/2006/picture">
                <pic:pic>
                  <pic:nvPicPr>
                    <pic:cNvPr id="46" name="image1.png"/>
                    <pic:cNvPicPr/>
                  </pic:nvPicPr>
                  <pic:blipFill>
                    <a:blip r:embed="rId7" cstate="print"/>
                    <a:stretch>
                      <a:fillRect/>
                    </a:stretch>
                  </pic:blipFill>
                  <pic:spPr>
                    <a:xfrm>
                      <a:off x="0" y="0"/>
                      <a:ext cx="1837644" cy="4428464"/>
                    </a:xfrm>
                    <a:prstGeom prst="rect">
                      <a:avLst/>
                    </a:prstGeom>
                  </pic:spPr>
                </pic:pic>
              </a:graphicData>
            </a:graphic>
          </wp:anchor>
        </w:drawing>
      </w:r>
      <w:r>
        <w:rPr>
          <w:w w:val="95"/>
          <w:sz w:val="20"/>
        </w:rPr>
        <w:t>在拇指，中手指節關節或指節間關節，喪失生理運動範圍二分之一以上者。</w:t>
      </w:r>
    </w:p>
    <w:p>
      <w:pPr>
        <w:pStyle w:val="ListParagraph"/>
        <w:numPr>
          <w:ilvl w:val="0"/>
          <w:numId w:val="14"/>
        </w:numPr>
        <w:tabs>
          <w:tab w:pos="1166" w:val="left" w:leader="none"/>
        </w:tabs>
        <w:spacing w:line="240" w:lineRule="auto" w:before="3" w:after="0"/>
        <w:ind w:left="1165" w:right="0" w:hanging="502"/>
        <w:jc w:val="left"/>
        <w:rPr>
          <w:sz w:val="20"/>
        </w:rPr>
      </w:pPr>
      <w:r>
        <w:rPr>
          <w:w w:val="95"/>
          <w:sz w:val="20"/>
        </w:rPr>
        <w:t>在其他各指，中手指節關節，或近位指節間關節，喪失生理運動範圍二分之一以上者。</w:t>
      </w:r>
    </w:p>
    <w:p>
      <w:pPr>
        <w:pStyle w:val="ListParagraph"/>
        <w:numPr>
          <w:ilvl w:val="0"/>
          <w:numId w:val="14"/>
        </w:numPr>
        <w:tabs>
          <w:tab w:pos="1166" w:val="left" w:leader="none"/>
        </w:tabs>
        <w:spacing w:line="240" w:lineRule="auto" w:before="5" w:after="0"/>
        <w:ind w:left="1165" w:right="0" w:hanging="502"/>
        <w:jc w:val="left"/>
        <w:rPr>
          <w:sz w:val="20"/>
        </w:rPr>
      </w:pPr>
      <w:r>
        <w:rPr>
          <w:w w:val="95"/>
          <w:sz w:val="20"/>
        </w:rPr>
        <w:t>拇指或其他各指之末節切斷達二分之一以上者。</w:t>
      </w:r>
    </w:p>
    <w:p>
      <w:pPr>
        <w:spacing w:line="348" w:lineRule="exact" w:before="137"/>
        <w:ind w:left="152" w:right="0" w:firstLine="0"/>
        <w:jc w:val="left"/>
        <w:rPr>
          <w:rFonts w:ascii="Microsoft JhengHei" w:eastAsia="Microsoft JhengHei" w:hint="eastAsia"/>
          <w:b/>
          <w:sz w:val="20"/>
        </w:rPr>
      </w:pPr>
      <w:r>
        <w:rPr>
          <w:rFonts w:ascii="Microsoft JhengHei" w:eastAsia="Microsoft JhengHei" w:hint="eastAsia"/>
          <w:b/>
          <w:sz w:val="20"/>
        </w:rPr>
        <w:t>註11：</w:t>
      </w:r>
    </w:p>
    <w:p>
      <w:pPr>
        <w:spacing w:line="236" w:lineRule="exact" w:before="0"/>
        <w:ind w:left="152" w:right="0" w:firstLine="0"/>
        <w:jc w:val="left"/>
        <w:rPr>
          <w:sz w:val="20"/>
        </w:rPr>
      </w:pPr>
      <w:r>
        <w:rPr>
          <w:sz w:val="20"/>
        </w:rPr>
        <w:t>11-1.下肢縮短之測定，自患側之腸骨前上棘與內踝下端之長度，與健側下肢比較測定其短縮程度。</w:t>
      </w:r>
    </w:p>
    <w:p>
      <w:pPr>
        <w:spacing w:line="346" w:lineRule="exact" w:before="139"/>
        <w:ind w:left="152" w:right="0" w:firstLine="0"/>
        <w:jc w:val="left"/>
        <w:rPr>
          <w:rFonts w:ascii="Microsoft JhengHei" w:eastAsia="Microsoft JhengHei" w:hint="eastAsia"/>
          <w:b/>
          <w:sz w:val="20"/>
        </w:rPr>
      </w:pPr>
      <w:r>
        <w:rPr>
          <w:rFonts w:ascii="Microsoft JhengHei" w:eastAsia="Microsoft JhengHei" w:hint="eastAsia"/>
          <w:b/>
          <w:sz w:val="20"/>
        </w:rPr>
        <w:t>註12：</w:t>
      </w:r>
    </w:p>
    <w:p>
      <w:pPr>
        <w:spacing w:line="235" w:lineRule="exact" w:before="0"/>
        <w:ind w:left="152" w:right="0" w:firstLine="0"/>
        <w:jc w:val="left"/>
        <w:rPr>
          <w:sz w:val="20"/>
        </w:rPr>
      </w:pPr>
      <w:r>
        <w:rPr>
          <w:sz w:val="20"/>
        </w:rPr>
        <w:t>12-1.「足趾缺失」係指：自中足趾關節切斷而足趾全部缺損者。</w:t>
      </w:r>
    </w:p>
    <w:p>
      <w:pPr>
        <w:spacing w:line="346" w:lineRule="exact" w:before="138"/>
        <w:ind w:left="152" w:right="0" w:firstLine="0"/>
        <w:jc w:val="left"/>
        <w:rPr>
          <w:rFonts w:ascii="Microsoft JhengHei" w:eastAsia="Microsoft JhengHei" w:hint="eastAsia"/>
          <w:b/>
          <w:sz w:val="20"/>
        </w:rPr>
      </w:pPr>
      <w:r>
        <w:rPr>
          <w:rFonts w:ascii="Microsoft JhengHei" w:eastAsia="Microsoft JhengHei" w:hint="eastAsia"/>
          <w:b/>
          <w:sz w:val="20"/>
        </w:rPr>
        <w:t>註13：</w:t>
      </w:r>
    </w:p>
    <w:p>
      <w:pPr>
        <w:spacing w:line="235" w:lineRule="exact" w:before="0"/>
        <w:ind w:left="152" w:right="0" w:firstLine="0"/>
        <w:jc w:val="left"/>
        <w:rPr>
          <w:sz w:val="20"/>
        </w:rPr>
      </w:pPr>
      <w:r>
        <w:rPr>
          <w:sz w:val="20"/>
        </w:rPr>
        <w:t>13-1.「一下肢髖、膝及足踝關節永久喪失機能」，係指一下肢完全廢用，如下列情況者：</w:t>
      </w:r>
    </w:p>
    <w:p>
      <w:pPr>
        <w:pStyle w:val="ListParagraph"/>
        <w:numPr>
          <w:ilvl w:val="0"/>
          <w:numId w:val="15"/>
        </w:numPr>
        <w:tabs>
          <w:tab w:pos="1166" w:val="left" w:leader="none"/>
        </w:tabs>
        <w:spacing w:line="240" w:lineRule="auto" w:before="6" w:after="0"/>
        <w:ind w:left="1165" w:right="0" w:hanging="502"/>
        <w:jc w:val="left"/>
        <w:rPr>
          <w:sz w:val="20"/>
        </w:rPr>
      </w:pPr>
      <w:r>
        <w:rPr>
          <w:w w:val="95"/>
          <w:sz w:val="20"/>
        </w:rPr>
        <w:t>一下肢三大關節均完全強直或完全麻痺，以及一足五趾均喪失機能者。</w:t>
      </w:r>
    </w:p>
    <w:p>
      <w:pPr>
        <w:pStyle w:val="ListParagraph"/>
        <w:numPr>
          <w:ilvl w:val="0"/>
          <w:numId w:val="15"/>
        </w:numPr>
        <w:tabs>
          <w:tab w:pos="1166" w:val="left" w:leader="none"/>
        </w:tabs>
        <w:spacing w:line="240" w:lineRule="auto" w:before="3" w:after="0"/>
        <w:ind w:left="1165" w:right="0" w:hanging="502"/>
        <w:jc w:val="left"/>
        <w:rPr>
          <w:sz w:val="20"/>
        </w:rPr>
      </w:pPr>
      <w:r>
        <w:rPr>
          <w:w w:val="95"/>
          <w:sz w:val="20"/>
        </w:rPr>
        <w:t>一下肢三大關節均完全強直或完全麻痺者。</w:t>
      </w:r>
    </w:p>
    <w:p>
      <w:pPr>
        <w:spacing w:before="3"/>
        <w:ind w:left="152" w:right="0" w:firstLine="0"/>
        <w:jc w:val="left"/>
        <w:rPr>
          <w:sz w:val="20"/>
        </w:rPr>
      </w:pPr>
      <w:r>
        <w:rPr>
          <w:sz w:val="20"/>
        </w:rPr>
        <w:t>13-2.下肢之機能障害「喪失機能」、「顯著運動障害」或「運動障害」之審定，參照上肢之各該項規定。</w:t>
      </w:r>
    </w:p>
    <w:p>
      <w:pPr>
        <w:spacing w:line="346" w:lineRule="exact" w:before="138"/>
        <w:ind w:left="152" w:right="0" w:firstLine="0"/>
        <w:jc w:val="left"/>
        <w:rPr>
          <w:rFonts w:ascii="Microsoft JhengHei" w:eastAsia="Microsoft JhengHei" w:hint="eastAsia"/>
          <w:b/>
          <w:sz w:val="20"/>
        </w:rPr>
      </w:pPr>
      <w:r>
        <w:rPr>
          <w:rFonts w:ascii="Microsoft JhengHei" w:eastAsia="Microsoft JhengHei" w:hint="eastAsia"/>
          <w:b/>
          <w:sz w:val="20"/>
        </w:rPr>
        <w:t>註14：</w:t>
      </w:r>
    </w:p>
    <w:p>
      <w:pPr>
        <w:spacing w:line="235" w:lineRule="exact" w:before="0"/>
        <w:ind w:left="152" w:right="0" w:firstLine="0"/>
        <w:jc w:val="left"/>
        <w:rPr>
          <w:sz w:val="20"/>
        </w:rPr>
      </w:pPr>
      <w:r>
        <w:rPr>
          <w:sz w:val="20"/>
        </w:rPr>
        <w:t>14-1.「足趾永久喪失機能者」係指符合下列情況者：</w:t>
      </w:r>
    </w:p>
    <w:p>
      <w:pPr>
        <w:pStyle w:val="ListParagraph"/>
        <w:numPr>
          <w:ilvl w:val="0"/>
          <w:numId w:val="16"/>
        </w:numPr>
        <w:tabs>
          <w:tab w:pos="1169" w:val="left" w:leader="none"/>
        </w:tabs>
        <w:spacing w:line="242" w:lineRule="auto" w:before="6" w:after="0"/>
        <w:ind w:left="1089" w:right="257" w:hanging="425"/>
        <w:jc w:val="left"/>
        <w:rPr>
          <w:sz w:val="20"/>
        </w:rPr>
      </w:pPr>
      <w:r>
        <w:rPr>
          <w:w w:val="95"/>
          <w:sz w:val="20"/>
        </w:rPr>
        <w:t>第一趾末切斷二分之一以上者，或中足趾關節，或趾關節之運動可能範圍，喪失生理運動範圍二分</w:t>
      </w:r>
      <w:r>
        <w:rPr>
          <w:spacing w:val="156"/>
          <w:sz w:val="20"/>
        </w:rPr>
        <w:t> </w:t>
      </w:r>
      <w:r>
        <w:rPr>
          <w:sz w:val="20"/>
        </w:rPr>
        <w:t>之一以上者。</w:t>
      </w:r>
    </w:p>
    <w:p>
      <w:pPr>
        <w:pStyle w:val="ListParagraph"/>
        <w:numPr>
          <w:ilvl w:val="0"/>
          <w:numId w:val="16"/>
        </w:numPr>
        <w:tabs>
          <w:tab w:pos="1166" w:val="left" w:leader="none"/>
        </w:tabs>
        <w:spacing w:line="240" w:lineRule="auto" w:before="3" w:after="0"/>
        <w:ind w:left="1165" w:right="0" w:hanging="502"/>
        <w:jc w:val="left"/>
        <w:rPr>
          <w:sz w:val="20"/>
        </w:rPr>
      </w:pPr>
      <w:r>
        <w:rPr>
          <w:w w:val="95"/>
          <w:sz w:val="20"/>
        </w:rPr>
        <w:t>在第二趾，自末關節以上切斷者，或中足趾關節或第一趾關節喪失生理運動範圍二分之一上者。</w:t>
      </w:r>
    </w:p>
    <w:p>
      <w:pPr>
        <w:pStyle w:val="ListParagraph"/>
        <w:numPr>
          <w:ilvl w:val="0"/>
          <w:numId w:val="16"/>
        </w:numPr>
        <w:tabs>
          <w:tab w:pos="1166" w:val="left" w:leader="none"/>
        </w:tabs>
        <w:spacing w:line="240" w:lineRule="auto" w:before="3" w:after="0"/>
        <w:ind w:left="1165" w:right="0" w:hanging="502"/>
        <w:jc w:val="left"/>
        <w:rPr>
          <w:sz w:val="20"/>
        </w:rPr>
      </w:pPr>
      <w:r>
        <w:rPr>
          <w:w w:val="95"/>
          <w:sz w:val="20"/>
        </w:rPr>
        <w:t>在第三、四、五各趾，係指末關節以上切斷或中足趾關節及第一趾關節均完全強直者。</w:t>
      </w:r>
    </w:p>
    <w:p>
      <w:pPr>
        <w:spacing w:line="346" w:lineRule="exact" w:before="138"/>
        <w:ind w:left="152" w:right="0" w:firstLine="0"/>
        <w:jc w:val="left"/>
        <w:rPr>
          <w:rFonts w:ascii="Microsoft JhengHei" w:eastAsia="Microsoft JhengHei" w:hint="eastAsia"/>
          <w:b/>
          <w:sz w:val="20"/>
        </w:rPr>
      </w:pPr>
      <w:r>
        <w:rPr>
          <w:rFonts w:ascii="Microsoft JhengHei" w:eastAsia="Microsoft JhengHei" w:hint="eastAsia"/>
          <w:b/>
          <w:sz w:val="20"/>
        </w:rPr>
        <w:t>註15：</w:t>
      </w:r>
    </w:p>
    <w:p>
      <w:pPr>
        <w:spacing w:line="235" w:lineRule="exact" w:before="0"/>
        <w:ind w:left="152" w:right="0" w:firstLine="0"/>
        <w:jc w:val="left"/>
        <w:rPr>
          <w:sz w:val="20"/>
        </w:rPr>
      </w:pPr>
      <w:r>
        <w:rPr>
          <w:spacing w:val="-1"/>
          <w:sz w:val="20"/>
        </w:rPr>
        <w:t>15-1.機能永久喪失及遺存各級障害之判定，以被保險人於意外傷害事故發生之日起，並經六個月治療後症狀固</w:t>
      </w:r>
    </w:p>
    <w:p>
      <w:pPr>
        <w:spacing w:before="6"/>
        <w:ind w:left="652" w:right="0" w:firstLine="0"/>
        <w:jc w:val="left"/>
        <w:rPr>
          <w:sz w:val="20"/>
        </w:rPr>
      </w:pPr>
      <w:r>
        <w:rPr>
          <w:sz w:val="20"/>
        </w:rPr>
        <w:t>定，再行治療仍不能期待治療效果的結果為基準判定。但立即可判定者不在此限。</w:t>
      </w:r>
    </w:p>
    <w:p>
      <w:pPr>
        <w:pStyle w:val="BodyText"/>
        <w:ind w:left="0"/>
        <w:rPr>
          <w:sz w:val="20"/>
        </w:rPr>
      </w:pPr>
    </w:p>
    <w:p>
      <w:pPr>
        <w:pStyle w:val="BodyText"/>
        <w:spacing w:before="10"/>
        <w:ind w:left="0"/>
        <w:rPr>
          <w:sz w:val="16"/>
        </w:rPr>
      </w:pPr>
      <w:r>
        <w:rPr/>
        <w:drawing>
          <wp:anchor distT="0" distB="0" distL="0" distR="0" allowOverlap="1" layoutInCell="1" locked="0" behindDoc="0" simplePos="0" relativeHeight="23">
            <wp:simplePos x="0" y="0"/>
            <wp:positionH relativeFrom="page">
              <wp:posOffset>719455</wp:posOffset>
            </wp:positionH>
            <wp:positionV relativeFrom="paragraph">
              <wp:posOffset>161690</wp:posOffset>
            </wp:positionV>
            <wp:extent cx="6047670" cy="2211705"/>
            <wp:effectExtent l="0" t="0" r="0" b="0"/>
            <wp:wrapTopAndBottom/>
            <wp:docPr id="47" name="image2.png" descr="newnew說明圖 (2)"/>
            <wp:cNvGraphicFramePr>
              <a:graphicFrameLocks noChangeAspect="1"/>
            </wp:cNvGraphicFramePr>
            <a:graphic>
              <a:graphicData uri="http://schemas.openxmlformats.org/drawingml/2006/picture">
                <pic:pic>
                  <pic:nvPicPr>
                    <pic:cNvPr id="48" name="image2.png"/>
                    <pic:cNvPicPr/>
                  </pic:nvPicPr>
                  <pic:blipFill>
                    <a:blip r:embed="rId8" cstate="print"/>
                    <a:stretch>
                      <a:fillRect/>
                    </a:stretch>
                  </pic:blipFill>
                  <pic:spPr>
                    <a:xfrm>
                      <a:off x="0" y="0"/>
                      <a:ext cx="6047670" cy="2211705"/>
                    </a:xfrm>
                    <a:prstGeom prst="rect">
                      <a:avLst/>
                    </a:prstGeom>
                  </pic:spPr>
                </pic:pic>
              </a:graphicData>
            </a:graphic>
          </wp:anchor>
        </w:drawing>
      </w:r>
    </w:p>
    <w:p>
      <w:pPr>
        <w:spacing w:after="0"/>
        <w:rPr>
          <w:sz w:val="16"/>
        </w:rPr>
        <w:sectPr>
          <w:pgSz w:w="11910" w:h="16840"/>
          <w:pgMar w:header="0" w:footer="746" w:top="1360" w:bottom="1020" w:left="980" w:right="880"/>
        </w:sectPr>
      </w:pPr>
    </w:p>
    <w:p>
      <w:pPr>
        <w:spacing w:line="242" w:lineRule="auto" w:before="29" w:after="15"/>
        <w:ind w:left="152" w:right="6892" w:firstLine="0"/>
        <w:jc w:val="left"/>
        <w:rPr>
          <w:sz w:val="20"/>
        </w:rPr>
      </w:pPr>
      <w:r>
        <w:rPr>
          <w:spacing w:val="-1"/>
          <w:sz w:val="20"/>
        </w:rPr>
        <w:t>上、下肢關節生理運動範圍一覽表</w:t>
      </w:r>
      <w:r>
        <w:rPr>
          <w:sz w:val="20"/>
        </w:rPr>
        <w:t>上肢：</w:t>
      </w:r>
    </w:p>
    <w:tbl>
      <w:tblPr>
        <w:tblW w:w="0" w:type="auto"/>
        <w:jc w:val="left"/>
        <w:tblInd w:w="7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34"/>
        <w:gridCol w:w="2362"/>
        <w:gridCol w:w="2364"/>
        <w:gridCol w:w="2362"/>
      </w:tblGrid>
      <w:tr>
        <w:trPr>
          <w:trHeight w:val="536" w:hRule="atLeast"/>
        </w:trPr>
        <w:tc>
          <w:tcPr>
            <w:tcW w:w="1334" w:type="dxa"/>
            <w:tcBorders>
              <w:bottom w:val="single" w:sz="6" w:space="0" w:color="000000"/>
              <w:right w:val="single" w:sz="6" w:space="0" w:color="000000"/>
            </w:tcBorders>
          </w:tcPr>
          <w:p>
            <w:pPr>
              <w:pStyle w:val="TableParagraph"/>
              <w:spacing w:before="128"/>
              <w:ind w:left="247" w:right="224"/>
              <w:rPr>
                <w:sz w:val="20"/>
              </w:rPr>
            </w:pPr>
            <w:r>
              <w:rPr>
                <w:sz w:val="20"/>
              </w:rPr>
              <w:t>左肩關節</w:t>
            </w:r>
          </w:p>
        </w:tc>
        <w:tc>
          <w:tcPr>
            <w:tcW w:w="2362" w:type="dxa"/>
            <w:tcBorders>
              <w:left w:val="single" w:sz="6" w:space="0" w:color="000000"/>
              <w:bottom w:val="single" w:sz="6" w:space="0" w:color="000000"/>
              <w:right w:val="single" w:sz="6" w:space="0" w:color="000000"/>
            </w:tcBorders>
          </w:tcPr>
          <w:p>
            <w:pPr>
              <w:pStyle w:val="TableParagraph"/>
              <w:spacing w:line="255" w:lineRule="exact"/>
              <w:ind w:left="517" w:right="482"/>
              <w:rPr>
                <w:sz w:val="20"/>
              </w:rPr>
            </w:pPr>
            <w:r>
              <w:rPr>
                <w:w w:val="95"/>
                <w:sz w:val="20"/>
              </w:rPr>
              <w:t>前舉</w:t>
            </w:r>
          </w:p>
          <w:p>
            <w:pPr>
              <w:pStyle w:val="TableParagraph"/>
              <w:spacing w:before="3"/>
              <w:ind w:left="517" w:right="488"/>
              <w:rPr>
                <w:sz w:val="20"/>
              </w:rPr>
            </w:pPr>
            <w:r>
              <w:rPr>
                <w:sz w:val="20"/>
              </w:rPr>
              <w:t>（正常180度）</w:t>
            </w:r>
          </w:p>
        </w:tc>
        <w:tc>
          <w:tcPr>
            <w:tcW w:w="2364" w:type="dxa"/>
            <w:tcBorders>
              <w:left w:val="single" w:sz="6" w:space="0" w:color="000000"/>
              <w:bottom w:val="single" w:sz="6" w:space="0" w:color="000000"/>
              <w:right w:val="single" w:sz="6" w:space="0" w:color="000000"/>
            </w:tcBorders>
          </w:tcPr>
          <w:p>
            <w:pPr>
              <w:pStyle w:val="TableParagraph"/>
              <w:spacing w:line="255" w:lineRule="exact"/>
              <w:ind w:left="568" w:right="536"/>
              <w:rPr>
                <w:sz w:val="20"/>
              </w:rPr>
            </w:pPr>
            <w:r>
              <w:rPr>
                <w:w w:val="95"/>
                <w:sz w:val="20"/>
              </w:rPr>
              <w:t>後舉</w:t>
            </w:r>
          </w:p>
          <w:p>
            <w:pPr>
              <w:pStyle w:val="TableParagraph"/>
              <w:spacing w:before="3"/>
              <w:ind w:left="568" w:right="541"/>
              <w:rPr>
                <w:sz w:val="20"/>
              </w:rPr>
            </w:pPr>
            <w:r>
              <w:rPr>
                <w:sz w:val="20"/>
              </w:rPr>
              <w:t>（正常60度）</w:t>
            </w:r>
          </w:p>
        </w:tc>
        <w:tc>
          <w:tcPr>
            <w:tcW w:w="2362" w:type="dxa"/>
            <w:tcBorders>
              <w:left w:val="single" w:sz="6" w:space="0" w:color="000000"/>
              <w:bottom w:val="single" w:sz="6" w:space="0" w:color="000000"/>
            </w:tcBorders>
          </w:tcPr>
          <w:p>
            <w:pPr>
              <w:pStyle w:val="TableParagraph"/>
              <w:spacing w:line="255" w:lineRule="exact"/>
              <w:ind w:left="518" w:right="479"/>
              <w:rPr>
                <w:sz w:val="20"/>
              </w:rPr>
            </w:pPr>
            <w:r>
              <w:rPr>
                <w:sz w:val="20"/>
              </w:rPr>
              <w:t>關節活動度</w:t>
            </w:r>
          </w:p>
          <w:p>
            <w:pPr>
              <w:pStyle w:val="TableParagraph"/>
              <w:spacing w:before="3"/>
              <w:ind w:left="519" w:right="479"/>
              <w:rPr>
                <w:sz w:val="20"/>
              </w:rPr>
            </w:pPr>
            <w:r>
              <w:rPr>
                <w:sz w:val="20"/>
              </w:rPr>
              <w:t>（正常240度）</w:t>
            </w:r>
          </w:p>
        </w:tc>
      </w:tr>
      <w:tr>
        <w:trPr>
          <w:trHeight w:val="551" w:hRule="atLeast"/>
        </w:trPr>
        <w:tc>
          <w:tcPr>
            <w:tcW w:w="1334" w:type="dxa"/>
            <w:tcBorders>
              <w:top w:val="single" w:sz="6" w:space="0" w:color="000000"/>
              <w:bottom w:val="single" w:sz="6" w:space="0" w:color="000000"/>
              <w:right w:val="single" w:sz="6" w:space="0" w:color="000000"/>
            </w:tcBorders>
          </w:tcPr>
          <w:p>
            <w:pPr>
              <w:pStyle w:val="TableParagraph"/>
              <w:spacing w:before="135"/>
              <w:ind w:left="247" w:right="224"/>
              <w:rPr>
                <w:sz w:val="20"/>
              </w:rPr>
            </w:pPr>
            <w:r>
              <w:rPr>
                <w:sz w:val="20"/>
              </w:rPr>
              <w:t>右肩關節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
              <w:ind w:left="517" w:right="482"/>
              <w:rPr>
                <w:sz w:val="20"/>
              </w:rPr>
            </w:pPr>
            <w:r>
              <w:rPr>
                <w:w w:val="95"/>
                <w:sz w:val="20"/>
              </w:rPr>
              <w:t>前舉</w:t>
            </w:r>
          </w:p>
          <w:p>
            <w:pPr>
              <w:pStyle w:val="TableParagraph"/>
              <w:spacing w:before="3"/>
              <w:ind w:left="517" w:right="488"/>
              <w:rPr>
                <w:sz w:val="20"/>
              </w:rPr>
            </w:pPr>
            <w:r>
              <w:rPr>
                <w:sz w:val="20"/>
              </w:rPr>
              <w:t>（正常180度）</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
              <w:ind w:left="568" w:right="536"/>
              <w:rPr>
                <w:sz w:val="20"/>
              </w:rPr>
            </w:pPr>
            <w:r>
              <w:rPr>
                <w:w w:val="95"/>
                <w:sz w:val="20"/>
              </w:rPr>
              <w:t>後舉</w:t>
            </w:r>
          </w:p>
          <w:p>
            <w:pPr>
              <w:pStyle w:val="TableParagraph"/>
              <w:spacing w:before="3"/>
              <w:ind w:left="568" w:right="541"/>
              <w:rPr>
                <w:sz w:val="20"/>
              </w:rPr>
            </w:pPr>
            <w:r>
              <w:rPr>
                <w:sz w:val="20"/>
              </w:rPr>
              <w:t>（正常60度）</w:t>
            </w:r>
          </w:p>
        </w:tc>
        <w:tc>
          <w:tcPr>
            <w:tcW w:w="2362" w:type="dxa"/>
            <w:tcBorders>
              <w:top w:val="single" w:sz="6" w:space="0" w:color="000000"/>
              <w:left w:val="single" w:sz="6" w:space="0" w:color="000000"/>
              <w:bottom w:val="single" w:sz="6" w:space="0" w:color="000000"/>
            </w:tcBorders>
          </w:tcPr>
          <w:p>
            <w:pPr>
              <w:pStyle w:val="TableParagraph"/>
              <w:spacing w:before="6"/>
              <w:ind w:left="518" w:right="479"/>
              <w:rPr>
                <w:sz w:val="20"/>
              </w:rPr>
            </w:pPr>
            <w:r>
              <w:rPr>
                <w:sz w:val="20"/>
              </w:rPr>
              <w:t>關節活動度</w:t>
            </w:r>
          </w:p>
          <w:p>
            <w:pPr>
              <w:pStyle w:val="TableParagraph"/>
              <w:spacing w:before="3"/>
              <w:ind w:left="519" w:right="479"/>
              <w:rPr>
                <w:sz w:val="20"/>
              </w:rPr>
            </w:pPr>
            <w:r>
              <w:rPr>
                <w:sz w:val="20"/>
              </w:rPr>
              <w:t>（正常240度）</w:t>
            </w:r>
          </w:p>
        </w:tc>
      </w:tr>
      <w:tr>
        <w:trPr>
          <w:trHeight w:val="551" w:hRule="atLeast"/>
        </w:trPr>
        <w:tc>
          <w:tcPr>
            <w:tcW w:w="1334" w:type="dxa"/>
            <w:tcBorders>
              <w:top w:val="single" w:sz="6" w:space="0" w:color="000000"/>
              <w:bottom w:val="single" w:sz="6" w:space="0" w:color="000000"/>
              <w:right w:val="single" w:sz="6" w:space="0" w:color="000000"/>
            </w:tcBorders>
          </w:tcPr>
          <w:p>
            <w:pPr>
              <w:pStyle w:val="TableParagraph"/>
              <w:spacing w:before="135"/>
              <w:ind w:left="247" w:right="224"/>
              <w:rPr>
                <w:sz w:val="20"/>
              </w:rPr>
            </w:pPr>
            <w:r>
              <w:rPr>
                <w:sz w:val="20"/>
              </w:rPr>
              <w:t>左肘關節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
              <w:ind w:left="517" w:right="482"/>
              <w:rPr>
                <w:sz w:val="20"/>
              </w:rPr>
            </w:pPr>
            <w:r>
              <w:rPr>
                <w:w w:val="95"/>
                <w:sz w:val="20"/>
              </w:rPr>
              <w:t>屈曲</w:t>
            </w:r>
          </w:p>
          <w:p>
            <w:pPr>
              <w:pStyle w:val="TableParagraph"/>
              <w:spacing w:before="3"/>
              <w:ind w:left="517" w:right="488"/>
              <w:rPr>
                <w:sz w:val="20"/>
              </w:rPr>
            </w:pPr>
            <w:r>
              <w:rPr>
                <w:sz w:val="20"/>
              </w:rPr>
              <w:t>（正常145度）</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
              <w:ind w:left="568" w:right="536"/>
              <w:rPr>
                <w:sz w:val="20"/>
              </w:rPr>
            </w:pPr>
            <w:r>
              <w:rPr>
                <w:w w:val="95"/>
                <w:sz w:val="20"/>
              </w:rPr>
              <w:t>伸展</w:t>
            </w:r>
          </w:p>
          <w:p>
            <w:pPr>
              <w:pStyle w:val="TableParagraph"/>
              <w:spacing w:before="3"/>
              <w:ind w:left="568" w:right="541"/>
              <w:rPr>
                <w:sz w:val="20"/>
              </w:rPr>
            </w:pPr>
            <w:r>
              <w:rPr>
                <w:sz w:val="20"/>
              </w:rPr>
              <w:t>（正常0度）</w:t>
            </w:r>
          </w:p>
        </w:tc>
        <w:tc>
          <w:tcPr>
            <w:tcW w:w="2362" w:type="dxa"/>
            <w:tcBorders>
              <w:top w:val="single" w:sz="6" w:space="0" w:color="000000"/>
              <w:left w:val="single" w:sz="6" w:space="0" w:color="000000"/>
              <w:bottom w:val="single" w:sz="6" w:space="0" w:color="000000"/>
            </w:tcBorders>
          </w:tcPr>
          <w:p>
            <w:pPr>
              <w:pStyle w:val="TableParagraph"/>
              <w:spacing w:before="6"/>
              <w:ind w:left="518" w:right="479"/>
              <w:rPr>
                <w:sz w:val="20"/>
              </w:rPr>
            </w:pPr>
            <w:r>
              <w:rPr>
                <w:sz w:val="20"/>
              </w:rPr>
              <w:t>關節活動度</w:t>
            </w:r>
          </w:p>
          <w:p>
            <w:pPr>
              <w:pStyle w:val="TableParagraph"/>
              <w:spacing w:before="3"/>
              <w:ind w:left="519" w:right="479"/>
              <w:rPr>
                <w:sz w:val="20"/>
              </w:rPr>
            </w:pPr>
            <w:r>
              <w:rPr>
                <w:sz w:val="20"/>
              </w:rPr>
              <w:t>（正常145度）</w:t>
            </w:r>
          </w:p>
        </w:tc>
      </w:tr>
      <w:tr>
        <w:trPr>
          <w:trHeight w:val="553" w:hRule="atLeast"/>
        </w:trPr>
        <w:tc>
          <w:tcPr>
            <w:tcW w:w="1334" w:type="dxa"/>
            <w:tcBorders>
              <w:top w:val="single" w:sz="6" w:space="0" w:color="000000"/>
              <w:bottom w:val="single" w:sz="6" w:space="0" w:color="000000"/>
              <w:right w:val="single" w:sz="6" w:space="0" w:color="000000"/>
            </w:tcBorders>
          </w:tcPr>
          <w:p>
            <w:pPr>
              <w:pStyle w:val="TableParagraph"/>
              <w:spacing w:before="135"/>
              <w:ind w:left="247" w:right="224"/>
              <w:rPr>
                <w:sz w:val="20"/>
              </w:rPr>
            </w:pPr>
            <w:r>
              <w:rPr>
                <w:sz w:val="20"/>
              </w:rPr>
              <w:t>右肘關節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6"/>
              <w:ind w:left="517" w:right="482"/>
              <w:rPr>
                <w:sz w:val="20"/>
              </w:rPr>
            </w:pPr>
            <w:r>
              <w:rPr>
                <w:w w:val="95"/>
                <w:sz w:val="20"/>
              </w:rPr>
              <w:t>屈曲</w:t>
            </w:r>
          </w:p>
          <w:p>
            <w:pPr>
              <w:pStyle w:val="TableParagraph"/>
              <w:spacing w:before="5"/>
              <w:ind w:left="517" w:right="488"/>
              <w:rPr>
                <w:sz w:val="20"/>
              </w:rPr>
            </w:pPr>
            <w:r>
              <w:rPr>
                <w:sz w:val="20"/>
              </w:rPr>
              <w:t>（正常145度）</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6"/>
              <w:ind w:left="568" w:right="536"/>
              <w:rPr>
                <w:sz w:val="20"/>
              </w:rPr>
            </w:pPr>
            <w:r>
              <w:rPr>
                <w:w w:val="95"/>
                <w:sz w:val="20"/>
              </w:rPr>
              <w:t>伸展</w:t>
            </w:r>
          </w:p>
          <w:p>
            <w:pPr>
              <w:pStyle w:val="TableParagraph"/>
              <w:spacing w:before="5"/>
              <w:ind w:left="568" w:right="541"/>
              <w:rPr>
                <w:sz w:val="20"/>
              </w:rPr>
            </w:pPr>
            <w:r>
              <w:rPr>
                <w:sz w:val="20"/>
              </w:rPr>
              <w:t>（正常0度）</w:t>
            </w:r>
          </w:p>
        </w:tc>
        <w:tc>
          <w:tcPr>
            <w:tcW w:w="2362" w:type="dxa"/>
            <w:tcBorders>
              <w:top w:val="single" w:sz="6" w:space="0" w:color="000000"/>
              <w:left w:val="single" w:sz="6" w:space="0" w:color="000000"/>
              <w:bottom w:val="single" w:sz="6" w:space="0" w:color="000000"/>
            </w:tcBorders>
          </w:tcPr>
          <w:p>
            <w:pPr>
              <w:pStyle w:val="TableParagraph"/>
              <w:spacing w:before="6"/>
              <w:ind w:left="518" w:right="479"/>
              <w:rPr>
                <w:sz w:val="20"/>
              </w:rPr>
            </w:pPr>
            <w:r>
              <w:rPr>
                <w:sz w:val="20"/>
              </w:rPr>
              <w:t>關節活動度</w:t>
            </w:r>
          </w:p>
          <w:p>
            <w:pPr>
              <w:pStyle w:val="TableParagraph"/>
              <w:spacing w:before="5"/>
              <w:ind w:left="519" w:right="479"/>
              <w:rPr>
                <w:sz w:val="20"/>
              </w:rPr>
            </w:pPr>
            <w:r>
              <w:rPr>
                <w:sz w:val="20"/>
              </w:rPr>
              <w:t>（正常145度）</w:t>
            </w:r>
          </w:p>
        </w:tc>
      </w:tr>
      <w:tr>
        <w:trPr>
          <w:trHeight w:val="551" w:hRule="atLeast"/>
        </w:trPr>
        <w:tc>
          <w:tcPr>
            <w:tcW w:w="1334" w:type="dxa"/>
            <w:tcBorders>
              <w:top w:val="single" w:sz="6" w:space="0" w:color="000000"/>
              <w:bottom w:val="single" w:sz="6" w:space="0" w:color="000000"/>
              <w:right w:val="single" w:sz="6" w:space="0" w:color="000000"/>
            </w:tcBorders>
          </w:tcPr>
          <w:p>
            <w:pPr>
              <w:pStyle w:val="TableParagraph"/>
              <w:spacing w:before="135"/>
              <w:ind w:left="247" w:right="224"/>
              <w:rPr>
                <w:sz w:val="20"/>
              </w:rPr>
            </w:pPr>
            <w:r>
              <w:rPr>
                <w:sz w:val="20"/>
              </w:rPr>
              <w:t>左腕關節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3"/>
              <w:ind w:left="517" w:right="482"/>
              <w:rPr>
                <w:sz w:val="20"/>
              </w:rPr>
            </w:pPr>
            <w:r>
              <w:rPr>
                <w:w w:val="95"/>
                <w:sz w:val="20"/>
              </w:rPr>
              <w:t>掌屈</w:t>
            </w:r>
          </w:p>
          <w:p>
            <w:pPr>
              <w:pStyle w:val="TableParagraph"/>
              <w:spacing w:before="6"/>
              <w:ind w:left="517" w:right="488"/>
              <w:rPr>
                <w:sz w:val="20"/>
              </w:rPr>
            </w:pPr>
            <w:r>
              <w:rPr>
                <w:sz w:val="20"/>
              </w:rPr>
              <w:t>（正常80度）</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before="3"/>
              <w:ind w:left="568" w:right="536"/>
              <w:rPr>
                <w:sz w:val="20"/>
              </w:rPr>
            </w:pPr>
            <w:r>
              <w:rPr>
                <w:w w:val="95"/>
                <w:sz w:val="20"/>
              </w:rPr>
              <w:t>背屈</w:t>
            </w:r>
          </w:p>
          <w:p>
            <w:pPr>
              <w:pStyle w:val="TableParagraph"/>
              <w:spacing w:before="6"/>
              <w:ind w:left="568" w:right="541"/>
              <w:rPr>
                <w:sz w:val="20"/>
              </w:rPr>
            </w:pPr>
            <w:r>
              <w:rPr>
                <w:sz w:val="20"/>
              </w:rPr>
              <w:t>（正常70度）</w:t>
            </w:r>
          </w:p>
        </w:tc>
        <w:tc>
          <w:tcPr>
            <w:tcW w:w="2362" w:type="dxa"/>
            <w:tcBorders>
              <w:top w:val="single" w:sz="6" w:space="0" w:color="000000"/>
              <w:left w:val="single" w:sz="6" w:space="0" w:color="000000"/>
              <w:bottom w:val="single" w:sz="6" w:space="0" w:color="000000"/>
            </w:tcBorders>
          </w:tcPr>
          <w:p>
            <w:pPr>
              <w:pStyle w:val="TableParagraph"/>
              <w:spacing w:before="3"/>
              <w:ind w:left="518" w:right="479"/>
              <w:rPr>
                <w:sz w:val="20"/>
              </w:rPr>
            </w:pPr>
            <w:r>
              <w:rPr>
                <w:sz w:val="20"/>
              </w:rPr>
              <w:t>關節活動度</w:t>
            </w:r>
          </w:p>
          <w:p>
            <w:pPr>
              <w:pStyle w:val="TableParagraph"/>
              <w:spacing w:before="6"/>
              <w:ind w:left="519" w:right="479"/>
              <w:rPr>
                <w:sz w:val="20"/>
              </w:rPr>
            </w:pPr>
            <w:r>
              <w:rPr>
                <w:sz w:val="20"/>
              </w:rPr>
              <w:t>（正常150度）</w:t>
            </w:r>
          </w:p>
        </w:tc>
      </w:tr>
      <w:tr>
        <w:trPr>
          <w:trHeight w:val="551" w:hRule="atLeast"/>
        </w:trPr>
        <w:tc>
          <w:tcPr>
            <w:tcW w:w="1334" w:type="dxa"/>
            <w:tcBorders>
              <w:top w:val="single" w:sz="6" w:space="0" w:color="000000"/>
              <w:right w:val="single" w:sz="6" w:space="0" w:color="000000"/>
            </w:tcBorders>
          </w:tcPr>
          <w:p>
            <w:pPr>
              <w:pStyle w:val="TableParagraph"/>
              <w:spacing w:before="135"/>
              <w:ind w:left="247" w:right="224"/>
              <w:rPr>
                <w:sz w:val="20"/>
              </w:rPr>
            </w:pPr>
            <w:r>
              <w:rPr>
                <w:sz w:val="20"/>
              </w:rPr>
              <w:t>右腕關節</w:t>
            </w:r>
          </w:p>
        </w:tc>
        <w:tc>
          <w:tcPr>
            <w:tcW w:w="2362" w:type="dxa"/>
            <w:tcBorders>
              <w:top w:val="single" w:sz="6" w:space="0" w:color="000000"/>
              <w:left w:val="single" w:sz="6" w:space="0" w:color="000000"/>
              <w:right w:val="single" w:sz="6" w:space="0" w:color="000000"/>
            </w:tcBorders>
          </w:tcPr>
          <w:p>
            <w:pPr>
              <w:pStyle w:val="TableParagraph"/>
              <w:spacing w:before="6"/>
              <w:ind w:left="517" w:right="482"/>
              <w:rPr>
                <w:sz w:val="20"/>
              </w:rPr>
            </w:pPr>
            <w:r>
              <w:rPr>
                <w:w w:val="95"/>
                <w:sz w:val="20"/>
              </w:rPr>
              <w:t>掌屈</w:t>
            </w:r>
          </w:p>
          <w:p>
            <w:pPr>
              <w:pStyle w:val="TableParagraph"/>
              <w:spacing w:before="3"/>
              <w:ind w:left="517" w:right="488"/>
              <w:rPr>
                <w:sz w:val="20"/>
              </w:rPr>
            </w:pPr>
            <w:r>
              <w:rPr>
                <w:sz w:val="20"/>
              </w:rPr>
              <w:t>（正常80度）</w:t>
            </w:r>
          </w:p>
        </w:tc>
        <w:tc>
          <w:tcPr>
            <w:tcW w:w="2364" w:type="dxa"/>
            <w:tcBorders>
              <w:top w:val="single" w:sz="6" w:space="0" w:color="000000"/>
              <w:left w:val="single" w:sz="6" w:space="0" w:color="000000"/>
              <w:right w:val="single" w:sz="6" w:space="0" w:color="000000"/>
            </w:tcBorders>
          </w:tcPr>
          <w:p>
            <w:pPr>
              <w:pStyle w:val="TableParagraph"/>
              <w:spacing w:before="6"/>
              <w:ind w:left="568" w:right="536"/>
              <w:rPr>
                <w:sz w:val="20"/>
              </w:rPr>
            </w:pPr>
            <w:r>
              <w:rPr>
                <w:w w:val="95"/>
                <w:sz w:val="20"/>
              </w:rPr>
              <w:t>背屈</w:t>
            </w:r>
          </w:p>
          <w:p>
            <w:pPr>
              <w:pStyle w:val="TableParagraph"/>
              <w:spacing w:before="3"/>
              <w:ind w:left="568" w:right="541"/>
              <w:rPr>
                <w:sz w:val="20"/>
              </w:rPr>
            </w:pPr>
            <w:r>
              <w:rPr>
                <w:sz w:val="20"/>
              </w:rPr>
              <w:t>（正常70度）</w:t>
            </w:r>
          </w:p>
        </w:tc>
        <w:tc>
          <w:tcPr>
            <w:tcW w:w="2362" w:type="dxa"/>
            <w:tcBorders>
              <w:top w:val="single" w:sz="6" w:space="0" w:color="000000"/>
              <w:left w:val="single" w:sz="6" w:space="0" w:color="000000"/>
            </w:tcBorders>
          </w:tcPr>
          <w:p>
            <w:pPr>
              <w:pStyle w:val="TableParagraph"/>
              <w:spacing w:before="6"/>
              <w:ind w:left="518" w:right="479"/>
              <w:rPr>
                <w:sz w:val="20"/>
              </w:rPr>
            </w:pPr>
            <w:r>
              <w:rPr>
                <w:sz w:val="20"/>
              </w:rPr>
              <w:t>關節活動度</w:t>
            </w:r>
          </w:p>
          <w:p>
            <w:pPr>
              <w:pStyle w:val="TableParagraph"/>
              <w:spacing w:before="3"/>
              <w:ind w:left="519" w:right="479"/>
              <w:rPr>
                <w:sz w:val="20"/>
              </w:rPr>
            </w:pPr>
            <w:r>
              <w:rPr>
                <w:sz w:val="20"/>
              </w:rPr>
              <w:t>（正常150度）</w:t>
            </w:r>
          </w:p>
        </w:tc>
      </w:tr>
    </w:tbl>
    <w:p>
      <w:pPr>
        <w:pStyle w:val="BodyText"/>
        <w:spacing w:before="8"/>
        <w:ind w:left="0"/>
        <w:rPr>
          <w:sz w:val="19"/>
        </w:rPr>
      </w:pPr>
    </w:p>
    <w:p>
      <w:pPr>
        <w:spacing w:before="0" w:after="10"/>
        <w:ind w:left="152" w:right="0" w:firstLine="0"/>
        <w:jc w:val="left"/>
        <w:rPr>
          <w:sz w:val="20"/>
        </w:rPr>
      </w:pPr>
      <w:r>
        <w:rPr/>
        <w:drawing>
          <wp:anchor distT="0" distB="0" distL="0" distR="0" allowOverlap="1" layoutInCell="1" locked="0" behindDoc="1" simplePos="0" relativeHeight="486331904">
            <wp:simplePos x="0" y="0"/>
            <wp:positionH relativeFrom="page">
              <wp:posOffset>2874040</wp:posOffset>
            </wp:positionH>
            <wp:positionV relativeFrom="paragraph">
              <wp:posOffset>-429245</wp:posOffset>
            </wp:positionV>
            <wp:extent cx="1837644" cy="4428464"/>
            <wp:effectExtent l="0" t="0" r="0" b="0"/>
            <wp:wrapNone/>
            <wp:docPr id="49" name="image1.png"/>
            <wp:cNvGraphicFramePr>
              <a:graphicFrameLocks noChangeAspect="1"/>
            </wp:cNvGraphicFramePr>
            <a:graphic>
              <a:graphicData uri="http://schemas.openxmlformats.org/drawingml/2006/picture">
                <pic:pic>
                  <pic:nvPicPr>
                    <pic:cNvPr id="50" name="image1.png"/>
                    <pic:cNvPicPr/>
                  </pic:nvPicPr>
                  <pic:blipFill>
                    <a:blip r:embed="rId7" cstate="print"/>
                    <a:stretch>
                      <a:fillRect/>
                    </a:stretch>
                  </pic:blipFill>
                  <pic:spPr>
                    <a:xfrm>
                      <a:off x="0" y="0"/>
                      <a:ext cx="1837644" cy="4428464"/>
                    </a:xfrm>
                    <a:prstGeom prst="rect">
                      <a:avLst/>
                    </a:prstGeom>
                  </pic:spPr>
                </pic:pic>
              </a:graphicData>
            </a:graphic>
          </wp:anchor>
        </w:drawing>
      </w:r>
      <w:r>
        <w:rPr>
          <w:w w:val="95"/>
          <w:sz w:val="20"/>
        </w:rPr>
        <w:t>下肢：</w:t>
      </w:r>
    </w:p>
    <w:tbl>
      <w:tblPr>
        <w:tblW w:w="0" w:type="auto"/>
        <w:jc w:val="left"/>
        <w:tblInd w:w="8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77"/>
        <w:gridCol w:w="2362"/>
        <w:gridCol w:w="2362"/>
        <w:gridCol w:w="2365"/>
      </w:tblGrid>
      <w:tr>
        <w:trPr>
          <w:trHeight w:val="539" w:hRule="atLeast"/>
        </w:trPr>
        <w:tc>
          <w:tcPr>
            <w:tcW w:w="1277" w:type="dxa"/>
            <w:tcBorders>
              <w:bottom w:val="single" w:sz="6" w:space="0" w:color="000000"/>
              <w:right w:val="single" w:sz="6" w:space="0" w:color="000000"/>
            </w:tcBorders>
          </w:tcPr>
          <w:p>
            <w:pPr>
              <w:pStyle w:val="TableParagraph"/>
              <w:spacing w:before="134"/>
              <w:ind w:left="218" w:right="195"/>
              <w:rPr>
                <w:sz w:val="20"/>
              </w:rPr>
            </w:pPr>
            <w:r>
              <w:rPr>
                <w:sz w:val="20"/>
              </w:rPr>
              <w:t>左髖關節</w:t>
            </w:r>
          </w:p>
        </w:tc>
        <w:tc>
          <w:tcPr>
            <w:tcW w:w="2362" w:type="dxa"/>
            <w:tcBorders>
              <w:left w:val="single" w:sz="6" w:space="0" w:color="000000"/>
              <w:bottom w:val="single" w:sz="6" w:space="0" w:color="000000"/>
              <w:right w:val="single" w:sz="6" w:space="0" w:color="000000"/>
            </w:tcBorders>
          </w:tcPr>
          <w:p>
            <w:pPr>
              <w:pStyle w:val="TableParagraph"/>
              <w:spacing w:before="2"/>
              <w:ind w:left="517" w:right="484"/>
              <w:rPr>
                <w:sz w:val="20"/>
              </w:rPr>
            </w:pPr>
            <w:r>
              <w:rPr>
                <w:w w:val="95"/>
                <w:sz w:val="20"/>
              </w:rPr>
              <w:t>屈曲</w:t>
            </w:r>
          </w:p>
          <w:p>
            <w:pPr>
              <w:pStyle w:val="TableParagraph"/>
              <w:spacing w:line="255" w:lineRule="exact" w:before="6"/>
              <w:ind w:left="517" w:right="489"/>
              <w:rPr>
                <w:sz w:val="20"/>
              </w:rPr>
            </w:pPr>
            <w:r>
              <w:rPr>
                <w:sz w:val="20"/>
              </w:rPr>
              <w:t>（正常125度）</w:t>
            </w:r>
          </w:p>
        </w:tc>
        <w:tc>
          <w:tcPr>
            <w:tcW w:w="2362" w:type="dxa"/>
            <w:tcBorders>
              <w:left w:val="single" w:sz="6" w:space="0" w:color="000000"/>
              <w:bottom w:val="single" w:sz="6" w:space="0" w:color="000000"/>
              <w:right w:val="single" w:sz="6" w:space="0" w:color="000000"/>
            </w:tcBorders>
          </w:tcPr>
          <w:p>
            <w:pPr>
              <w:pStyle w:val="TableParagraph"/>
              <w:spacing w:before="2"/>
              <w:ind w:left="517" w:right="480"/>
              <w:rPr>
                <w:sz w:val="20"/>
              </w:rPr>
            </w:pPr>
            <w:r>
              <w:rPr>
                <w:w w:val="95"/>
                <w:sz w:val="20"/>
              </w:rPr>
              <w:t>伸展</w:t>
            </w:r>
          </w:p>
          <w:p>
            <w:pPr>
              <w:pStyle w:val="TableParagraph"/>
              <w:spacing w:line="255" w:lineRule="exact" w:before="6"/>
              <w:ind w:left="517" w:right="484"/>
              <w:rPr>
                <w:sz w:val="20"/>
              </w:rPr>
            </w:pPr>
            <w:r>
              <w:rPr>
                <w:sz w:val="20"/>
              </w:rPr>
              <w:t>（正常10度）</w:t>
            </w:r>
          </w:p>
        </w:tc>
        <w:tc>
          <w:tcPr>
            <w:tcW w:w="2365" w:type="dxa"/>
            <w:tcBorders>
              <w:left w:val="single" w:sz="6" w:space="0" w:color="000000"/>
              <w:bottom w:val="single" w:sz="6" w:space="0" w:color="000000"/>
            </w:tcBorders>
          </w:tcPr>
          <w:p>
            <w:pPr>
              <w:pStyle w:val="TableParagraph"/>
              <w:spacing w:before="2"/>
              <w:ind w:left="520" w:right="481"/>
              <w:rPr>
                <w:sz w:val="20"/>
              </w:rPr>
            </w:pPr>
            <w:r>
              <w:rPr>
                <w:sz w:val="20"/>
              </w:rPr>
              <w:t>關節活動度</w:t>
            </w:r>
          </w:p>
          <w:p>
            <w:pPr>
              <w:pStyle w:val="TableParagraph"/>
              <w:spacing w:line="255" w:lineRule="exact" w:before="6"/>
              <w:ind w:left="520" w:right="481"/>
              <w:rPr>
                <w:sz w:val="20"/>
              </w:rPr>
            </w:pPr>
            <w:r>
              <w:rPr>
                <w:sz w:val="20"/>
              </w:rPr>
              <w:t>（正常135度）</w:t>
            </w:r>
          </w:p>
        </w:tc>
      </w:tr>
      <w:tr>
        <w:trPr>
          <w:trHeight w:val="551" w:hRule="atLeast"/>
        </w:trPr>
        <w:tc>
          <w:tcPr>
            <w:tcW w:w="1277" w:type="dxa"/>
            <w:tcBorders>
              <w:top w:val="single" w:sz="6" w:space="0" w:color="000000"/>
              <w:bottom w:val="single" w:sz="6" w:space="0" w:color="000000"/>
              <w:right w:val="single" w:sz="6" w:space="0" w:color="000000"/>
            </w:tcBorders>
          </w:tcPr>
          <w:p>
            <w:pPr>
              <w:pStyle w:val="TableParagraph"/>
              <w:spacing w:before="139"/>
              <w:ind w:left="218" w:right="195"/>
              <w:rPr>
                <w:sz w:val="20"/>
              </w:rPr>
            </w:pPr>
            <w:r>
              <w:rPr>
                <w:sz w:val="20"/>
              </w:rPr>
              <w:t>右髖關節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10"/>
              <w:ind w:left="517" w:right="484"/>
              <w:rPr>
                <w:sz w:val="20"/>
              </w:rPr>
            </w:pPr>
            <w:r>
              <w:rPr>
                <w:w w:val="95"/>
                <w:sz w:val="20"/>
              </w:rPr>
              <w:t>屈曲</w:t>
            </w:r>
          </w:p>
          <w:p>
            <w:pPr>
              <w:pStyle w:val="TableParagraph"/>
              <w:spacing w:before="3"/>
              <w:ind w:left="517" w:right="489"/>
              <w:rPr>
                <w:sz w:val="20"/>
              </w:rPr>
            </w:pPr>
            <w:r>
              <w:rPr>
                <w:sz w:val="20"/>
              </w:rPr>
              <w:t>（正常125度）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10"/>
              <w:ind w:left="517" w:right="480"/>
              <w:rPr>
                <w:sz w:val="20"/>
              </w:rPr>
            </w:pPr>
            <w:r>
              <w:rPr>
                <w:w w:val="95"/>
                <w:sz w:val="20"/>
              </w:rPr>
              <w:t>伸展</w:t>
            </w:r>
          </w:p>
          <w:p>
            <w:pPr>
              <w:pStyle w:val="TableParagraph"/>
              <w:spacing w:before="3"/>
              <w:ind w:left="517" w:right="484"/>
              <w:rPr>
                <w:sz w:val="20"/>
              </w:rPr>
            </w:pPr>
            <w:r>
              <w:rPr>
                <w:sz w:val="20"/>
              </w:rPr>
              <w:t>（正常10度）</w:t>
            </w:r>
          </w:p>
        </w:tc>
        <w:tc>
          <w:tcPr>
            <w:tcW w:w="2365" w:type="dxa"/>
            <w:tcBorders>
              <w:top w:val="single" w:sz="6" w:space="0" w:color="000000"/>
              <w:left w:val="single" w:sz="6" w:space="0" w:color="000000"/>
              <w:bottom w:val="single" w:sz="6" w:space="0" w:color="000000"/>
            </w:tcBorders>
          </w:tcPr>
          <w:p>
            <w:pPr>
              <w:pStyle w:val="TableParagraph"/>
              <w:spacing w:before="10"/>
              <w:ind w:left="520" w:right="481"/>
              <w:rPr>
                <w:sz w:val="20"/>
              </w:rPr>
            </w:pPr>
            <w:r>
              <w:rPr>
                <w:sz w:val="20"/>
              </w:rPr>
              <w:t>關節活動度</w:t>
            </w:r>
          </w:p>
          <w:p>
            <w:pPr>
              <w:pStyle w:val="TableParagraph"/>
              <w:spacing w:before="3"/>
              <w:ind w:left="520" w:right="481"/>
              <w:rPr>
                <w:sz w:val="20"/>
              </w:rPr>
            </w:pPr>
            <w:r>
              <w:rPr>
                <w:sz w:val="20"/>
              </w:rPr>
              <w:t>（正常135度）</w:t>
            </w:r>
          </w:p>
        </w:tc>
      </w:tr>
      <w:tr>
        <w:trPr>
          <w:trHeight w:val="551" w:hRule="atLeast"/>
        </w:trPr>
        <w:tc>
          <w:tcPr>
            <w:tcW w:w="1277" w:type="dxa"/>
            <w:tcBorders>
              <w:top w:val="single" w:sz="6" w:space="0" w:color="000000"/>
              <w:bottom w:val="single" w:sz="6" w:space="0" w:color="000000"/>
              <w:right w:val="single" w:sz="6" w:space="0" w:color="000000"/>
            </w:tcBorders>
          </w:tcPr>
          <w:p>
            <w:pPr>
              <w:pStyle w:val="TableParagraph"/>
              <w:spacing w:before="139"/>
              <w:ind w:left="218" w:right="195"/>
              <w:rPr>
                <w:sz w:val="20"/>
              </w:rPr>
            </w:pPr>
            <w:r>
              <w:rPr>
                <w:sz w:val="20"/>
              </w:rPr>
              <w:t>左膝關節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10"/>
              <w:ind w:left="517" w:right="484"/>
              <w:rPr>
                <w:sz w:val="20"/>
              </w:rPr>
            </w:pPr>
            <w:r>
              <w:rPr>
                <w:w w:val="95"/>
                <w:sz w:val="20"/>
              </w:rPr>
              <w:t>屈曲</w:t>
            </w:r>
          </w:p>
          <w:p>
            <w:pPr>
              <w:pStyle w:val="TableParagraph"/>
              <w:spacing w:before="3"/>
              <w:ind w:left="517" w:right="489"/>
              <w:rPr>
                <w:sz w:val="20"/>
              </w:rPr>
            </w:pPr>
            <w:r>
              <w:rPr>
                <w:sz w:val="20"/>
              </w:rPr>
              <w:t>（正常140度）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10"/>
              <w:ind w:left="517" w:right="480"/>
              <w:rPr>
                <w:sz w:val="20"/>
              </w:rPr>
            </w:pPr>
            <w:r>
              <w:rPr>
                <w:w w:val="95"/>
                <w:sz w:val="20"/>
              </w:rPr>
              <w:t>伸展</w:t>
            </w:r>
          </w:p>
          <w:p>
            <w:pPr>
              <w:pStyle w:val="TableParagraph"/>
              <w:spacing w:before="3"/>
              <w:ind w:left="517" w:right="484"/>
              <w:rPr>
                <w:sz w:val="20"/>
              </w:rPr>
            </w:pPr>
            <w:r>
              <w:rPr>
                <w:sz w:val="20"/>
              </w:rPr>
              <w:t>（正常0度）</w:t>
            </w:r>
          </w:p>
        </w:tc>
        <w:tc>
          <w:tcPr>
            <w:tcW w:w="2365" w:type="dxa"/>
            <w:tcBorders>
              <w:top w:val="single" w:sz="6" w:space="0" w:color="000000"/>
              <w:left w:val="single" w:sz="6" w:space="0" w:color="000000"/>
              <w:bottom w:val="single" w:sz="6" w:space="0" w:color="000000"/>
            </w:tcBorders>
          </w:tcPr>
          <w:p>
            <w:pPr>
              <w:pStyle w:val="TableParagraph"/>
              <w:spacing w:before="10"/>
              <w:ind w:left="520" w:right="481"/>
              <w:rPr>
                <w:sz w:val="20"/>
              </w:rPr>
            </w:pPr>
            <w:r>
              <w:rPr>
                <w:sz w:val="20"/>
              </w:rPr>
              <w:t>關節活動度</w:t>
            </w:r>
          </w:p>
          <w:p>
            <w:pPr>
              <w:pStyle w:val="TableParagraph"/>
              <w:spacing w:before="3"/>
              <w:ind w:left="520" w:right="481"/>
              <w:rPr>
                <w:sz w:val="20"/>
              </w:rPr>
            </w:pPr>
            <w:r>
              <w:rPr>
                <w:sz w:val="20"/>
              </w:rPr>
              <w:t>（正常140度）</w:t>
            </w:r>
          </w:p>
        </w:tc>
      </w:tr>
      <w:tr>
        <w:trPr>
          <w:trHeight w:val="551" w:hRule="atLeast"/>
        </w:trPr>
        <w:tc>
          <w:tcPr>
            <w:tcW w:w="1277" w:type="dxa"/>
            <w:tcBorders>
              <w:top w:val="single" w:sz="6" w:space="0" w:color="000000"/>
              <w:bottom w:val="single" w:sz="6" w:space="0" w:color="000000"/>
              <w:right w:val="single" w:sz="6" w:space="0" w:color="000000"/>
            </w:tcBorders>
          </w:tcPr>
          <w:p>
            <w:pPr>
              <w:pStyle w:val="TableParagraph"/>
              <w:spacing w:before="139"/>
              <w:ind w:left="218" w:right="195"/>
              <w:rPr>
                <w:sz w:val="20"/>
              </w:rPr>
            </w:pPr>
            <w:r>
              <w:rPr>
                <w:sz w:val="20"/>
              </w:rPr>
              <w:t>右膝關節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10"/>
              <w:ind w:left="517" w:right="484"/>
              <w:rPr>
                <w:sz w:val="20"/>
              </w:rPr>
            </w:pPr>
            <w:r>
              <w:rPr>
                <w:w w:val="95"/>
                <w:sz w:val="20"/>
              </w:rPr>
              <w:t>屈曲</w:t>
            </w:r>
          </w:p>
          <w:p>
            <w:pPr>
              <w:pStyle w:val="TableParagraph"/>
              <w:spacing w:before="3"/>
              <w:ind w:left="517" w:right="489"/>
              <w:rPr>
                <w:sz w:val="20"/>
              </w:rPr>
            </w:pPr>
            <w:r>
              <w:rPr>
                <w:sz w:val="20"/>
              </w:rPr>
              <w:t>（正常140度）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10"/>
              <w:ind w:left="517" w:right="480"/>
              <w:rPr>
                <w:sz w:val="20"/>
              </w:rPr>
            </w:pPr>
            <w:r>
              <w:rPr>
                <w:w w:val="95"/>
                <w:sz w:val="20"/>
              </w:rPr>
              <w:t>伸展</w:t>
            </w:r>
          </w:p>
          <w:p>
            <w:pPr>
              <w:pStyle w:val="TableParagraph"/>
              <w:spacing w:before="3"/>
              <w:ind w:left="517" w:right="484"/>
              <w:rPr>
                <w:sz w:val="20"/>
              </w:rPr>
            </w:pPr>
            <w:r>
              <w:rPr>
                <w:sz w:val="20"/>
              </w:rPr>
              <w:t>（正常0度）</w:t>
            </w:r>
          </w:p>
        </w:tc>
        <w:tc>
          <w:tcPr>
            <w:tcW w:w="2365" w:type="dxa"/>
            <w:tcBorders>
              <w:top w:val="single" w:sz="6" w:space="0" w:color="000000"/>
              <w:left w:val="single" w:sz="6" w:space="0" w:color="000000"/>
              <w:bottom w:val="single" w:sz="6" w:space="0" w:color="000000"/>
            </w:tcBorders>
          </w:tcPr>
          <w:p>
            <w:pPr>
              <w:pStyle w:val="TableParagraph"/>
              <w:spacing w:before="10"/>
              <w:ind w:left="520" w:right="481"/>
              <w:rPr>
                <w:sz w:val="20"/>
              </w:rPr>
            </w:pPr>
            <w:r>
              <w:rPr>
                <w:sz w:val="20"/>
              </w:rPr>
              <w:t>關節活動度</w:t>
            </w:r>
          </w:p>
          <w:p>
            <w:pPr>
              <w:pStyle w:val="TableParagraph"/>
              <w:spacing w:before="3"/>
              <w:ind w:left="520" w:right="481"/>
              <w:rPr>
                <w:sz w:val="20"/>
              </w:rPr>
            </w:pPr>
            <w:r>
              <w:rPr>
                <w:sz w:val="20"/>
              </w:rPr>
              <w:t>（正常140度）</w:t>
            </w:r>
          </w:p>
        </w:tc>
      </w:tr>
      <w:tr>
        <w:trPr>
          <w:trHeight w:val="553" w:hRule="atLeast"/>
        </w:trPr>
        <w:tc>
          <w:tcPr>
            <w:tcW w:w="1277" w:type="dxa"/>
            <w:tcBorders>
              <w:top w:val="single" w:sz="6" w:space="0" w:color="000000"/>
              <w:bottom w:val="single" w:sz="6" w:space="0" w:color="000000"/>
              <w:right w:val="single" w:sz="6" w:space="0" w:color="000000"/>
            </w:tcBorders>
          </w:tcPr>
          <w:p>
            <w:pPr>
              <w:pStyle w:val="TableParagraph"/>
              <w:spacing w:before="139"/>
              <w:ind w:left="218" w:right="195"/>
              <w:rPr>
                <w:sz w:val="20"/>
              </w:rPr>
            </w:pPr>
            <w:r>
              <w:rPr>
                <w:sz w:val="20"/>
              </w:rPr>
              <w:t>左踝關節</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10"/>
              <w:ind w:left="517" w:right="484"/>
              <w:rPr>
                <w:sz w:val="20"/>
              </w:rPr>
            </w:pPr>
            <w:r>
              <w:rPr>
                <w:w w:val="95"/>
                <w:sz w:val="20"/>
              </w:rPr>
              <w:t>蹠曲</w:t>
            </w:r>
          </w:p>
          <w:p>
            <w:pPr>
              <w:pStyle w:val="TableParagraph"/>
              <w:spacing w:before="5"/>
              <w:ind w:left="517" w:right="489"/>
              <w:rPr>
                <w:sz w:val="20"/>
              </w:rPr>
            </w:pPr>
            <w:r>
              <w:rPr>
                <w:sz w:val="20"/>
              </w:rPr>
              <w:t>（正常45度）</w:t>
            </w:r>
          </w:p>
        </w:tc>
        <w:tc>
          <w:tcPr>
            <w:tcW w:w="2362" w:type="dxa"/>
            <w:tcBorders>
              <w:top w:val="single" w:sz="6" w:space="0" w:color="000000"/>
              <w:left w:val="single" w:sz="6" w:space="0" w:color="000000"/>
              <w:bottom w:val="single" w:sz="6" w:space="0" w:color="000000"/>
              <w:right w:val="single" w:sz="6" w:space="0" w:color="000000"/>
            </w:tcBorders>
          </w:tcPr>
          <w:p>
            <w:pPr>
              <w:pStyle w:val="TableParagraph"/>
              <w:spacing w:before="10"/>
              <w:ind w:left="517" w:right="480"/>
              <w:rPr>
                <w:sz w:val="20"/>
              </w:rPr>
            </w:pPr>
            <w:r>
              <w:rPr>
                <w:w w:val="95"/>
                <w:sz w:val="20"/>
              </w:rPr>
              <w:t>背屈</w:t>
            </w:r>
          </w:p>
          <w:p>
            <w:pPr>
              <w:pStyle w:val="TableParagraph"/>
              <w:spacing w:before="5"/>
              <w:ind w:left="517" w:right="484"/>
              <w:rPr>
                <w:sz w:val="20"/>
              </w:rPr>
            </w:pPr>
            <w:r>
              <w:rPr>
                <w:sz w:val="20"/>
              </w:rPr>
              <w:t>（正常20度）</w:t>
            </w:r>
          </w:p>
        </w:tc>
        <w:tc>
          <w:tcPr>
            <w:tcW w:w="2365" w:type="dxa"/>
            <w:tcBorders>
              <w:top w:val="single" w:sz="6" w:space="0" w:color="000000"/>
              <w:left w:val="single" w:sz="6" w:space="0" w:color="000000"/>
              <w:bottom w:val="single" w:sz="6" w:space="0" w:color="000000"/>
            </w:tcBorders>
          </w:tcPr>
          <w:p>
            <w:pPr>
              <w:pStyle w:val="TableParagraph"/>
              <w:spacing w:before="10"/>
              <w:ind w:left="0" w:right="649"/>
              <w:jc w:val="right"/>
              <w:rPr>
                <w:sz w:val="20"/>
              </w:rPr>
            </w:pPr>
            <w:r>
              <w:rPr>
                <w:sz w:val="20"/>
              </w:rPr>
              <w:t>關節活動度</w:t>
            </w:r>
          </w:p>
          <w:p>
            <w:pPr>
              <w:pStyle w:val="TableParagraph"/>
              <w:spacing w:before="5"/>
              <w:ind w:left="0" w:right="550"/>
              <w:jc w:val="right"/>
              <w:rPr>
                <w:sz w:val="20"/>
              </w:rPr>
            </w:pPr>
            <w:r>
              <w:rPr>
                <w:sz w:val="20"/>
              </w:rPr>
              <w:t>（正常65度）</w:t>
            </w:r>
          </w:p>
        </w:tc>
      </w:tr>
      <w:tr>
        <w:trPr>
          <w:trHeight w:val="548" w:hRule="atLeast"/>
        </w:trPr>
        <w:tc>
          <w:tcPr>
            <w:tcW w:w="1277" w:type="dxa"/>
            <w:tcBorders>
              <w:top w:val="single" w:sz="6" w:space="0" w:color="000000"/>
              <w:right w:val="single" w:sz="6" w:space="0" w:color="000000"/>
            </w:tcBorders>
          </w:tcPr>
          <w:p>
            <w:pPr>
              <w:pStyle w:val="TableParagraph"/>
              <w:spacing w:before="139"/>
              <w:ind w:left="218" w:right="195"/>
              <w:rPr>
                <w:sz w:val="20"/>
              </w:rPr>
            </w:pPr>
            <w:r>
              <w:rPr>
                <w:sz w:val="20"/>
              </w:rPr>
              <w:t>右踝關節</w:t>
            </w:r>
          </w:p>
        </w:tc>
        <w:tc>
          <w:tcPr>
            <w:tcW w:w="2362" w:type="dxa"/>
            <w:tcBorders>
              <w:top w:val="single" w:sz="6" w:space="0" w:color="000000"/>
              <w:left w:val="single" w:sz="6" w:space="0" w:color="000000"/>
              <w:right w:val="single" w:sz="6" w:space="0" w:color="000000"/>
            </w:tcBorders>
          </w:tcPr>
          <w:p>
            <w:pPr>
              <w:pStyle w:val="TableParagraph"/>
              <w:spacing w:before="10"/>
              <w:ind w:left="517" w:right="484"/>
              <w:rPr>
                <w:sz w:val="20"/>
              </w:rPr>
            </w:pPr>
            <w:r>
              <w:rPr>
                <w:w w:val="95"/>
                <w:sz w:val="20"/>
              </w:rPr>
              <w:t>蹠曲</w:t>
            </w:r>
          </w:p>
          <w:p>
            <w:pPr>
              <w:pStyle w:val="TableParagraph"/>
              <w:spacing w:before="3"/>
              <w:ind w:left="517" w:right="489"/>
              <w:rPr>
                <w:sz w:val="20"/>
              </w:rPr>
            </w:pPr>
            <w:r>
              <w:rPr>
                <w:sz w:val="20"/>
              </w:rPr>
              <w:t>（正常45度）</w:t>
            </w:r>
          </w:p>
        </w:tc>
        <w:tc>
          <w:tcPr>
            <w:tcW w:w="2362" w:type="dxa"/>
            <w:tcBorders>
              <w:top w:val="single" w:sz="6" w:space="0" w:color="000000"/>
              <w:left w:val="single" w:sz="6" w:space="0" w:color="000000"/>
              <w:right w:val="single" w:sz="6" w:space="0" w:color="000000"/>
            </w:tcBorders>
          </w:tcPr>
          <w:p>
            <w:pPr>
              <w:pStyle w:val="TableParagraph"/>
              <w:spacing w:before="10"/>
              <w:ind w:left="517" w:right="480"/>
              <w:rPr>
                <w:sz w:val="20"/>
              </w:rPr>
            </w:pPr>
            <w:r>
              <w:rPr>
                <w:w w:val="95"/>
                <w:sz w:val="20"/>
              </w:rPr>
              <w:t>背屈</w:t>
            </w:r>
          </w:p>
          <w:p>
            <w:pPr>
              <w:pStyle w:val="TableParagraph"/>
              <w:spacing w:before="3"/>
              <w:ind w:left="517" w:right="484"/>
              <w:rPr>
                <w:sz w:val="20"/>
              </w:rPr>
            </w:pPr>
            <w:r>
              <w:rPr>
                <w:sz w:val="20"/>
              </w:rPr>
              <w:t>（正常20度）</w:t>
            </w:r>
          </w:p>
        </w:tc>
        <w:tc>
          <w:tcPr>
            <w:tcW w:w="2365" w:type="dxa"/>
            <w:tcBorders>
              <w:top w:val="single" w:sz="6" w:space="0" w:color="000000"/>
              <w:left w:val="single" w:sz="6" w:space="0" w:color="000000"/>
            </w:tcBorders>
          </w:tcPr>
          <w:p>
            <w:pPr>
              <w:pStyle w:val="TableParagraph"/>
              <w:spacing w:before="10"/>
              <w:ind w:left="0" w:right="649"/>
              <w:jc w:val="right"/>
              <w:rPr>
                <w:sz w:val="20"/>
              </w:rPr>
            </w:pPr>
            <w:r>
              <w:rPr>
                <w:sz w:val="20"/>
              </w:rPr>
              <w:t>關節活動度</w:t>
            </w:r>
          </w:p>
          <w:p>
            <w:pPr>
              <w:pStyle w:val="TableParagraph"/>
              <w:spacing w:before="3"/>
              <w:ind w:left="0" w:right="550"/>
              <w:jc w:val="right"/>
              <w:rPr>
                <w:sz w:val="20"/>
              </w:rPr>
            </w:pPr>
            <w:r>
              <w:rPr>
                <w:sz w:val="20"/>
              </w:rPr>
              <w:t>（正常65度）</w:t>
            </w:r>
          </w:p>
        </w:tc>
      </w:tr>
    </w:tbl>
    <w:p>
      <w:pPr>
        <w:spacing w:line="244" w:lineRule="auto" w:before="0"/>
        <w:ind w:left="152" w:right="259" w:firstLine="0"/>
        <w:jc w:val="left"/>
        <w:rPr>
          <w:sz w:val="20"/>
        </w:rPr>
      </w:pPr>
      <w:r>
        <w:rPr>
          <w:w w:val="95"/>
          <w:sz w:val="20"/>
        </w:rPr>
        <w:t>若被保險人可證明其另一正常側之肢體關節活動度大於上述表定關節活動度時，則依其正常側之肢體關節活動</w:t>
      </w:r>
      <w:r>
        <w:rPr>
          <w:spacing w:val="220"/>
          <w:sz w:val="20"/>
        </w:rPr>
        <w:t> </w:t>
      </w:r>
      <w:r>
        <w:rPr>
          <w:sz w:val="20"/>
        </w:rPr>
        <w:t>度作為生理運動範圍之測定標準。</w:t>
      </w:r>
    </w:p>
    <w:p>
      <w:pPr>
        <w:pStyle w:val="BodyText"/>
        <w:ind w:left="0"/>
        <w:rPr>
          <w:sz w:val="20"/>
        </w:rPr>
      </w:pPr>
    </w:p>
    <w:p>
      <w:pPr>
        <w:pStyle w:val="BodyText"/>
        <w:ind w:left="0"/>
        <w:rPr>
          <w:sz w:val="15"/>
        </w:rPr>
      </w:pPr>
    </w:p>
    <w:p>
      <w:pPr>
        <w:spacing w:before="0"/>
        <w:ind w:left="152" w:right="0" w:firstLine="0"/>
        <w:jc w:val="left"/>
        <w:rPr>
          <w:rFonts w:ascii="Microsoft JhengHei" w:eastAsia="Microsoft JhengHei" w:hint="eastAsia"/>
          <w:b/>
          <w:sz w:val="20"/>
        </w:rPr>
      </w:pPr>
      <w:r>
        <w:rPr/>
        <w:pict>
          <v:shape style="position:absolute;margin-left:55.919998pt;margin-top:16.780773pt;width:484.1pt;height:164.35pt;mso-position-horizontal-relative:page;mso-position-vertical-relative:paragraph;z-index:15741952" type="#_x0000_t202" filled="false" stroked="false">
            <v:textbox inset="0,0,0,0">
              <w:txbxContent>
                <w:tbl>
                  <w:tblPr>
                    <w:tblW w:w="0" w:type="auto"/>
                    <w:jc w:val="left"/>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67"/>
                    <w:gridCol w:w="2667"/>
                    <w:gridCol w:w="1358"/>
                    <w:gridCol w:w="566"/>
                    <w:gridCol w:w="3118"/>
                    <w:gridCol w:w="1360"/>
                  </w:tblGrid>
                  <w:tr>
                    <w:trPr>
                      <w:trHeight w:val="284" w:hRule="atLeast"/>
                    </w:trPr>
                    <w:tc>
                      <w:tcPr>
                        <w:tcW w:w="567" w:type="dxa"/>
                        <w:tcBorders>
                          <w:bottom w:val="single" w:sz="4" w:space="0" w:color="000000"/>
                          <w:right w:val="single" w:sz="4" w:space="0" w:color="000000"/>
                        </w:tcBorders>
                      </w:tcPr>
                      <w:p>
                        <w:pPr>
                          <w:pStyle w:val="TableParagraph"/>
                          <w:spacing w:before="3"/>
                          <w:ind w:left="78" w:right="60"/>
                          <w:rPr>
                            <w:sz w:val="20"/>
                          </w:rPr>
                        </w:pPr>
                        <w:r>
                          <w:rPr>
                            <w:spacing w:val="-6"/>
                            <w:w w:val="95"/>
                            <w:sz w:val="20"/>
                          </w:rPr>
                          <w:t>項次</w:t>
                        </w:r>
                      </w:p>
                    </w:tc>
                    <w:tc>
                      <w:tcPr>
                        <w:tcW w:w="2667" w:type="dxa"/>
                        <w:tcBorders>
                          <w:left w:val="single" w:sz="4" w:space="0" w:color="000000"/>
                          <w:bottom w:val="single" w:sz="4" w:space="0" w:color="000000"/>
                          <w:right w:val="single" w:sz="4" w:space="0" w:color="000000"/>
                        </w:tcBorders>
                      </w:tcPr>
                      <w:p>
                        <w:pPr>
                          <w:pStyle w:val="TableParagraph"/>
                          <w:spacing w:before="3"/>
                          <w:ind w:left="960" w:right="921"/>
                          <w:rPr>
                            <w:sz w:val="20"/>
                          </w:rPr>
                        </w:pPr>
                        <w:r>
                          <w:rPr>
                            <w:spacing w:val="-6"/>
                            <w:w w:val="95"/>
                            <w:sz w:val="20"/>
                          </w:rPr>
                          <w:t>骨折部分</w:t>
                        </w:r>
                      </w:p>
                    </w:tc>
                    <w:tc>
                      <w:tcPr>
                        <w:tcW w:w="1358" w:type="dxa"/>
                        <w:tcBorders>
                          <w:left w:val="single" w:sz="4" w:space="0" w:color="000000"/>
                          <w:bottom w:val="single" w:sz="4" w:space="0" w:color="000000"/>
                          <w:right w:val="single" w:sz="4" w:space="0" w:color="000000"/>
                        </w:tcBorders>
                      </w:tcPr>
                      <w:p>
                        <w:pPr>
                          <w:pStyle w:val="TableParagraph"/>
                          <w:spacing w:before="3"/>
                          <w:ind w:left="123" w:right="68"/>
                          <w:rPr>
                            <w:sz w:val="20"/>
                          </w:rPr>
                        </w:pPr>
                        <w:r>
                          <w:rPr>
                            <w:spacing w:val="-4"/>
                            <w:w w:val="95"/>
                            <w:sz w:val="20"/>
                          </w:rPr>
                          <w:t>完全骨折日數</w:t>
                        </w:r>
                      </w:p>
                    </w:tc>
                    <w:tc>
                      <w:tcPr>
                        <w:tcW w:w="566" w:type="dxa"/>
                        <w:tcBorders>
                          <w:left w:val="single" w:sz="4" w:space="0" w:color="000000"/>
                          <w:bottom w:val="single" w:sz="4" w:space="0" w:color="000000"/>
                          <w:right w:val="single" w:sz="4" w:space="0" w:color="000000"/>
                        </w:tcBorders>
                      </w:tcPr>
                      <w:p>
                        <w:pPr>
                          <w:pStyle w:val="TableParagraph"/>
                          <w:spacing w:before="3"/>
                          <w:ind w:left="88" w:right="59"/>
                          <w:rPr>
                            <w:sz w:val="20"/>
                          </w:rPr>
                        </w:pPr>
                        <w:r>
                          <w:rPr>
                            <w:spacing w:val="-6"/>
                            <w:w w:val="95"/>
                            <w:sz w:val="20"/>
                          </w:rPr>
                          <w:t>項次</w:t>
                        </w:r>
                      </w:p>
                    </w:tc>
                    <w:tc>
                      <w:tcPr>
                        <w:tcW w:w="3118" w:type="dxa"/>
                        <w:tcBorders>
                          <w:left w:val="single" w:sz="4" w:space="0" w:color="000000"/>
                          <w:bottom w:val="single" w:sz="4" w:space="0" w:color="000000"/>
                          <w:right w:val="single" w:sz="4" w:space="0" w:color="000000"/>
                        </w:tcBorders>
                      </w:tcPr>
                      <w:p>
                        <w:pPr>
                          <w:pStyle w:val="TableParagraph"/>
                          <w:spacing w:before="3"/>
                          <w:ind w:left="1184" w:right="1147"/>
                          <w:rPr>
                            <w:sz w:val="20"/>
                          </w:rPr>
                        </w:pPr>
                        <w:r>
                          <w:rPr>
                            <w:spacing w:val="-6"/>
                            <w:w w:val="95"/>
                            <w:sz w:val="20"/>
                          </w:rPr>
                          <w:t>骨折部分</w:t>
                        </w:r>
                      </w:p>
                    </w:tc>
                    <w:tc>
                      <w:tcPr>
                        <w:tcW w:w="1360" w:type="dxa"/>
                        <w:tcBorders>
                          <w:left w:val="single" w:sz="4" w:space="0" w:color="000000"/>
                          <w:bottom w:val="single" w:sz="4" w:space="0" w:color="000000"/>
                        </w:tcBorders>
                      </w:tcPr>
                      <w:p>
                        <w:pPr>
                          <w:pStyle w:val="TableParagraph"/>
                          <w:spacing w:before="3"/>
                          <w:ind w:left="127" w:right="56"/>
                          <w:rPr>
                            <w:sz w:val="20"/>
                          </w:rPr>
                        </w:pPr>
                        <w:r>
                          <w:rPr>
                            <w:spacing w:val="-4"/>
                            <w:w w:val="95"/>
                            <w:sz w:val="20"/>
                          </w:rPr>
                          <w:t>完全骨折日數</w:t>
                        </w:r>
                      </w:p>
                    </w:tc>
                  </w:tr>
                  <w:tr>
                    <w:trPr>
                      <w:trHeight w:val="285" w:hRule="atLeast"/>
                    </w:trPr>
                    <w:tc>
                      <w:tcPr>
                        <w:tcW w:w="567" w:type="dxa"/>
                        <w:tcBorders>
                          <w:top w:val="single" w:sz="4" w:space="0" w:color="000000"/>
                          <w:bottom w:val="single" w:sz="4" w:space="0" w:color="000000"/>
                          <w:right w:val="single" w:sz="4" w:space="0" w:color="000000"/>
                        </w:tcBorders>
                      </w:tcPr>
                      <w:p>
                        <w:pPr>
                          <w:pStyle w:val="TableParagraph"/>
                          <w:spacing w:before="1"/>
                          <w:ind w:left="27"/>
                          <w:rPr>
                            <w:sz w:val="20"/>
                          </w:rPr>
                        </w:pPr>
                        <w:r>
                          <w:rPr>
                            <w:w w:val="99"/>
                            <w:sz w:val="20"/>
                          </w:rPr>
                          <w:t>1</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1"/>
                          <w:ind w:left="119"/>
                          <w:jc w:val="left"/>
                          <w:rPr>
                            <w:sz w:val="20"/>
                          </w:rPr>
                        </w:pPr>
                        <w:r>
                          <w:rPr>
                            <w:spacing w:val="-5"/>
                            <w:w w:val="95"/>
                            <w:sz w:val="20"/>
                          </w:rPr>
                          <w:t>鼻骨、眶骨〈含顴骨〉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1"/>
                          <w:ind w:left="111" w:right="68"/>
                          <w:rPr>
                            <w:sz w:val="20"/>
                          </w:rPr>
                        </w:pPr>
                        <w:r>
                          <w:rPr>
                            <w:sz w:val="20"/>
                          </w:rPr>
                          <w:t>14天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1"/>
                          <w:ind w:left="88" w:right="59"/>
                          <w:rPr>
                            <w:sz w:val="20"/>
                          </w:rPr>
                        </w:pPr>
                        <w:r>
                          <w:rPr>
                            <w:sz w:val="20"/>
                          </w:rPr>
                          <w:t>11</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before="1"/>
                          <w:ind w:left="118" w:right="-29"/>
                          <w:jc w:val="left"/>
                          <w:rPr>
                            <w:sz w:val="20"/>
                          </w:rPr>
                        </w:pPr>
                        <w:r>
                          <w:rPr>
                            <w:spacing w:val="-32"/>
                            <w:w w:val="95"/>
                            <w:sz w:val="20"/>
                          </w:rPr>
                          <w:t>骨盤</w:t>
                        </w:r>
                        <w:r>
                          <w:rPr>
                            <w:spacing w:val="-15"/>
                            <w:w w:val="95"/>
                            <w:sz w:val="20"/>
                          </w:rPr>
                          <w:t>（</w:t>
                        </w:r>
                        <w:r>
                          <w:rPr>
                            <w:spacing w:val="-27"/>
                            <w:w w:val="95"/>
                            <w:sz w:val="20"/>
                          </w:rPr>
                          <w:t>包括腸骨、恥骨、坐骨、薦骨</w:t>
                        </w:r>
                        <w:r>
                          <w:rPr>
                            <w:w w:val="95"/>
                            <w:sz w:val="20"/>
                          </w:rPr>
                          <w:t>）</w:t>
                        </w:r>
                      </w:p>
                    </w:tc>
                    <w:tc>
                      <w:tcPr>
                        <w:tcW w:w="1360" w:type="dxa"/>
                        <w:tcBorders>
                          <w:top w:val="single" w:sz="4" w:space="0" w:color="000000"/>
                          <w:left w:val="single" w:sz="4" w:space="0" w:color="000000"/>
                          <w:bottom w:val="single" w:sz="4" w:space="0" w:color="000000"/>
                        </w:tcBorders>
                      </w:tcPr>
                      <w:p>
                        <w:pPr>
                          <w:pStyle w:val="TableParagraph"/>
                          <w:spacing w:before="1"/>
                          <w:ind w:left="114" w:right="56"/>
                          <w:rPr>
                            <w:sz w:val="20"/>
                          </w:rPr>
                        </w:pPr>
                        <w:r>
                          <w:rPr>
                            <w:sz w:val="20"/>
                          </w:rPr>
                          <w:t>40天</w:t>
                        </w:r>
                      </w:p>
                    </w:tc>
                  </w:tr>
                  <w:tr>
                    <w:trPr>
                      <w:trHeight w:val="282" w:hRule="atLeast"/>
                    </w:trPr>
                    <w:tc>
                      <w:tcPr>
                        <w:tcW w:w="567" w:type="dxa"/>
                        <w:tcBorders>
                          <w:top w:val="single" w:sz="4" w:space="0" w:color="000000"/>
                          <w:bottom w:val="single" w:sz="4" w:space="0" w:color="000000"/>
                          <w:right w:val="single" w:sz="4" w:space="0" w:color="000000"/>
                        </w:tcBorders>
                      </w:tcPr>
                      <w:p>
                        <w:pPr>
                          <w:pStyle w:val="TableParagraph"/>
                          <w:spacing w:before="1"/>
                          <w:ind w:left="27"/>
                          <w:rPr>
                            <w:sz w:val="20"/>
                          </w:rPr>
                        </w:pPr>
                        <w:r>
                          <w:rPr>
                            <w:w w:val="99"/>
                            <w:sz w:val="20"/>
                          </w:rPr>
                          <w:t>2</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1"/>
                          <w:ind w:left="119"/>
                          <w:jc w:val="left"/>
                          <w:rPr>
                            <w:sz w:val="20"/>
                          </w:rPr>
                        </w:pPr>
                        <w:r>
                          <w:rPr>
                            <w:spacing w:val="-4"/>
                            <w:w w:val="95"/>
                            <w:sz w:val="20"/>
                          </w:rPr>
                          <w:t>掌骨、指骨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1"/>
                          <w:ind w:left="111" w:right="68"/>
                          <w:rPr>
                            <w:sz w:val="20"/>
                          </w:rPr>
                        </w:pPr>
                        <w:r>
                          <w:rPr>
                            <w:sz w:val="20"/>
                          </w:rPr>
                          <w:t>14天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1"/>
                          <w:ind w:left="88" w:right="59"/>
                          <w:rPr>
                            <w:sz w:val="20"/>
                          </w:rPr>
                        </w:pPr>
                        <w:r>
                          <w:rPr>
                            <w:sz w:val="20"/>
                          </w:rPr>
                          <w:t>12</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before="1"/>
                          <w:ind w:left="118"/>
                          <w:jc w:val="left"/>
                          <w:rPr>
                            <w:sz w:val="20"/>
                          </w:rPr>
                        </w:pPr>
                        <w:r>
                          <w:rPr>
                            <w:spacing w:val="-6"/>
                            <w:w w:val="95"/>
                            <w:sz w:val="20"/>
                          </w:rPr>
                          <w:t>頭蓋骨</w:t>
                        </w:r>
                      </w:p>
                    </w:tc>
                    <w:tc>
                      <w:tcPr>
                        <w:tcW w:w="1360" w:type="dxa"/>
                        <w:tcBorders>
                          <w:top w:val="single" w:sz="4" w:space="0" w:color="000000"/>
                          <w:left w:val="single" w:sz="4" w:space="0" w:color="000000"/>
                          <w:bottom w:val="single" w:sz="4" w:space="0" w:color="000000"/>
                        </w:tcBorders>
                      </w:tcPr>
                      <w:p>
                        <w:pPr>
                          <w:pStyle w:val="TableParagraph"/>
                          <w:spacing w:before="1"/>
                          <w:ind w:left="114" w:right="56"/>
                          <w:rPr>
                            <w:sz w:val="20"/>
                          </w:rPr>
                        </w:pPr>
                        <w:r>
                          <w:rPr>
                            <w:sz w:val="20"/>
                          </w:rPr>
                          <w:t>50天</w:t>
                        </w:r>
                      </w:p>
                    </w:tc>
                  </w:tr>
                  <w:tr>
                    <w:trPr>
                      <w:trHeight w:val="285" w:hRule="atLeast"/>
                    </w:trPr>
                    <w:tc>
                      <w:tcPr>
                        <w:tcW w:w="567" w:type="dxa"/>
                        <w:tcBorders>
                          <w:top w:val="single" w:sz="4" w:space="0" w:color="000000"/>
                          <w:bottom w:val="single" w:sz="4" w:space="0" w:color="000000"/>
                          <w:right w:val="single" w:sz="4" w:space="0" w:color="000000"/>
                        </w:tcBorders>
                      </w:tcPr>
                      <w:p>
                        <w:pPr>
                          <w:pStyle w:val="TableParagraph"/>
                          <w:spacing w:before="1"/>
                          <w:ind w:left="27"/>
                          <w:rPr>
                            <w:sz w:val="20"/>
                          </w:rPr>
                        </w:pPr>
                        <w:r>
                          <w:rPr>
                            <w:w w:val="99"/>
                            <w:sz w:val="20"/>
                          </w:rPr>
                          <w:t>3</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1"/>
                          <w:ind w:left="119"/>
                          <w:jc w:val="left"/>
                          <w:rPr>
                            <w:sz w:val="20"/>
                          </w:rPr>
                        </w:pPr>
                        <w:r>
                          <w:rPr>
                            <w:spacing w:val="-4"/>
                            <w:w w:val="95"/>
                            <w:sz w:val="20"/>
                          </w:rPr>
                          <w:t>蹠骨、趾骨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1"/>
                          <w:ind w:left="111" w:right="68"/>
                          <w:rPr>
                            <w:sz w:val="20"/>
                          </w:rPr>
                        </w:pPr>
                        <w:r>
                          <w:rPr>
                            <w:sz w:val="20"/>
                          </w:rPr>
                          <w:t>14天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1"/>
                          <w:ind w:left="88" w:right="59"/>
                          <w:rPr>
                            <w:sz w:val="20"/>
                          </w:rPr>
                        </w:pPr>
                        <w:r>
                          <w:rPr>
                            <w:sz w:val="20"/>
                          </w:rPr>
                          <w:t>13</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before="1"/>
                          <w:ind w:left="118"/>
                          <w:jc w:val="left"/>
                          <w:rPr>
                            <w:sz w:val="20"/>
                          </w:rPr>
                        </w:pPr>
                        <w:r>
                          <w:rPr>
                            <w:spacing w:val="-6"/>
                            <w:w w:val="95"/>
                            <w:sz w:val="20"/>
                          </w:rPr>
                          <w:t>臂骨</w:t>
                        </w:r>
                      </w:p>
                    </w:tc>
                    <w:tc>
                      <w:tcPr>
                        <w:tcW w:w="1360" w:type="dxa"/>
                        <w:tcBorders>
                          <w:top w:val="single" w:sz="4" w:space="0" w:color="000000"/>
                          <w:left w:val="single" w:sz="4" w:space="0" w:color="000000"/>
                          <w:bottom w:val="single" w:sz="4" w:space="0" w:color="000000"/>
                        </w:tcBorders>
                      </w:tcPr>
                      <w:p>
                        <w:pPr>
                          <w:pStyle w:val="TableParagraph"/>
                          <w:spacing w:before="1"/>
                          <w:ind w:left="114" w:right="56"/>
                          <w:rPr>
                            <w:sz w:val="20"/>
                          </w:rPr>
                        </w:pPr>
                        <w:r>
                          <w:rPr>
                            <w:sz w:val="20"/>
                          </w:rPr>
                          <w:t>40天</w:t>
                        </w:r>
                      </w:p>
                    </w:tc>
                  </w:tr>
                  <w:tr>
                    <w:trPr>
                      <w:trHeight w:val="282" w:hRule="atLeast"/>
                    </w:trPr>
                    <w:tc>
                      <w:tcPr>
                        <w:tcW w:w="567" w:type="dxa"/>
                        <w:tcBorders>
                          <w:top w:val="single" w:sz="4" w:space="0" w:color="000000"/>
                          <w:bottom w:val="single" w:sz="4" w:space="0" w:color="000000"/>
                          <w:right w:val="single" w:sz="4" w:space="0" w:color="000000"/>
                        </w:tcBorders>
                      </w:tcPr>
                      <w:p>
                        <w:pPr>
                          <w:pStyle w:val="TableParagraph"/>
                          <w:spacing w:before="1"/>
                          <w:ind w:left="27"/>
                          <w:rPr>
                            <w:sz w:val="20"/>
                          </w:rPr>
                        </w:pPr>
                        <w:r>
                          <w:rPr>
                            <w:w w:val="99"/>
                            <w:sz w:val="20"/>
                          </w:rPr>
                          <w:t>4</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1"/>
                          <w:ind w:left="119"/>
                          <w:jc w:val="left"/>
                          <w:rPr>
                            <w:sz w:val="20"/>
                          </w:rPr>
                        </w:pPr>
                        <w:r>
                          <w:rPr>
                            <w:spacing w:val="-5"/>
                            <w:w w:val="95"/>
                            <w:sz w:val="20"/>
                          </w:rPr>
                          <w:t>下顎（齒槽醫療除外</w:t>
                        </w:r>
                        <w:r>
                          <w:rPr>
                            <w:spacing w:val="-4"/>
                            <w:w w:val="95"/>
                            <w:sz w:val="20"/>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1"/>
                          <w:ind w:left="111" w:right="68"/>
                          <w:rPr>
                            <w:sz w:val="20"/>
                          </w:rPr>
                        </w:pPr>
                        <w:r>
                          <w:rPr>
                            <w:sz w:val="20"/>
                          </w:rPr>
                          <w:t>20天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1"/>
                          <w:ind w:left="88" w:right="59"/>
                          <w:rPr>
                            <w:sz w:val="20"/>
                          </w:rPr>
                        </w:pPr>
                        <w:r>
                          <w:rPr>
                            <w:sz w:val="20"/>
                          </w:rPr>
                          <w:t>14</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before="1"/>
                          <w:ind w:left="118"/>
                          <w:jc w:val="left"/>
                          <w:rPr>
                            <w:sz w:val="20"/>
                          </w:rPr>
                        </w:pPr>
                        <w:r>
                          <w:rPr>
                            <w:spacing w:val="-4"/>
                            <w:w w:val="95"/>
                            <w:sz w:val="20"/>
                          </w:rPr>
                          <w:t>橈骨與尺骨</w:t>
                        </w:r>
                      </w:p>
                    </w:tc>
                    <w:tc>
                      <w:tcPr>
                        <w:tcW w:w="1360" w:type="dxa"/>
                        <w:tcBorders>
                          <w:top w:val="single" w:sz="4" w:space="0" w:color="000000"/>
                          <w:left w:val="single" w:sz="4" w:space="0" w:color="000000"/>
                          <w:bottom w:val="single" w:sz="4" w:space="0" w:color="000000"/>
                        </w:tcBorders>
                      </w:tcPr>
                      <w:p>
                        <w:pPr>
                          <w:pStyle w:val="TableParagraph"/>
                          <w:spacing w:before="1"/>
                          <w:ind w:left="114" w:right="56"/>
                          <w:rPr>
                            <w:sz w:val="20"/>
                          </w:rPr>
                        </w:pPr>
                        <w:r>
                          <w:rPr>
                            <w:sz w:val="20"/>
                          </w:rPr>
                          <w:t>40天</w:t>
                        </w:r>
                      </w:p>
                    </w:tc>
                  </w:tr>
                  <w:tr>
                    <w:trPr>
                      <w:trHeight w:val="285" w:hRule="atLeast"/>
                    </w:trPr>
                    <w:tc>
                      <w:tcPr>
                        <w:tcW w:w="567" w:type="dxa"/>
                        <w:tcBorders>
                          <w:top w:val="single" w:sz="4" w:space="0" w:color="000000"/>
                          <w:bottom w:val="single" w:sz="4" w:space="0" w:color="000000"/>
                          <w:right w:val="single" w:sz="4" w:space="0" w:color="000000"/>
                        </w:tcBorders>
                      </w:tcPr>
                      <w:p>
                        <w:pPr>
                          <w:pStyle w:val="TableParagraph"/>
                          <w:spacing w:before="1"/>
                          <w:ind w:left="27"/>
                          <w:rPr>
                            <w:sz w:val="20"/>
                          </w:rPr>
                        </w:pPr>
                        <w:r>
                          <w:rPr>
                            <w:w w:val="99"/>
                            <w:sz w:val="20"/>
                          </w:rPr>
                          <w:t>5</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1"/>
                          <w:ind w:left="119"/>
                          <w:jc w:val="left"/>
                          <w:rPr>
                            <w:sz w:val="20"/>
                          </w:rPr>
                        </w:pPr>
                        <w:r>
                          <w:rPr>
                            <w:spacing w:val="-6"/>
                            <w:w w:val="95"/>
                            <w:sz w:val="20"/>
                          </w:rPr>
                          <w:t>肋骨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1"/>
                          <w:ind w:left="111" w:right="68"/>
                          <w:rPr>
                            <w:sz w:val="20"/>
                          </w:rPr>
                        </w:pPr>
                        <w:r>
                          <w:rPr>
                            <w:sz w:val="20"/>
                          </w:rPr>
                          <w:t>20天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1"/>
                          <w:ind w:left="88" w:right="59"/>
                          <w:rPr>
                            <w:sz w:val="20"/>
                          </w:rPr>
                        </w:pPr>
                        <w:r>
                          <w:rPr>
                            <w:sz w:val="20"/>
                          </w:rPr>
                          <w:t>15</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before="1"/>
                          <w:ind w:left="118"/>
                          <w:jc w:val="left"/>
                          <w:rPr>
                            <w:sz w:val="20"/>
                          </w:rPr>
                        </w:pPr>
                        <w:r>
                          <w:rPr>
                            <w:spacing w:val="-5"/>
                            <w:w w:val="95"/>
                            <w:sz w:val="20"/>
                          </w:rPr>
                          <w:t>腕骨（一手或雙手</w:t>
                        </w:r>
                        <w:r>
                          <w:rPr>
                            <w:spacing w:val="-4"/>
                            <w:w w:val="95"/>
                            <w:sz w:val="20"/>
                          </w:rPr>
                          <w:t>）</w:t>
                        </w:r>
                      </w:p>
                    </w:tc>
                    <w:tc>
                      <w:tcPr>
                        <w:tcW w:w="1360" w:type="dxa"/>
                        <w:tcBorders>
                          <w:top w:val="single" w:sz="4" w:space="0" w:color="000000"/>
                          <w:left w:val="single" w:sz="4" w:space="0" w:color="000000"/>
                          <w:bottom w:val="single" w:sz="4" w:space="0" w:color="000000"/>
                        </w:tcBorders>
                      </w:tcPr>
                      <w:p>
                        <w:pPr>
                          <w:pStyle w:val="TableParagraph"/>
                          <w:spacing w:before="1"/>
                          <w:ind w:left="114" w:right="56"/>
                          <w:rPr>
                            <w:sz w:val="20"/>
                          </w:rPr>
                        </w:pPr>
                        <w:r>
                          <w:rPr>
                            <w:sz w:val="20"/>
                          </w:rPr>
                          <w:t>40天</w:t>
                        </w:r>
                      </w:p>
                    </w:tc>
                  </w:tr>
                  <w:tr>
                    <w:trPr>
                      <w:trHeight w:val="282" w:hRule="atLeast"/>
                    </w:trPr>
                    <w:tc>
                      <w:tcPr>
                        <w:tcW w:w="567" w:type="dxa"/>
                        <w:tcBorders>
                          <w:top w:val="single" w:sz="4" w:space="0" w:color="000000"/>
                          <w:bottom w:val="single" w:sz="4" w:space="0" w:color="000000"/>
                          <w:right w:val="single" w:sz="4" w:space="0" w:color="000000"/>
                        </w:tcBorders>
                      </w:tcPr>
                      <w:p>
                        <w:pPr>
                          <w:pStyle w:val="TableParagraph"/>
                          <w:spacing w:before="1"/>
                          <w:ind w:left="27"/>
                          <w:rPr>
                            <w:sz w:val="20"/>
                          </w:rPr>
                        </w:pPr>
                        <w:r>
                          <w:rPr>
                            <w:w w:val="99"/>
                            <w:sz w:val="20"/>
                          </w:rPr>
                          <w:t>6</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1"/>
                          <w:ind w:left="119"/>
                          <w:jc w:val="left"/>
                          <w:rPr>
                            <w:sz w:val="20"/>
                          </w:rPr>
                        </w:pPr>
                        <w:r>
                          <w:rPr>
                            <w:spacing w:val="-6"/>
                            <w:w w:val="95"/>
                            <w:sz w:val="20"/>
                          </w:rPr>
                          <w:t>鎖骨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1"/>
                          <w:ind w:left="111" w:right="68"/>
                          <w:rPr>
                            <w:sz w:val="20"/>
                          </w:rPr>
                        </w:pPr>
                        <w:r>
                          <w:rPr>
                            <w:sz w:val="20"/>
                          </w:rPr>
                          <w:t>28天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1"/>
                          <w:ind w:left="88" w:right="59"/>
                          <w:rPr>
                            <w:sz w:val="20"/>
                          </w:rPr>
                        </w:pPr>
                        <w:r>
                          <w:rPr>
                            <w:sz w:val="20"/>
                          </w:rPr>
                          <w:t>16</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before="1"/>
                          <w:ind w:left="118"/>
                          <w:jc w:val="left"/>
                          <w:rPr>
                            <w:sz w:val="20"/>
                          </w:rPr>
                        </w:pPr>
                        <w:r>
                          <w:rPr>
                            <w:spacing w:val="-4"/>
                            <w:w w:val="95"/>
                            <w:sz w:val="20"/>
                          </w:rPr>
                          <w:t>脛骨或腓骨</w:t>
                        </w:r>
                      </w:p>
                    </w:tc>
                    <w:tc>
                      <w:tcPr>
                        <w:tcW w:w="1360" w:type="dxa"/>
                        <w:tcBorders>
                          <w:top w:val="single" w:sz="4" w:space="0" w:color="000000"/>
                          <w:left w:val="single" w:sz="4" w:space="0" w:color="000000"/>
                          <w:bottom w:val="single" w:sz="4" w:space="0" w:color="000000"/>
                        </w:tcBorders>
                      </w:tcPr>
                      <w:p>
                        <w:pPr>
                          <w:pStyle w:val="TableParagraph"/>
                          <w:spacing w:before="1"/>
                          <w:ind w:left="114" w:right="56"/>
                          <w:rPr>
                            <w:sz w:val="20"/>
                          </w:rPr>
                        </w:pPr>
                        <w:r>
                          <w:rPr>
                            <w:sz w:val="20"/>
                          </w:rPr>
                          <w:t>40天</w:t>
                        </w:r>
                      </w:p>
                    </w:tc>
                  </w:tr>
                  <w:tr>
                    <w:trPr>
                      <w:trHeight w:val="285" w:hRule="atLeast"/>
                    </w:trPr>
                    <w:tc>
                      <w:tcPr>
                        <w:tcW w:w="567" w:type="dxa"/>
                        <w:tcBorders>
                          <w:top w:val="single" w:sz="4" w:space="0" w:color="000000"/>
                          <w:bottom w:val="single" w:sz="4" w:space="0" w:color="000000"/>
                          <w:right w:val="single" w:sz="4" w:space="0" w:color="000000"/>
                        </w:tcBorders>
                      </w:tcPr>
                      <w:p>
                        <w:pPr>
                          <w:pStyle w:val="TableParagraph"/>
                          <w:spacing w:before="1"/>
                          <w:ind w:left="27"/>
                          <w:rPr>
                            <w:sz w:val="20"/>
                          </w:rPr>
                        </w:pPr>
                        <w:r>
                          <w:rPr>
                            <w:w w:val="99"/>
                            <w:sz w:val="20"/>
                          </w:rPr>
                          <w:t>7</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1"/>
                          <w:ind w:left="119"/>
                          <w:jc w:val="left"/>
                          <w:rPr>
                            <w:sz w:val="20"/>
                          </w:rPr>
                        </w:pPr>
                        <w:r>
                          <w:rPr>
                            <w:spacing w:val="-4"/>
                            <w:w w:val="95"/>
                            <w:sz w:val="20"/>
                          </w:rPr>
                          <w:t>橈骨或尺骨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1"/>
                          <w:ind w:left="111" w:right="68"/>
                          <w:rPr>
                            <w:sz w:val="20"/>
                          </w:rPr>
                        </w:pPr>
                        <w:r>
                          <w:rPr>
                            <w:sz w:val="20"/>
                          </w:rPr>
                          <w:t>28天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1"/>
                          <w:ind w:left="88" w:right="59"/>
                          <w:rPr>
                            <w:sz w:val="20"/>
                          </w:rPr>
                        </w:pPr>
                        <w:r>
                          <w:rPr>
                            <w:sz w:val="20"/>
                          </w:rPr>
                          <w:t>17</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before="1"/>
                          <w:ind w:left="118"/>
                          <w:jc w:val="left"/>
                          <w:rPr>
                            <w:sz w:val="20"/>
                          </w:rPr>
                        </w:pPr>
                        <w:r>
                          <w:rPr>
                            <w:spacing w:val="-5"/>
                            <w:w w:val="95"/>
                            <w:sz w:val="20"/>
                          </w:rPr>
                          <w:t>踝骨（一足或雙足</w:t>
                        </w:r>
                        <w:r>
                          <w:rPr>
                            <w:spacing w:val="-4"/>
                            <w:w w:val="95"/>
                            <w:sz w:val="20"/>
                          </w:rPr>
                          <w:t>）</w:t>
                        </w:r>
                      </w:p>
                    </w:tc>
                    <w:tc>
                      <w:tcPr>
                        <w:tcW w:w="1360" w:type="dxa"/>
                        <w:tcBorders>
                          <w:top w:val="single" w:sz="4" w:space="0" w:color="000000"/>
                          <w:left w:val="single" w:sz="4" w:space="0" w:color="000000"/>
                          <w:bottom w:val="single" w:sz="4" w:space="0" w:color="000000"/>
                        </w:tcBorders>
                      </w:tcPr>
                      <w:p>
                        <w:pPr>
                          <w:pStyle w:val="TableParagraph"/>
                          <w:spacing w:before="1"/>
                          <w:ind w:left="114" w:right="56"/>
                          <w:rPr>
                            <w:sz w:val="20"/>
                          </w:rPr>
                        </w:pPr>
                        <w:r>
                          <w:rPr>
                            <w:sz w:val="20"/>
                          </w:rPr>
                          <w:t>40天</w:t>
                        </w:r>
                      </w:p>
                    </w:tc>
                  </w:tr>
                  <w:tr>
                    <w:trPr>
                      <w:trHeight w:val="283" w:hRule="atLeast"/>
                    </w:trPr>
                    <w:tc>
                      <w:tcPr>
                        <w:tcW w:w="567" w:type="dxa"/>
                        <w:tcBorders>
                          <w:top w:val="single" w:sz="4" w:space="0" w:color="000000"/>
                          <w:bottom w:val="single" w:sz="4" w:space="0" w:color="000000"/>
                          <w:right w:val="single" w:sz="4" w:space="0" w:color="000000"/>
                        </w:tcBorders>
                      </w:tcPr>
                      <w:p>
                        <w:pPr>
                          <w:pStyle w:val="TableParagraph"/>
                          <w:spacing w:before="2"/>
                          <w:ind w:left="27"/>
                          <w:rPr>
                            <w:sz w:val="20"/>
                          </w:rPr>
                        </w:pPr>
                        <w:r>
                          <w:rPr>
                            <w:w w:val="99"/>
                            <w:sz w:val="20"/>
                          </w:rPr>
                          <w:t>8</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2"/>
                          <w:ind w:left="119"/>
                          <w:jc w:val="left"/>
                          <w:rPr>
                            <w:sz w:val="20"/>
                          </w:rPr>
                        </w:pPr>
                        <w:r>
                          <w:rPr>
                            <w:spacing w:val="-6"/>
                            <w:w w:val="95"/>
                            <w:sz w:val="20"/>
                          </w:rPr>
                          <w:t>膝蓋骨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2"/>
                          <w:ind w:left="111" w:right="68"/>
                          <w:rPr>
                            <w:sz w:val="20"/>
                          </w:rPr>
                        </w:pPr>
                        <w:r>
                          <w:rPr>
                            <w:sz w:val="20"/>
                          </w:rPr>
                          <w:t>28天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2"/>
                          <w:ind w:left="88" w:right="59"/>
                          <w:rPr>
                            <w:sz w:val="20"/>
                          </w:rPr>
                        </w:pPr>
                        <w:r>
                          <w:rPr>
                            <w:sz w:val="20"/>
                          </w:rPr>
                          <w:t>18</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before="2"/>
                          <w:ind w:left="118"/>
                          <w:jc w:val="left"/>
                          <w:rPr>
                            <w:sz w:val="20"/>
                          </w:rPr>
                        </w:pPr>
                        <w:r>
                          <w:rPr>
                            <w:spacing w:val="-6"/>
                            <w:w w:val="95"/>
                            <w:sz w:val="20"/>
                          </w:rPr>
                          <w:t>股骨</w:t>
                        </w:r>
                      </w:p>
                    </w:tc>
                    <w:tc>
                      <w:tcPr>
                        <w:tcW w:w="1360" w:type="dxa"/>
                        <w:tcBorders>
                          <w:top w:val="single" w:sz="4" w:space="0" w:color="000000"/>
                          <w:left w:val="single" w:sz="4" w:space="0" w:color="000000"/>
                          <w:bottom w:val="single" w:sz="4" w:space="0" w:color="000000"/>
                        </w:tcBorders>
                      </w:tcPr>
                      <w:p>
                        <w:pPr>
                          <w:pStyle w:val="TableParagraph"/>
                          <w:spacing w:before="2"/>
                          <w:ind w:left="114" w:right="56"/>
                          <w:rPr>
                            <w:sz w:val="20"/>
                          </w:rPr>
                        </w:pPr>
                        <w:r>
                          <w:rPr>
                            <w:sz w:val="20"/>
                          </w:rPr>
                          <w:t>50天</w:t>
                        </w:r>
                      </w:p>
                    </w:tc>
                  </w:tr>
                  <w:tr>
                    <w:trPr>
                      <w:trHeight w:val="285" w:hRule="atLeast"/>
                    </w:trPr>
                    <w:tc>
                      <w:tcPr>
                        <w:tcW w:w="567" w:type="dxa"/>
                        <w:tcBorders>
                          <w:top w:val="single" w:sz="4" w:space="0" w:color="000000"/>
                          <w:bottom w:val="single" w:sz="4" w:space="0" w:color="000000"/>
                          <w:right w:val="single" w:sz="4" w:space="0" w:color="000000"/>
                        </w:tcBorders>
                      </w:tcPr>
                      <w:p>
                        <w:pPr>
                          <w:pStyle w:val="TableParagraph"/>
                          <w:spacing w:before="1"/>
                          <w:ind w:left="27"/>
                          <w:rPr>
                            <w:sz w:val="20"/>
                          </w:rPr>
                        </w:pPr>
                        <w:r>
                          <w:rPr>
                            <w:w w:val="99"/>
                            <w:sz w:val="20"/>
                          </w:rPr>
                          <w:t>9</w:t>
                        </w:r>
                      </w:p>
                    </w:tc>
                    <w:tc>
                      <w:tcPr>
                        <w:tcW w:w="2667" w:type="dxa"/>
                        <w:tcBorders>
                          <w:top w:val="single" w:sz="4" w:space="0" w:color="000000"/>
                          <w:left w:val="single" w:sz="4" w:space="0" w:color="000000"/>
                          <w:bottom w:val="single" w:sz="4" w:space="0" w:color="000000"/>
                          <w:right w:val="single" w:sz="4" w:space="0" w:color="000000"/>
                        </w:tcBorders>
                      </w:tcPr>
                      <w:p>
                        <w:pPr>
                          <w:pStyle w:val="TableParagraph"/>
                          <w:spacing w:before="1"/>
                          <w:ind w:left="119"/>
                          <w:jc w:val="left"/>
                          <w:rPr>
                            <w:sz w:val="20"/>
                          </w:rPr>
                        </w:pPr>
                        <w:r>
                          <w:rPr>
                            <w:spacing w:val="-6"/>
                            <w:w w:val="95"/>
                            <w:sz w:val="20"/>
                          </w:rPr>
                          <w:t>肩胛骨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1"/>
                          <w:ind w:left="111" w:right="68"/>
                          <w:rPr>
                            <w:sz w:val="20"/>
                          </w:rPr>
                        </w:pPr>
                        <w:r>
                          <w:rPr>
                            <w:sz w:val="20"/>
                          </w:rPr>
                          <w:t>34天</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before="1"/>
                          <w:ind w:left="88" w:right="59"/>
                          <w:rPr>
                            <w:sz w:val="20"/>
                          </w:rPr>
                        </w:pPr>
                        <w:r>
                          <w:rPr>
                            <w:sz w:val="20"/>
                          </w:rPr>
                          <w:t>19</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before="1"/>
                          <w:ind w:left="118"/>
                          <w:jc w:val="left"/>
                          <w:rPr>
                            <w:sz w:val="20"/>
                          </w:rPr>
                        </w:pPr>
                        <w:r>
                          <w:rPr>
                            <w:spacing w:val="-4"/>
                            <w:w w:val="95"/>
                            <w:sz w:val="20"/>
                          </w:rPr>
                          <w:t>脛骨及腓骨</w:t>
                        </w:r>
                      </w:p>
                    </w:tc>
                    <w:tc>
                      <w:tcPr>
                        <w:tcW w:w="1360" w:type="dxa"/>
                        <w:tcBorders>
                          <w:top w:val="single" w:sz="4" w:space="0" w:color="000000"/>
                          <w:left w:val="single" w:sz="4" w:space="0" w:color="000000"/>
                          <w:bottom w:val="single" w:sz="4" w:space="0" w:color="000000"/>
                        </w:tcBorders>
                      </w:tcPr>
                      <w:p>
                        <w:pPr>
                          <w:pStyle w:val="TableParagraph"/>
                          <w:spacing w:before="1"/>
                          <w:ind w:left="114" w:right="56"/>
                          <w:rPr>
                            <w:sz w:val="20"/>
                          </w:rPr>
                        </w:pPr>
                        <w:r>
                          <w:rPr>
                            <w:sz w:val="20"/>
                          </w:rPr>
                          <w:t>50天</w:t>
                        </w:r>
                      </w:p>
                    </w:tc>
                  </w:tr>
                  <w:tr>
                    <w:trPr>
                      <w:trHeight w:val="284" w:hRule="atLeast"/>
                    </w:trPr>
                    <w:tc>
                      <w:tcPr>
                        <w:tcW w:w="567" w:type="dxa"/>
                        <w:tcBorders>
                          <w:top w:val="single" w:sz="4" w:space="0" w:color="000000"/>
                          <w:right w:val="single" w:sz="4" w:space="0" w:color="000000"/>
                        </w:tcBorders>
                      </w:tcPr>
                      <w:p>
                        <w:pPr>
                          <w:pStyle w:val="TableParagraph"/>
                          <w:spacing w:before="1"/>
                          <w:ind w:left="78" w:right="59"/>
                          <w:rPr>
                            <w:sz w:val="20"/>
                          </w:rPr>
                        </w:pPr>
                        <w:r>
                          <w:rPr>
                            <w:sz w:val="20"/>
                          </w:rPr>
                          <w:t>10</w:t>
                        </w:r>
                      </w:p>
                    </w:tc>
                    <w:tc>
                      <w:tcPr>
                        <w:tcW w:w="2667" w:type="dxa"/>
                        <w:tcBorders>
                          <w:top w:val="single" w:sz="4" w:space="0" w:color="000000"/>
                          <w:left w:val="single" w:sz="4" w:space="0" w:color="000000"/>
                          <w:right w:val="single" w:sz="4" w:space="0" w:color="000000"/>
                        </w:tcBorders>
                      </w:tcPr>
                      <w:p>
                        <w:pPr>
                          <w:pStyle w:val="TableParagraph"/>
                          <w:spacing w:before="1"/>
                          <w:ind w:left="119" w:right="-29"/>
                          <w:jc w:val="left"/>
                          <w:rPr>
                            <w:sz w:val="20"/>
                          </w:rPr>
                        </w:pPr>
                        <w:r>
                          <w:rPr>
                            <w:spacing w:val="-8"/>
                            <w:w w:val="95"/>
                            <w:sz w:val="20"/>
                          </w:rPr>
                          <w:t>椎骨</w:t>
                        </w:r>
                        <w:r>
                          <w:rPr>
                            <w:spacing w:val="-7"/>
                            <w:w w:val="95"/>
                            <w:sz w:val="20"/>
                          </w:rPr>
                          <w:t>（包括胸椎、腰椎及尾骨）</w:t>
                        </w:r>
                      </w:p>
                    </w:tc>
                    <w:tc>
                      <w:tcPr>
                        <w:tcW w:w="1358" w:type="dxa"/>
                        <w:tcBorders>
                          <w:top w:val="single" w:sz="4" w:space="0" w:color="000000"/>
                          <w:left w:val="single" w:sz="4" w:space="0" w:color="000000"/>
                          <w:right w:val="single" w:sz="4" w:space="0" w:color="000000"/>
                        </w:tcBorders>
                      </w:tcPr>
                      <w:p>
                        <w:pPr>
                          <w:pStyle w:val="TableParagraph"/>
                          <w:spacing w:before="1"/>
                          <w:ind w:left="111" w:right="68"/>
                          <w:rPr>
                            <w:sz w:val="20"/>
                          </w:rPr>
                        </w:pPr>
                        <w:r>
                          <w:rPr>
                            <w:sz w:val="20"/>
                          </w:rPr>
                          <w:t>40天</w:t>
                        </w:r>
                      </w:p>
                    </w:tc>
                    <w:tc>
                      <w:tcPr>
                        <w:tcW w:w="566" w:type="dxa"/>
                        <w:tcBorders>
                          <w:top w:val="single" w:sz="4" w:space="0" w:color="000000"/>
                          <w:left w:val="single" w:sz="4" w:space="0" w:color="000000"/>
                          <w:right w:val="single" w:sz="4" w:space="0" w:color="000000"/>
                        </w:tcBorders>
                      </w:tcPr>
                      <w:p>
                        <w:pPr>
                          <w:pStyle w:val="TableParagraph"/>
                          <w:spacing w:before="1"/>
                          <w:ind w:left="88" w:right="59"/>
                          <w:rPr>
                            <w:sz w:val="20"/>
                          </w:rPr>
                        </w:pPr>
                        <w:r>
                          <w:rPr>
                            <w:sz w:val="20"/>
                          </w:rPr>
                          <w:t>20</w:t>
                        </w:r>
                      </w:p>
                    </w:tc>
                    <w:tc>
                      <w:tcPr>
                        <w:tcW w:w="3118" w:type="dxa"/>
                        <w:tcBorders>
                          <w:top w:val="single" w:sz="4" w:space="0" w:color="000000"/>
                          <w:left w:val="single" w:sz="4" w:space="0" w:color="000000"/>
                          <w:right w:val="single" w:sz="4" w:space="0" w:color="000000"/>
                        </w:tcBorders>
                      </w:tcPr>
                      <w:p>
                        <w:pPr>
                          <w:pStyle w:val="TableParagraph"/>
                          <w:spacing w:before="1"/>
                          <w:ind w:left="118"/>
                          <w:jc w:val="left"/>
                          <w:rPr>
                            <w:sz w:val="20"/>
                          </w:rPr>
                        </w:pPr>
                        <w:r>
                          <w:rPr>
                            <w:spacing w:val="-6"/>
                            <w:w w:val="95"/>
                            <w:sz w:val="20"/>
                          </w:rPr>
                          <w:t>大腿骨頸</w:t>
                        </w:r>
                      </w:p>
                    </w:tc>
                    <w:tc>
                      <w:tcPr>
                        <w:tcW w:w="1360" w:type="dxa"/>
                        <w:tcBorders>
                          <w:top w:val="single" w:sz="4" w:space="0" w:color="000000"/>
                          <w:left w:val="single" w:sz="4" w:space="0" w:color="000000"/>
                        </w:tcBorders>
                      </w:tcPr>
                      <w:p>
                        <w:pPr>
                          <w:pStyle w:val="TableParagraph"/>
                          <w:spacing w:before="1"/>
                          <w:ind w:left="114" w:right="56"/>
                          <w:rPr>
                            <w:sz w:val="20"/>
                          </w:rPr>
                        </w:pPr>
                        <w:r>
                          <w:rPr>
                            <w:sz w:val="20"/>
                          </w:rPr>
                          <w:t>60天</w:t>
                        </w:r>
                      </w:p>
                    </w:tc>
                  </w:tr>
                </w:tbl>
                <w:p>
                  <w:pPr>
                    <w:pStyle w:val="BodyText"/>
                    <w:ind w:left="0"/>
                  </w:pPr>
                </w:p>
              </w:txbxContent>
            </v:textbox>
            <w10:wrap type="none"/>
          </v:shape>
        </w:pict>
      </w:r>
      <w:r>
        <w:rPr>
          <w:rFonts w:ascii="Microsoft JhengHei" w:eastAsia="Microsoft JhengHei" w:hint="eastAsia"/>
          <w:b/>
          <w:sz w:val="20"/>
        </w:rPr>
        <w:t>附表三：骨折別表</w:t>
      </w:r>
    </w:p>
    <w:sectPr>
      <w:pgSz w:w="11910" w:h="16840"/>
      <w:pgMar w:header="0" w:footer="746" w:top="1360" w:bottom="1020" w:left="9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PMingLiU-ExtB">
    <w:altName w:val="PMingLiU-ExtB"/>
    <w:charset w:val="1"/>
    <w:family w:val="roman"/>
    <w:pitch w:val="variable"/>
  </w:font>
  <w:font w:name="MingLiU_HKSCS-ExtB">
    <w:altName w:val="MingLiU_HKSCS-ExtB"/>
    <w:charset w:val="1"/>
    <w:family w:val="roman"/>
    <w:pitch w:val="variable"/>
  </w:font>
  <w:font w:name="Microsoft JhengHei">
    <w:altName w:val="Microsoft JhengHei"/>
    <w:charset w:val="1"/>
    <w:family w:val="swiss"/>
    <w:pitch w:val="variable"/>
  </w:font>
  <w:font w:name="SimSun">
    <w:altName w:val="SimSun"/>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66.529999pt;margin-top:789.60022pt;width:65.1500pt;height:12pt;mso-position-horizontal-relative:page;mso-position-vertical-relative:page;z-index:-16997376" type="#_x0000_t202" filled="false" stroked="false">
          <v:textbox inset="0,0,0,0">
            <w:txbxContent>
              <w:p>
                <w:pPr>
                  <w:spacing w:line="239" w:lineRule="exact" w:before="0"/>
                  <w:ind w:left="20" w:right="0" w:firstLine="0"/>
                  <w:jc w:val="left"/>
                  <w:rPr>
                    <w:rFonts w:ascii="Microsoft JhengHei" w:eastAsia="Microsoft JhengHei" w:hint="eastAsia"/>
                    <w:b/>
                    <w:sz w:val="20"/>
                  </w:rPr>
                </w:pPr>
                <w:r>
                  <w:rPr>
                    <w:rFonts w:ascii="Microsoft JhengHei" w:eastAsia="Microsoft JhengHei" w:hint="eastAsia"/>
                    <w:b/>
                    <w:w w:val="95"/>
                    <w:sz w:val="20"/>
                  </w:rPr>
                  <w:t>第</w:t>
                </w:r>
                <w:r>
                  <w:rPr/>
                  <w:fldChar w:fldCharType="begin"/>
                </w:r>
                <w:r>
                  <w:rPr>
                    <w:rFonts w:ascii="Microsoft JhengHei" w:eastAsia="Microsoft JhengHei" w:hint="eastAsia"/>
                    <w:b/>
                    <w:w w:val="95"/>
                    <w:sz w:val="20"/>
                  </w:rPr>
                  <w:instrText> PAGE </w:instrText>
                </w:r>
                <w:r>
                  <w:rPr/>
                  <w:fldChar w:fldCharType="separate"/>
                </w:r>
                <w:r>
                  <w:rPr/>
                  <w:t>20</w:t>
                </w:r>
                <w:r>
                  <w:rPr/>
                  <w:fldChar w:fldCharType="end"/>
                </w:r>
                <w:r>
                  <w:rPr>
                    <w:rFonts w:ascii="Microsoft JhengHei" w:eastAsia="Microsoft JhengHei" w:hint="eastAsia"/>
                    <w:b/>
                    <w:w w:val="95"/>
                    <w:sz w:val="20"/>
                  </w:rPr>
                  <w:t>頁共24頁</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89" w:hanging="504"/>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976" w:hanging="504"/>
      </w:pPr>
      <w:rPr>
        <w:rFonts w:hint="default"/>
        <w:lang w:val="en-US" w:eastAsia="zh-TW" w:bidi="ar-SA"/>
      </w:rPr>
    </w:lvl>
    <w:lvl w:ilvl="2">
      <w:start w:val="0"/>
      <w:numFmt w:val="bullet"/>
      <w:lvlText w:val="•"/>
      <w:lvlJc w:val="left"/>
      <w:pPr>
        <w:ind w:left="2873" w:hanging="504"/>
      </w:pPr>
      <w:rPr>
        <w:rFonts w:hint="default"/>
        <w:lang w:val="en-US" w:eastAsia="zh-TW" w:bidi="ar-SA"/>
      </w:rPr>
    </w:lvl>
    <w:lvl w:ilvl="3">
      <w:start w:val="0"/>
      <w:numFmt w:val="bullet"/>
      <w:lvlText w:val="•"/>
      <w:lvlJc w:val="left"/>
      <w:pPr>
        <w:ind w:left="3769" w:hanging="504"/>
      </w:pPr>
      <w:rPr>
        <w:rFonts w:hint="default"/>
        <w:lang w:val="en-US" w:eastAsia="zh-TW" w:bidi="ar-SA"/>
      </w:rPr>
    </w:lvl>
    <w:lvl w:ilvl="4">
      <w:start w:val="0"/>
      <w:numFmt w:val="bullet"/>
      <w:lvlText w:val="•"/>
      <w:lvlJc w:val="left"/>
      <w:pPr>
        <w:ind w:left="4666" w:hanging="504"/>
      </w:pPr>
      <w:rPr>
        <w:rFonts w:hint="default"/>
        <w:lang w:val="en-US" w:eastAsia="zh-TW" w:bidi="ar-SA"/>
      </w:rPr>
    </w:lvl>
    <w:lvl w:ilvl="5">
      <w:start w:val="0"/>
      <w:numFmt w:val="bullet"/>
      <w:lvlText w:val="•"/>
      <w:lvlJc w:val="left"/>
      <w:pPr>
        <w:ind w:left="5563" w:hanging="504"/>
      </w:pPr>
      <w:rPr>
        <w:rFonts w:hint="default"/>
        <w:lang w:val="en-US" w:eastAsia="zh-TW" w:bidi="ar-SA"/>
      </w:rPr>
    </w:lvl>
    <w:lvl w:ilvl="6">
      <w:start w:val="0"/>
      <w:numFmt w:val="bullet"/>
      <w:lvlText w:val="•"/>
      <w:lvlJc w:val="left"/>
      <w:pPr>
        <w:ind w:left="6459" w:hanging="504"/>
      </w:pPr>
      <w:rPr>
        <w:rFonts w:hint="default"/>
        <w:lang w:val="en-US" w:eastAsia="zh-TW" w:bidi="ar-SA"/>
      </w:rPr>
    </w:lvl>
    <w:lvl w:ilvl="7">
      <w:start w:val="0"/>
      <w:numFmt w:val="bullet"/>
      <w:lvlText w:val="•"/>
      <w:lvlJc w:val="left"/>
      <w:pPr>
        <w:ind w:left="7356" w:hanging="504"/>
      </w:pPr>
      <w:rPr>
        <w:rFonts w:hint="default"/>
        <w:lang w:val="en-US" w:eastAsia="zh-TW" w:bidi="ar-SA"/>
      </w:rPr>
    </w:lvl>
    <w:lvl w:ilvl="8">
      <w:start w:val="0"/>
      <w:numFmt w:val="bullet"/>
      <w:lvlText w:val="•"/>
      <w:lvlJc w:val="left"/>
      <w:pPr>
        <w:ind w:left="8253" w:hanging="504"/>
      </w:pPr>
      <w:rPr>
        <w:rFonts w:hint="default"/>
        <w:lang w:val="en-US" w:eastAsia="zh-TW" w:bidi="ar-SA"/>
      </w:rPr>
    </w:lvl>
  </w:abstractNum>
  <w:abstractNum w:abstractNumId="14">
    <w:multiLevelType w:val="hybridMultilevel"/>
    <w:lvl w:ilvl="0">
      <w:start w:val="1"/>
      <w:numFmt w:val="decimal"/>
      <w:lvlText w:val="（%1）"/>
      <w:lvlJc w:val="left"/>
      <w:pPr>
        <w:ind w:left="1165"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2048" w:hanging="502"/>
      </w:pPr>
      <w:rPr>
        <w:rFonts w:hint="default"/>
        <w:lang w:val="en-US" w:eastAsia="zh-TW" w:bidi="ar-SA"/>
      </w:rPr>
    </w:lvl>
    <w:lvl w:ilvl="2">
      <w:start w:val="0"/>
      <w:numFmt w:val="bullet"/>
      <w:lvlText w:val="•"/>
      <w:lvlJc w:val="left"/>
      <w:pPr>
        <w:ind w:left="2937" w:hanging="502"/>
      </w:pPr>
      <w:rPr>
        <w:rFonts w:hint="default"/>
        <w:lang w:val="en-US" w:eastAsia="zh-TW" w:bidi="ar-SA"/>
      </w:rPr>
    </w:lvl>
    <w:lvl w:ilvl="3">
      <w:start w:val="0"/>
      <w:numFmt w:val="bullet"/>
      <w:lvlText w:val="•"/>
      <w:lvlJc w:val="left"/>
      <w:pPr>
        <w:ind w:left="3825" w:hanging="502"/>
      </w:pPr>
      <w:rPr>
        <w:rFonts w:hint="default"/>
        <w:lang w:val="en-US" w:eastAsia="zh-TW" w:bidi="ar-SA"/>
      </w:rPr>
    </w:lvl>
    <w:lvl w:ilvl="4">
      <w:start w:val="0"/>
      <w:numFmt w:val="bullet"/>
      <w:lvlText w:val="•"/>
      <w:lvlJc w:val="left"/>
      <w:pPr>
        <w:ind w:left="4714" w:hanging="502"/>
      </w:pPr>
      <w:rPr>
        <w:rFonts w:hint="default"/>
        <w:lang w:val="en-US" w:eastAsia="zh-TW" w:bidi="ar-SA"/>
      </w:rPr>
    </w:lvl>
    <w:lvl w:ilvl="5">
      <w:start w:val="0"/>
      <w:numFmt w:val="bullet"/>
      <w:lvlText w:val="•"/>
      <w:lvlJc w:val="left"/>
      <w:pPr>
        <w:ind w:left="5603" w:hanging="502"/>
      </w:pPr>
      <w:rPr>
        <w:rFonts w:hint="default"/>
        <w:lang w:val="en-US" w:eastAsia="zh-TW" w:bidi="ar-SA"/>
      </w:rPr>
    </w:lvl>
    <w:lvl w:ilvl="6">
      <w:start w:val="0"/>
      <w:numFmt w:val="bullet"/>
      <w:lvlText w:val="•"/>
      <w:lvlJc w:val="left"/>
      <w:pPr>
        <w:ind w:left="6491" w:hanging="502"/>
      </w:pPr>
      <w:rPr>
        <w:rFonts w:hint="default"/>
        <w:lang w:val="en-US" w:eastAsia="zh-TW" w:bidi="ar-SA"/>
      </w:rPr>
    </w:lvl>
    <w:lvl w:ilvl="7">
      <w:start w:val="0"/>
      <w:numFmt w:val="bullet"/>
      <w:lvlText w:val="•"/>
      <w:lvlJc w:val="left"/>
      <w:pPr>
        <w:ind w:left="7380" w:hanging="502"/>
      </w:pPr>
      <w:rPr>
        <w:rFonts w:hint="default"/>
        <w:lang w:val="en-US" w:eastAsia="zh-TW" w:bidi="ar-SA"/>
      </w:rPr>
    </w:lvl>
    <w:lvl w:ilvl="8">
      <w:start w:val="0"/>
      <w:numFmt w:val="bullet"/>
      <w:lvlText w:val="•"/>
      <w:lvlJc w:val="left"/>
      <w:pPr>
        <w:ind w:left="8269" w:hanging="502"/>
      </w:pPr>
      <w:rPr>
        <w:rFonts w:hint="default"/>
        <w:lang w:val="en-US" w:eastAsia="zh-TW" w:bidi="ar-SA"/>
      </w:rPr>
    </w:lvl>
  </w:abstractNum>
  <w:abstractNum w:abstractNumId="13">
    <w:multiLevelType w:val="hybridMultilevel"/>
    <w:lvl w:ilvl="0">
      <w:start w:val="1"/>
      <w:numFmt w:val="decimal"/>
      <w:lvlText w:val="（%1）"/>
      <w:lvlJc w:val="left"/>
      <w:pPr>
        <w:ind w:left="1165"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2048" w:hanging="502"/>
      </w:pPr>
      <w:rPr>
        <w:rFonts w:hint="default"/>
        <w:lang w:val="en-US" w:eastAsia="zh-TW" w:bidi="ar-SA"/>
      </w:rPr>
    </w:lvl>
    <w:lvl w:ilvl="2">
      <w:start w:val="0"/>
      <w:numFmt w:val="bullet"/>
      <w:lvlText w:val="•"/>
      <w:lvlJc w:val="left"/>
      <w:pPr>
        <w:ind w:left="2937" w:hanging="502"/>
      </w:pPr>
      <w:rPr>
        <w:rFonts w:hint="default"/>
        <w:lang w:val="en-US" w:eastAsia="zh-TW" w:bidi="ar-SA"/>
      </w:rPr>
    </w:lvl>
    <w:lvl w:ilvl="3">
      <w:start w:val="0"/>
      <w:numFmt w:val="bullet"/>
      <w:lvlText w:val="•"/>
      <w:lvlJc w:val="left"/>
      <w:pPr>
        <w:ind w:left="3825" w:hanging="502"/>
      </w:pPr>
      <w:rPr>
        <w:rFonts w:hint="default"/>
        <w:lang w:val="en-US" w:eastAsia="zh-TW" w:bidi="ar-SA"/>
      </w:rPr>
    </w:lvl>
    <w:lvl w:ilvl="4">
      <w:start w:val="0"/>
      <w:numFmt w:val="bullet"/>
      <w:lvlText w:val="•"/>
      <w:lvlJc w:val="left"/>
      <w:pPr>
        <w:ind w:left="4714" w:hanging="502"/>
      </w:pPr>
      <w:rPr>
        <w:rFonts w:hint="default"/>
        <w:lang w:val="en-US" w:eastAsia="zh-TW" w:bidi="ar-SA"/>
      </w:rPr>
    </w:lvl>
    <w:lvl w:ilvl="5">
      <w:start w:val="0"/>
      <w:numFmt w:val="bullet"/>
      <w:lvlText w:val="•"/>
      <w:lvlJc w:val="left"/>
      <w:pPr>
        <w:ind w:left="5603" w:hanging="502"/>
      </w:pPr>
      <w:rPr>
        <w:rFonts w:hint="default"/>
        <w:lang w:val="en-US" w:eastAsia="zh-TW" w:bidi="ar-SA"/>
      </w:rPr>
    </w:lvl>
    <w:lvl w:ilvl="6">
      <w:start w:val="0"/>
      <w:numFmt w:val="bullet"/>
      <w:lvlText w:val="•"/>
      <w:lvlJc w:val="left"/>
      <w:pPr>
        <w:ind w:left="6491" w:hanging="502"/>
      </w:pPr>
      <w:rPr>
        <w:rFonts w:hint="default"/>
        <w:lang w:val="en-US" w:eastAsia="zh-TW" w:bidi="ar-SA"/>
      </w:rPr>
    </w:lvl>
    <w:lvl w:ilvl="7">
      <w:start w:val="0"/>
      <w:numFmt w:val="bullet"/>
      <w:lvlText w:val="•"/>
      <w:lvlJc w:val="left"/>
      <w:pPr>
        <w:ind w:left="7380" w:hanging="502"/>
      </w:pPr>
      <w:rPr>
        <w:rFonts w:hint="default"/>
        <w:lang w:val="en-US" w:eastAsia="zh-TW" w:bidi="ar-SA"/>
      </w:rPr>
    </w:lvl>
    <w:lvl w:ilvl="8">
      <w:start w:val="0"/>
      <w:numFmt w:val="bullet"/>
      <w:lvlText w:val="•"/>
      <w:lvlJc w:val="left"/>
      <w:pPr>
        <w:ind w:left="8269" w:hanging="502"/>
      </w:pPr>
      <w:rPr>
        <w:rFonts w:hint="default"/>
        <w:lang w:val="en-US" w:eastAsia="zh-TW" w:bidi="ar-SA"/>
      </w:rPr>
    </w:lvl>
  </w:abstractNum>
  <w:abstractNum w:abstractNumId="12">
    <w:multiLevelType w:val="hybridMultilevel"/>
    <w:lvl w:ilvl="0">
      <w:start w:val="1"/>
      <w:numFmt w:val="decimal"/>
      <w:lvlText w:val="（%1）"/>
      <w:lvlJc w:val="left"/>
      <w:pPr>
        <w:ind w:left="1089" w:hanging="504"/>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976" w:hanging="504"/>
      </w:pPr>
      <w:rPr>
        <w:rFonts w:hint="default"/>
        <w:lang w:val="en-US" w:eastAsia="zh-TW" w:bidi="ar-SA"/>
      </w:rPr>
    </w:lvl>
    <w:lvl w:ilvl="2">
      <w:start w:val="0"/>
      <w:numFmt w:val="bullet"/>
      <w:lvlText w:val="•"/>
      <w:lvlJc w:val="left"/>
      <w:pPr>
        <w:ind w:left="2873" w:hanging="504"/>
      </w:pPr>
      <w:rPr>
        <w:rFonts w:hint="default"/>
        <w:lang w:val="en-US" w:eastAsia="zh-TW" w:bidi="ar-SA"/>
      </w:rPr>
    </w:lvl>
    <w:lvl w:ilvl="3">
      <w:start w:val="0"/>
      <w:numFmt w:val="bullet"/>
      <w:lvlText w:val="•"/>
      <w:lvlJc w:val="left"/>
      <w:pPr>
        <w:ind w:left="3769" w:hanging="504"/>
      </w:pPr>
      <w:rPr>
        <w:rFonts w:hint="default"/>
        <w:lang w:val="en-US" w:eastAsia="zh-TW" w:bidi="ar-SA"/>
      </w:rPr>
    </w:lvl>
    <w:lvl w:ilvl="4">
      <w:start w:val="0"/>
      <w:numFmt w:val="bullet"/>
      <w:lvlText w:val="•"/>
      <w:lvlJc w:val="left"/>
      <w:pPr>
        <w:ind w:left="4666" w:hanging="504"/>
      </w:pPr>
      <w:rPr>
        <w:rFonts w:hint="default"/>
        <w:lang w:val="en-US" w:eastAsia="zh-TW" w:bidi="ar-SA"/>
      </w:rPr>
    </w:lvl>
    <w:lvl w:ilvl="5">
      <w:start w:val="0"/>
      <w:numFmt w:val="bullet"/>
      <w:lvlText w:val="•"/>
      <w:lvlJc w:val="left"/>
      <w:pPr>
        <w:ind w:left="5563" w:hanging="504"/>
      </w:pPr>
      <w:rPr>
        <w:rFonts w:hint="default"/>
        <w:lang w:val="en-US" w:eastAsia="zh-TW" w:bidi="ar-SA"/>
      </w:rPr>
    </w:lvl>
    <w:lvl w:ilvl="6">
      <w:start w:val="0"/>
      <w:numFmt w:val="bullet"/>
      <w:lvlText w:val="•"/>
      <w:lvlJc w:val="left"/>
      <w:pPr>
        <w:ind w:left="6459" w:hanging="504"/>
      </w:pPr>
      <w:rPr>
        <w:rFonts w:hint="default"/>
        <w:lang w:val="en-US" w:eastAsia="zh-TW" w:bidi="ar-SA"/>
      </w:rPr>
    </w:lvl>
    <w:lvl w:ilvl="7">
      <w:start w:val="0"/>
      <w:numFmt w:val="bullet"/>
      <w:lvlText w:val="•"/>
      <w:lvlJc w:val="left"/>
      <w:pPr>
        <w:ind w:left="7356" w:hanging="504"/>
      </w:pPr>
      <w:rPr>
        <w:rFonts w:hint="default"/>
        <w:lang w:val="en-US" w:eastAsia="zh-TW" w:bidi="ar-SA"/>
      </w:rPr>
    </w:lvl>
    <w:lvl w:ilvl="8">
      <w:start w:val="0"/>
      <w:numFmt w:val="bullet"/>
      <w:lvlText w:val="•"/>
      <w:lvlJc w:val="left"/>
      <w:pPr>
        <w:ind w:left="8253" w:hanging="504"/>
      </w:pPr>
      <w:rPr>
        <w:rFonts w:hint="default"/>
        <w:lang w:val="en-US" w:eastAsia="zh-TW" w:bidi="ar-SA"/>
      </w:rPr>
    </w:lvl>
  </w:abstractNum>
  <w:abstractNum w:abstractNumId="11">
    <w:multiLevelType w:val="hybridMultilevel"/>
    <w:lvl w:ilvl="0">
      <w:start w:val="1"/>
      <w:numFmt w:val="decimal"/>
      <w:lvlText w:val="（%1）"/>
      <w:lvlJc w:val="left"/>
      <w:pPr>
        <w:ind w:left="1165"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2048" w:hanging="502"/>
      </w:pPr>
      <w:rPr>
        <w:rFonts w:hint="default"/>
        <w:lang w:val="en-US" w:eastAsia="zh-TW" w:bidi="ar-SA"/>
      </w:rPr>
    </w:lvl>
    <w:lvl w:ilvl="2">
      <w:start w:val="0"/>
      <w:numFmt w:val="bullet"/>
      <w:lvlText w:val="•"/>
      <w:lvlJc w:val="left"/>
      <w:pPr>
        <w:ind w:left="2937" w:hanging="502"/>
      </w:pPr>
      <w:rPr>
        <w:rFonts w:hint="default"/>
        <w:lang w:val="en-US" w:eastAsia="zh-TW" w:bidi="ar-SA"/>
      </w:rPr>
    </w:lvl>
    <w:lvl w:ilvl="3">
      <w:start w:val="0"/>
      <w:numFmt w:val="bullet"/>
      <w:lvlText w:val="•"/>
      <w:lvlJc w:val="left"/>
      <w:pPr>
        <w:ind w:left="3825" w:hanging="502"/>
      </w:pPr>
      <w:rPr>
        <w:rFonts w:hint="default"/>
        <w:lang w:val="en-US" w:eastAsia="zh-TW" w:bidi="ar-SA"/>
      </w:rPr>
    </w:lvl>
    <w:lvl w:ilvl="4">
      <w:start w:val="0"/>
      <w:numFmt w:val="bullet"/>
      <w:lvlText w:val="•"/>
      <w:lvlJc w:val="left"/>
      <w:pPr>
        <w:ind w:left="4714" w:hanging="502"/>
      </w:pPr>
      <w:rPr>
        <w:rFonts w:hint="default"/>
        <w:lang w:val="en-US" w:eastAsia="zh-TW" w:bidi="ar-SA"/>
      </w:rPr>
    </w:lvl>
    <w:lvl w:ilvl="5">
      <w:start w:val="0"/>
      <w:numFmt w:val="bullet"/>
      <w:lvlText w:val="•"/>
      <w:lvlJc w:val="left"/>
      <w:pPr>
        <w:ind w:left="5603" w:hanging="502"/>
      </w:pPr>
      <w:rPr>
        <w:rFonts w:hint="default"/>
        <w:lang w:val="en-US" w:eastAsia="zh-TW" w:bidi="ar-SA"/>
      </w:rPr>
    </w:lvl>
    <w:lvl w:ilvl="6">
      <w:start w:val="0"/>
      <w:numFmt w:val="bullet"/>
      <w:lvlText w:val="•"/>
      <w:lvlJc w:val="left"/>
      <w:pPr>
        <w:ind w:left="6491" w:hanging="502"/>
      </w:pPr>
      <w:rPr>
        <w:rFonts w:hint="default"/>
        <w:lang w:val="en-US" w:eastAsia="zh-TW" w:bidi="ar-SA"/>
      </w:rPr>
    </w:lvl>
    <w:lvl w:ilvl="7">
      <w:start w:val="0"/>
      <w:numFmt w:val="bullet"/>
      <w:lvlText w:val="•"/>
      <w:lvlJc w:val="left"/>
      <w:pPr>
        <w:ind w:left="7380" w:hanging="502"/>
      </w:pPr>
      <w:rPr>
        <w:rFonts w:hint="default"/>
        <w:lang w:val="en-US" w:eastAsia="zh-TW" w:bidi="ar-SA"/>
      </w:rPr>
    </w:lvl>
    <w:lvl w:ilvl="8">
      <w:start w:val="0"/>
      <w:numFmt w:val="bullet"/>
      <w:lvlText w:val="•"/>
      <w:lvlJc w:val="left"/>
      <w:pPr>
        <w:ind w:left="8269" w:hanging="502"/>
      </w:pPr>
      <w:rPr>
        <w:rFonts w:hint="default"/>
        <w:lang w:val="en-US" w:eastAsia="zh-TW" w:bidi="ar-SA"/>
      </w:rPr>
    </w:lvl>
  </w:abstractNum>
  <w:abstractNum w:abstractNumId="10">
    <w:multiLevelType w:val="hybridMultilevel"/>
    <w:lvl w:ilvl="0">
      <w:start w:val="1"/>
      <w:numFmt w:val="decimal"/>
      <w:lvlText w:val="（%1）"/>
      <w:lvlJc w:val="left"/>
      <w:pPr>
        <w:ind w:left="1165"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2048" w:hanging="502"/>
      </w:pPr>
      <w:rPr>
        <w:rFonts w:hint="default"/>
        <w:lang w:val="en-US" w:eastAsia="zh-TW" w:bidi="ar-SA"/>
      </w:rPr>
    </w:lvl>
    <w:lvl w:ilvl="2">
      <w:start w:val="0"/>
      <w:numFmt w:val="bullet"/>
      <w:lvlText w:val="•"/>
      <w:lvlJc w:val="left"/>
      <w:pPr>
        <w:ind w:left="2937" w:hanging="502"/>
      </w:pPr>
      <w:rPr>
        <w:rFonts w:hint="default"/>
        <w:lang w:val="en-US" w:eastAsia="zh-TW" w:bidi="ar-SA"/>
      </w:rPr>
    </w:lvl>
    <w:lvl w:ilvl="3">
      <w:start w:val="0"/>
      <w:numFmt w:val="bullet"/>
      <w:lvlText w:val="•"/>
      <w:lvlJc w:val="left"/>
      <w:pPr>
        <w:ind w:left="3825" w:hanging="502"/>
      </w:pPr>
      <w:rPr>
        <w:rFonts w:hint="default"/>
        <w:lang w:val="en-US" w:eastAsia="zh-TW" w:bidi="ar-SA"/>
      </w:rPr>
    </w:lvl>
    <w:lvl w:ilvl="4">
      <w:start w:val="0"/>
      <w:numFmt w:val="bullet"/>
      <w:lvlText w:val="•"/>
      <w:lvlJc w:val="left"/>
      <w:pPr>
        <w:ind w:left="4714" w:hanging="502"/>
      </w:pPr>
      <w:rPr>
        <w:rFonts w:hint="default"/>
        <w:lang w:val="en-US" w:eastAsia="zh-TW" w:bidi="ar-SA"/>
      </w:rPr>
    </w:lvl>
    <w:lvl w:ilvl="5">
      <w:start w:val="0"/>
      <w:numFmt w:val="bullet"/>
      <w:lvlText w:val="•"/>
      <w:lvlJc w:val="left"/>
      <w:pPr>
        <w:ind w:left="5603" w:hanging="502"/>
      </w:pPr>
      <w:rPr>
        <w:rFonts w:hint="default"/>
        <w:lang w:val="en-US" w:eastAsia="zh-TW" w:bidi="ar-SA"/>
      </w:rPr>
    </w:lvl>
    <w:lvl w:ilvl="6">
      <w:start w:val="0"/>
      <w:numFmt w:val="bullet"/>
      <w:lvlText w:val="•"/>
      <w:lvlJc w:val="left"/>
      <w:pPr>
        <w:ind w:left="6491" w:hanging="502"/>
      </w:pPr>
      <w:rPr>
        <w:rFonts w:hint="default"/>
        <w:lang w:val="en-US" w:eastAsia="zh-TW" w:bidi="ar-SA"/>
      </w:rPr>
    </w:lvl>
    <w:lvl w:ilvl="7">
      <w:start w:val="0"/>
      <w:numFmt w:val="bullet"/>
      <w:lvlText w:val="•"/>
      <w:lvlJc w:val="left"/>
      <w:pPr>
        <w:ind w:left="7380" w:hanging="502"/>
      </w:pPr>
      <w:rPr>
        <w:rFonts w:hint="default"/>
        <w:lang w:val="en-US" w:eastAsia="zh-TW" w:bidi="ar-SA"/>
      </w:rPr>
    </w:lvl>
    <w:lvl w:ilvl="8">
      <w:start w:val="0"/>
      <w:numFmt w:val="bullet"/>
      <w:lvlText w:val="•"/>
      <w:lvlJc w:val="left"/>
      <w:pPr>
        <w:ind w:left="8269" w:hanging="502"/>
      </w:pPr>
      <w:rPr>
        <w:rFonts w:hint="default"/>
        <w:lang w:val="en-US" w:eastAsia="zh-TW" w:bidi="ar-SA"/>
      </w:rPr>
    </w:lvl>
  </w:abstractNum>
  <w:abstractNum w:abstractNumId="9">
    <w:multiLevelType w:val="hybridMultilevel"/>
    <w:lvl w:ilvl="0">
      <w:start w:val="1"/>
      <w:numFmt w:val="decimal"/>
      <w:lvlText w:val="（%1）"/>
      <w:lvlJc w:val="left"/>
      <w:pPr>
        <w:ind w:left="1165"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2048" w:hanging="502"/>
      </w:pPr>
      <w:rPr>
        <w:rFonts w:hint="default"/>
        <w:lang w:val="en-US" w:eastAsia="zh-TW" w:bidi="ar-SA"/>
      </w:rPr>
    </w:lvl>
    <w:lvl w:ilvl="2">
      <w:start w:val="0"/>
      <w:numFmt w:val="bullet"/>
      <w:lvlText w:val="•"/>
      <w:lvlJc w:val="left"/>
      <w:pPr>
        <w:ind w:left="2937" w:hanging="502"/>
      </w:pPr>
      <w:rPr>
        <w:rFonts w:hint="default"/>
        <w:lang w:val="en-US" w:eastAsia="zh-TW" w:bidi="ar-SA"/>
      </w:rPr>
    </w:lvl>
    <w:lvl w:ilvl="3">
      <w:start w:val="0"/>
      <w:numFmt w:val="bullet"/>
      <w:lvlText w:val="•"/>
      <w:lvlJc w:val="left"/>
      <w:pPr>
        <w:ind w:left="3825" w:hanging="502"/>
      </w:pPr>
      <w:rPr>
        <w:rFonts w:hint="default"/>
        <w:lang w:val="en-US" w:eastAsia="zh-TW" w:bidi="ar-SA"/>
      </w:rPr>
    </w:lvl>
    <w:lvl w:ilvl="4">
      <w:start w:val="0"/>
      <w:numFmt w:val="bullet"/>
      <w:lvlText w:val="•"/>
      <w:lvlJc w:val="left"/>
      <w:pPr>
        <w:ind w:left="4714" w:hanging="502"/>
      </w:pPr>
      <w:rPr>
        <w:rFonts w:hint="default"/>
        <w:lang w:val="en-US" w:eastAsia="zh-TW" w:bidi="ar-SA"/>
      </w:rPr>
    </w:lvl>
    <w:lvl w:ilvl="5">
      <w:start w:val="0"/>
      <w:numFmt w:val="bullet"/>
      <w:lvlText w:val="•"/>
      <w:lvlJc w:val="left"/>
      <w:pPr>
        <w:ind w:left="5603" w:hanging="502"/>
      </w:pPr>
      <w:rPr>
        <w:rFonts w:hint="default"/>
        <w:lang w:val="en-US" w:eastAsia="zh-TW" w:bidi="ar-SA"/>
      </w:rPr>
    </w:lvl>
    <w:lvl w:ilvl="6">
      <w:start w:val="0"/>
      <w:numFmt w:val="bullet"/>
      <w:lvlText w:val="•"/>
      <w:lvlJc w:val="left"/>
      <w:pPr>
        <w:ind w:left="6491" w:hanging="502"/>
      </w:pPr>
      <w:rPr>
        <w:rFonts w:hint="default"/>
        <w:lang w:val="en-US" w:eastAsia="zh-TW" w:bidi="ar-SA"/>
      </w:rPr>
    </w:lvl>
    <w:lvl w:ilvl="7">
      <w:start w:val="0"/>
      <w:numFmt w:val="bullet"/>
      <w:lvlText w:val="•"/>
      <w:lvlJc w:val="left"/>
      <w:pPr>
        <w:ind w:left="7380" w:hanging="502"/>
      </w:pPr>
      <w:rPr>
        <w:rFonts w:hint="default"/>
        <w:lang w:val="en-US" w:eastAsia="zh-TW" w:bidi="ar-SA"/>
      </w:rPr>
    </w:lvl>
    <w:lvl w:ilvl="8">
      <w:start w:val="0"/>
      <w:numFmt w:val="bullet"/>
      <w:lvlText w:val="•"/>
      <w:lvlJc w:val="left"/>
      <w:pPr>
        <w:ind w:left="8269" w:hanging="502"/>
      </w:pPr>
      <w:rPr>
        <w:rFonts w:hint="default"/>
        <w:lang w:val="en-US" w:eastAsia="zh-TW" w:bidi="ar-SA"/>
      </w:rPr>
    </w:lvl>
  </w:abstractNum>
  <w:abstractNum w:abstractNumId="8">
    <w:multiLevelType w:val="hybridMultilevel"/>
    <w:lvl w:ilvl="0">
      <w:start w:val="1"/>
      <w:numFmt w:val="decimal"/>
      <w:lvlText w:val="（%1）"/>
      <w:lvlJc w:val="left"/>
      <w:pPr>
        <w:ind w:left="1165"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2048" w:hanging="502"/>
      </w:pPr>
      <w:rPr>
        <w:rFonts w:hint="default"/>
        <w:lang w:val="en-US" w:eastAsia="zh-TW" w:bidi="ar-SA"/>
      </w:rPr>
    </w:lvl>
    <w:lvl w:ilvl="2">
      <w:start w:val="0"/>
      <w:numFmt w:val="bullet"/>
      <w:lvlText w:val="•"/>
      <w:lvlJc w:val="left"/>
      <w:pPr>
        <w:ind w:left="2937" w:hanging="502"/>
      </w:pPr>
      <w:rPr>
        <w:rFonts w:hint="default"/>
        <w:lang w:val="en-US" w:eastAsia="zh-TW" w:bidi="ar-SA"/>
      </w:rPr>
    </w:lvl>
    <w:lvl w:ilvl="3">
      <w:start w:val="0"/>
      <w:numFmt w:val="bullet"/>
      <w:lvlText w:val="•"/>
      <w:lvlJc w:val="left"/>
      <w:pPr>
        <w:ind w:left="3825" w:hanging="502"/>
      </w:pPr>
      <w:rPr>
        <w:rFonts w:hint="default"/>
        <w:lang w:val="en-US" w:eastAsia="zh-TW" w:bidi="ar-SA"/>
      </w:rPr>
    </w:lvl>
    <w:lvl w:ilvl="4">
      <w:start w:val="0"/>
      <w:numFmt w:val="bullet"/>
      <w:lvlText w:val="•"/>
      <w:lvlJc w:val="left"/>
      <w:pPr>
        <w:ind w:left="4714" w:hanging="502"/>
      </w:pPr>
      <w:rPr>
        <w:rFonts w:hint="default"/>
        <w:lang w:val="en-US" w:eastAsia="zh-TW" w:bidi="ar-SA"/>
      </w:rPr>
    </w:lvl>
    <w:lvl w:ilvl="5">
      <w:start w:val="0"/>
      <w:numFmt w:val="bullet"/>
      <w:lvlText w:val="•"/>
      <w:lvlJc w:val="left"/>
      <w:pPr>
        <w:ind w:left="5603" w:hanging="502"/>
      </w:pPr>
      <w:rPr>
        <w:rFonts w:hint="default"/>
        <w:lang w:val="en-US" w:eastAsia="zh-TW" w:bidi="ar-SA"/>
      </w:rPr>
    </w:lvl>
    <w:lvl w:ilvl="6">
      <w:start w:val="0"/>
      <w:numFmt w:val="bullet"/>
      <w:lvlText w:val="•"/>
      <w:lvlJc w:val="left"/>
      <w:pPr>
        <w:ind w:left="6491" w:hanging="502"/>
      </w:pPr>
      <w:rPr>
        <w:rFonts w:hint="default"/>
        <w:lang w:val="en-US" w:eastAsia="zh-TW" w:bidi="ar-SA"/>
      </w:rPr>
    </w:lvl>
    <w:lvl w:ilvl="7">
      <w:start w:val="0"/>
      <w:numFmt w:val="bullet"/>
      <w:lvlText w:val="•"/>
      <w:lvlJc w:val="left"/>
      <w:pPr>
        <w:ind w:left="7380" w:hanging="502"/>
      </w:pPr>
      <w:rPr>
        <w:rFonts w:hint="default"/>
        <w:lang w:val="en-US" w:eastAsia="zh-TW" w:bidi="ar-SA"/>
      </w:rPr>
    </w:lvl>
    <w:lvl w:ilvl="8">
      <w:start w:val="0"/>
      <w:numFmt w:val="bullet"/>
      <w:lvlText w:val="•"/>
      <w:lvlJc w:val="left"/>
      <w:pPr>
        <w:ind w:left="8269" w:hanging="502"/>
      </w:pPr>
      <w:rPr>
        <w:rFonts w:hint="default"/>
        <w:lang w:val="en-US" w:eastAsia="zh-TW" w:bidi="ar-SA"/>
      </w:rPr>
    </w:lvl>
  </w:abstractNum>
  <w:abstractNum w:abstractNumId="7">
    <w:multiLevelType w:val="hybridMultilevel"/>
    <w:lvl w:ilvl="0">
      <w:start w:val="1"/>
      <w:numFmt w:val="decimal"/>
      <w:lvlText w:val="（%1）"/>
      <w:lvlJc w:val="left"/>
      <w:pPr>
        <w:ind w:left="1089" w:hanging="504"/>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976" w:hanging="504"/>
      </w:pPr>
      <w:rPr>
        <w:rFonts w:hint="default"/>
        <w:lang w:val="en-US" w:eastAsia="zh-TW" w:bidi="ar-SA"/>
      </w:rPr>
    </w:lvl>
    <w:lvl w:ilvl="2">
      <w:start w:val="0"/>
      <w:numFmt w:val="bullet"/>
      <w:lvlText w:val="•"/>
      <w:lvlJc w:val="left"/>
      <w:pPr>
        <w:ind w:left="2873" w:hanging="504"/>
      </w:pPr>
      <w:rPr>
        <w:rFonts w:hint="default"/>
        <w:lang w:val="en-US" w:eastAsia="zh-TW" w:bidi="ar-SA"/>
      </w:rPr>
    </w:lvl>
    <w:lvl w:ilvl="3">
      <w:start w:val="0"/>
      <w:numFmt w:val="bullet"/>
      <w:lvlText w:val="•"/>
      <w:lvlJc w:val="left"/>
      <w:pPr>
        <w:ind w:left="3769" w:hanging="504"/>
      </w:pPr>
      <w:rPr>
        <w:rFonts w:hint="default"/>
        <w:lang w:val="en-US" w:eastAsia="zh-TW" w:bidi="ar-SA"/>
      </w:rPr>
    </w:lvl>
    <w:lvl w:ilvl="4">
      <w:start w:val="0"/>
      <w:numFmt w:val="bullet"/>
      <w:lvlText w:val="•"/>
      <w:lvlJc w:val="left"/>
      <w:pPr>
        <w:ind w:left="4666" w:hanging="504"/>
      </w:pPr>
      <w:rPr>
        <w:rFonts w:hint="default"/>
        <w:lang w:val="en-US" w:eastAsia="zh-TW" w:bidi="ar-SA"/>
      </w:rPr>
    </w:lvl>
    <w:lvl w:ilvl="5">
      <w:start w:val="0"/>
      <w:numFmt w:val="bullet"/>
      <w:lvlText w:val="•"/>
      <w:lvlJc w:val="left"/>
      <w:pPr>
        <w:ind w:left="5563" w:hanging="504"/>
      </w:pPr>
      <w:rPr>
        <w:rFonts w:hint="default"/>
        <w:lang w:val="en-US" w:eastAsia="zh-TW" w:bidi="ar-SA"/>
      </w:rPr>
    </w:lvl>
    <w:lvl w:ilvl="6">
      <w:start w:val="0"/>
      <w:numFmt w:val="bullet"/>
      <w:lvlText w:val="•"/>
      <w:lvlJc w:val="left"/>
      <w:pPr>
        <w:ind w:left="6459" w:hanging="504"/>
      </w:pPr>
      <w:rPr>
        <w:rFonts w:hint="default"/>
        <w:lang w:val="en-US" w:eastAsia="zh-TW" w:bidi="ar-SA"/>
      </w:rPr>
    </w:lvl>
    <w:lvl w:ilvl="7">
      <w:start w:val="0"/>
      <w:numFmt w:val="bullet"/>
      <w:lvlText w:val="•"/>
      <w:lvlJc w:val="left"/>
      <w:pPr>
        <w:ind w:left="7356" w:hanging="504"/>
      </w:pPr>
      <w:rPr>
        <w:rFonts w:hint="default"/>
        <w:lang w:val="en-US" w:eastAsia="zh-TW" w:bidi="ar-SA"/>
      </w:rPr>
    </w:lvl>
    <w:lvl w:ilvl="8">
      <w:start w:val="0"/>
      <w:numFmt w:val="bullet"/>
      <w:lvlText w:val="•"/>
      <w:lvlJc w:val="left"/>
      <w:pPr>
        <w:ind w:left="8253" w:hanging="504"/>
      </w:pPr>
      <w:rPr>
        <w:rFonts w:hint="default"/>
        <w:lang w:val="en-US" w:eastAsia="zh-TW" w:bidi="ar-SA"/>
      </w:rPr>
    </w:lvl>
  </w:abstractNum>
  <w:abstractNum w:abstractNumId="6">
    <w:multiLevelType w:val="hybridMultilevel"/>
    <w:lvl w:ilvl="0">
      <w:start w:val="1"/>
      <w:numFmt w:val="decimal"/>
      <w:lvlText w:val="（%1）"/>
      <w:lvlJc w:val="left"/>
      <w:pPr>
        <w:ind w:left="1165"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2048" w:hanging="502"/>
      </w:pPr>
      <w:rPr>
        <w:rFonts w:hint="default"/>
        <w:lang w:val="en-US" w:eastAsia="zh-TW" w:bidi="ar-SA"/>
      </w:rPr>
    </w:lvl>
    <w:lvl w:ilvl="2">
      <w:start w:val="0"/>
      <w:numFmt w:val="bullet"/>
      <w:lvlText w:val="•"/>
      <w:lvlJc w:val="left"/>
      <w:pPr>
        <w:ind w:left="2937" w:hanging="502"/>
      </w:pPr>
      <w:rPr>
        <w:rFonts w:hint="default"/>
        <w:lang w:val="en-US" w:eastAsia="zh-TW" w:bidi="ar-SA"/>
      </w:rPr>
    </w:lvl>
    <w:lvl w:ilvl="3">
      <w:start w:val="0"/>
      <w:numFmt w:val="bullet"/>
      <w:lvlText w:val="•"/>
      <w:lvlJc w:val="left"/>
      <w:pPr>
        <w:ind w:left="3825" w:hanging="502"/>
      </w:pPr>
      <w:rPr>
        <w:rFonts w:hint="default"/>
        <w:lang w:val="en-US" w:eastAsia="zh-TW" w:bidi="ar-SA"/>
      </w:rPr>
    </w:lvl>
    <w:lvl w:ilvl="4">
      <w:start w:val="0"/>
      <w:numFmt w:val="bullet"/>
      <w:lvlText w:val="•"/>
      <w:lvlJc w:val="left"/>
      <w:pPr>
        <w:ind w:left="4714" w:hanging="502"/>
      </w:pPr>
      <w:rPr>
        <w:rFonts w:hint="default"/>
        <w:lang w:val="en-US" w:eastAsia="zh-TW" w:bidi="ar-SA"/>
      </w:rPr>
    </w:lvl>
    <w:lvl w:ilvl="5">
      <w:start w:val="0"/>
      <w:numFmt w:val="bullet"/>
      <w:lvlText w:val="•"/>
      <w:lvlJc w:val="left"/>
      <w:pPr>
        <w:ind w:left="5603" w:hanging="502"/>
      </w:pPr>
      <w:rPr>
        <w:rFonts w:hint="default"/>
        <w:lang w:val="en-US" w:eastAsia="zh-TW" w:bidi="ar-SA"/>
      </w:rPr>
    </w:lvl>
    <w:lvl w:ilvl="6">
      <w:start w:val="0"/>
      <w:numFmt w:val="bullet"/>
      <w:lvlText w:val="•"/>
      <w:lvlJc w:val="left"/>
      <w:pPr>
        <w:ind w:left="6491" w:hanging="502"/>
      </w:pPr>
      <w:rPr>
        <w:rFonts w:hint="default"/>
        <w:lang w:val="en-US" w:eastAsia="zh-TW" w:bidi="ar-SA"/>
      </w:rPr>
    </w:lvl>
    <w:lvl w:ilvl="7">
      <w:start w:val="0"/>
      <w:numFmt w:val="bullet"/>
      <w:lvlText w:val="•"/>
      <w:lvlJc w:val="left"/>
      <w:pPr>
        <w:ind w:left="7380" w:hanging="502"/>
      </w:pPr>
      <w:rPr>
        <w:rFonts w:hint="default"/>
        <w:lang w:val="en-US" w:eastAsia="zh-TW" w:bidi="ar-SA"/>
      </w:rPr>
    </w:lvl>
    <w:lvl w:ilvl="8">
      <w:start w:val="0"/>
      <w:numFmt w:val="bullet"/>
      <w:lvlText w:val="•"/>
      <w:lvlJc w:val="left"/>
      <w:pPr>
        <w:ind w:left="8269" w:hanging="502"/>
      </w:pPr>
      <w:rPr>
        <w:rFonts w:hint="default"/>
        <w:lang w:val="en-US" w:eastAsia="zh-TW" w:bidi="ar-SA"/>
      </w:rPr>
    </w:lvl>
  </w:abstractNum>
  <w:abstractNum w:abstractNumId="5">
    <w:multiLevelType w:val="hybridMultilevel"/>
    <w:lvl w:ilvl="0">
      <w:start w:val="1"/>
      <w:numFmt w:val="decimal"/>
      <w:lvlText w:val="（%1）"/>
      <w:lvlJc w:val="left"/>
      <w:pPr>
        <w:ind w:left="1089" w:hanging="504"/>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180" w:hanging="504"/>
      </w:pPr>
      <w:rPr>
        <w:rFonts w:hint="default"/>
        <w:lang w:val="en-US" w:eastAsia="zh-TW" w:bidi="ar-SA"/>
      </w:rPr>
    </w:lvl>
    <w:lvl w:ilvl="2">
      <w:start w:val="0"/>
      <w:numFmt w:val="bullet"/>
      <w:lvlText w:val="•"/>
      <w:lvlJc w:val="left"/>
      <w:pPr>
        <w:ind w:left="2165" w:hanging="504"/>
      </w:pPr>
      <w:rPr>
        <w:rFonts w:hint="default"/>
        <w:lang w:val="en-US" w:eastAsia="zh-TW" w:bidi="ar-SA"/>
      </w:rPr>
    </w:lvl>
    <w:lvl w:ilvl="3">
      <w:start w:val="0"/>
      <w:numFmt w:val="bullet"/>
      <w:lvlText w:val="•"/>
      <w:lvlJc w:val="left"/>
      <w:pPr>
        <w:ind w:left="3150" w:hanging="504"/>
      </w:pPr>
      <w:rPr>
        <w:rFonts w:hint="default"/>
        <w:lang w:val="en-US" w:eastAsia="zh-TW" w:bidi="ar-SA"/>
      </w:rPr>
    </w:lvl>
    <w:lvl w:ilvl="4">
      <w:start w:val="0"/>
      <w:numFmt w:val="bullet"/>
      <w:lvlText w:val="•"/>
      <w:lvlJc w:val="left"/>
      <w:pPr>
        <w:ind w:left="4135" w:hanging="504"/>
      </w:pPr>
      <w:rPr>
        <w:rFonts w:hint="default"/>
        <w:lang w:val="en-US" w:eastAsia="zh-TW" w:bidi="ar-SA"/>
      </w:rPr>
    </w:lvl>
    <w:lvl w:ilvl="5">
      <w:start w:val="0"/>
      <w:numFmt w:val="bullet"/>
      <w:lvlText w:val="•"/>
      <w:lvlJc w:val="left"/>
      <w:pPr>
        <w:ind w:left="5120" w:hanging="504"/>
      </w:pPr>
      <w:rPr>
        <w:rFonts w:hint="default"/>
        <w:lang w:val="en-US" w:eastAsia="zh-TW" w:bidi="ar-SA"/>
      </w:rPr>
    </w:lvl>
    <w:lvl w:ilvl="6">
      <w:start w:val="0"/>
      <w:numFmt w:val="bullet"/>
      <w:lvlText w:val="•"/>
      <w:lvlJc w:val="left"/>
      <w:pPr>
        <w:ind w:left="6105" w:hanging="504"/>
      </w:pPr>
      <w:rPr>
        <w:rFonts w:hint="default"/>
        <w:lang w:val="en-US" w:eastAsia="zh-TW" w:bidi="ar-SA"/>
      </w:rPr>
    </w:lvl>
    <w:lvl w:ilvl="7">
      <w:start w:val="0"/>
      <w:numFmt w:val="bullet"/>
      <w:lvlText w:val="•"/>
      <w:lvlJc w:val="left"/>
      <w:pPr>
        <w:ind w:left="7090" w:hanging="504"/>
      </w:pPr>
      <w:rPr>
        <w:rFonts w:hint="default"/>
        <w:lang w:val="en-US" w:eastAsia="zh-TW" w:bidi="ar-SA"/>
      </w:rPr>
    </w:lvl>
    <w:lvl w:ilvl="8">
      <w:start w:val="0"/>
      <w:numFmt w:val="bullet"/>
      <w:lvlText w:val="•"/>
      <w:lvlJc w:val="left"/>
      <w:pPr>
        <w:ind w:left="8076" w:hanging="504"/>
      </w:pPr>
      <w:rPr>
        <w:rFonts w:hint="default"/>
        <w:lang w:val="en-US" w:eastAsia="zh-TW" w:bidi="ar-SA"/>
      </w:rPr>
    </w:lvl>
  </w:abstractNum>
  <w:abstractNum w:abstractNumId="4">
    <w:multiLevelType w:val="hybridMultilevel"/>
    <w:lvl w:ilvl="0">
      <w:start w:val="1"/>
      <w:numFmt w:val="decimal"/>
      <w:lvlText w:val="（%1）"/>
      <w:lvlJc w:val="left"/>
      <w:pPr>
        <w:ind w:left="1089" w:hanging="501"/>
        <w:jc w:val="left"/>
      </w:pPr>
      <w:rPr>
        <w:rFonts w:hint="default" w:ascii="SimSun" w:hAnsi="SimSun" w:eastAsia="SimSun" w:cs="SimSun"/>
        <w:spacing w:val="-20"/>
        <w:w w:val="99"/>
        <w:sz w:val="18"/>
        <w:szCs w:val="18"/>
        <w:lang w:val="en-US" w:eastAsia="zh-TW" w:bidi="ar-SA"/>
      </w:rPr>
    </w:lvl>
    <w:lvl w:ilvl="1">
      <w:start w:val="0"/>
      <w:numFmt w:val="bullet"/>
      <w:lvlText w:val="•"/>
      <w:lvlJc w:val="left"/>
      <w:pPr>
        <w:ind w:left="1976" w:hanging="501"/>
      </w:pPr>
      <w:rPr>
        <w:rFonts w:hint="default"/>
        <w:lang w:val="en-US" w:eastAsia="zh-TW" w:bidi="ar-SA"/>
      </w:rPr>
    </w:lvl>
    <w:lvl w:ilvl="2">
      <w:start w:val="0"/>
      <w:numFmt w:val="bullet"/>
      <w:lvlText w:val="•"/>
      <w:lvlJc w:val="left"/>
      <w:pPr>
        <w:ind w:left="2873" w:hanging="501"/>
      </w:pPr>
      <w:rPr>
        <w:rFonts w:hint="default"/>
        <w:lang w:val="en-US" w:eastAsia="zh-TW" w:bidi="ar-SA"/>
      </w:rPr>
    </w:lvl>
    <w:lvl w:ilvl="3">
      <w:start w:val="0"/>
      <w:numFmt w:val="bullet"/>
      <w:lvlText w:val="•"/>
      <w:lvlJc w:val="left"/>
      <w:pPr>
        <w:ind w:left="3769" w:hanging="501"/>
      </w:pPr>
      <w:rPr>
        <w:rFonts w:hint="default"/>
        <w:lang w:val="en-US" w:eastAsia="zh-TW" w:bidi="ar-SA"/>
      </w:rPr>
    </w:lvl>
    <w:lvl w:ilvl="4">
      <w:start w:val="0"/>
      <w:numFmt w:val="bullet"/>
      <w:lvlText w:val="•"/>
      <w:lvlJc w:val="left"/>
      <w:pPr>
        <w:ind w:left="4666" w:hanging="501"/>
      </w:pPr>
      <w:rPr>
        <w:rFonts w:hint="default"/>
        <w:lang w:val="en-US" w:eastAsia="zh-TW" w:bidi="ar-SA"/>
      </w:rPr>
    </w:lvl>
    <w:lvl w:ilvl="5">
      <w:start w:val="0"/>
      <w:numFmt w:val="bullet"/>
      <w:lvlText w:val="•"/>
      <w:lvlJc w:val="left"/>
      <w:pPr>
        <w:ind w:left="5563" w:hanging="501"/>
      </w:pPr>
      <w:rPr>
        <w:rFonts w:hint="default"/>
        <w:lang w:val="en-US" w:eastAsia="zh-TW" w:bidi="ar-SA"/>
      </w:rPr>
    </w:lvl>
    <w:lvl w:ilvl="6">
      <w:start w:val="0"/>
      <w:numFmt w:val="bullet"/>
      <w:lvlText w:val="•"/>
      <w:lvlJc w:val="left"/>
      <w:pPr>
        <w:ind w:left="6459" w:hanging="501"/>
      </w:pPr>
      <w:rPr>
        <w:rFonts w:hint="default"/>
        <w:lang w:val="en-US" w:eastAsia="zh-TW" w:bidi="ar-SA"/>
      </w:rPr>
    </w:lvl>
    <w:lvl w:ilvl="7">
      <w:start w:val="0"/>
      <w:numFmt w:val="bullet"/>
      <w:lvlText w:val="•"/>
      <w:lvlJc w:val="left"/>
      <w:pPr>
        <w:ind w:left="7356" w:hanging="501"/>
      </w:pPr>
      <w:rPr>
        <w:rFonts w:hint="default"/>
        <w:lang w:val="en-US" w:eastAsia="zh-TW" w:bidi="ar-SA"/>
      </w:rPr>
    </w:lvl>
    <w:lvl w:ilvl="8">
      <w:start w:val="0"/>
      <w:numFmt w:val="bullet"/>
      <w:lvlText w:val="•"/>
      <w:lvlJc w:val="left"/>
      <w:pPr>
        <w:ind w:left="8253" w:hanging="501"/>
      </w:pPr>
      <w:rPr>
        <w:rFonts w:hint="default"/>
        <w:lang w:val="en-US" w:eastAsia="zh-TW" w:bidi="ar-SA"/>
      </w:rPr>
    </w:lvl>
  </w:abstractNum>
  <w:abstractNum w:abstractNumId="3">
    <w:multiLevelType w:val="hybridMultilevel"/>
    <w:lvl w:ilvl="0">
      <w:start w:val="1"/>
      <w:numFmt w:val="decimal"/>
      <w:lvlText w:val="（%1）"/>
      <w:lvlJc w:val="left"/>
      <w:pPr>
        <w:ind w:left="1166"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2048" w:hanging="502"/>
      </w:pPr>
      <w:rPr>
        <w:rFonts w:hint="default"/>
        <w:lang w:val="en-US" w:eastAsia="zh-TW" w:bidi="ar-SA"/>
      </w:rPr>
    </w:lvl>
    <w:lvl w:ilvl="2">
      <w:start w:val="0"/>
      <w:numFmt w:val="bullet"/>
      <w:lvlText w:val="•"/>
      <w:lvlJc w:val="left"/>
      <w:pPr>
        <w:ind w:left="2937" w:hanging="502"/>
      </w:pPr>
      <w:rPr>
        <w:rFonts w:hint="default"/>
        <w:lang w:val="en-US" w:eastAsia="zh-TW" w:bidi="ar-SA"/>
      </w:rPr>
    </w:lvl>
    <w:lvl w:ilvl="3">
      <w:start w:val="0"/>
      <w:numFmt w:val="bullet"/>
      <w:lvlText w:val="•"/>
      <w:lvlJc w:val="left"/>
      <w:pPr>
        <w:ind w:left="3825" w:hanging="502"/>
      </w:pPr>
      <w:rPr>
        <w:rFonts w:hint="default"/>
        <w:lang w:val="en-US" w:eastAsia="zh-TW" w:bidi="ar-SA"/>
      </w:rPr>
    </w:lvl>
    <w:lvl w:ilvl="4">
      <w:start w:val="0"/>
      <w:numFmt w:val="bullet"/>
      <w:lvlText w:val="•"/>
      <w:lvlJc w:val="left"/>
      <w:pPr>
        <w:ind w:left="4714" w:hanging="502"/>
      </w:pPr>
      <w:rPr>
        <w:rFonts w:hint="default"/>
        <w:lang w:val="en-US" w:eastAsia="zh-TW" w:bidi="ar-SA"/>
      </w:rPr>
    </w:lvl>
    <w:lvl w:ilvl="5">
      <w:start w:val="0"/>
      <w:numFmt w:val="bullet"/>
      <w:lvlText w:val="•"/>
      <w:lvlJc w:val="left"/>
      <w:pPr>
        <w:ind w:left="5603" w:hanging="502"/>
      </w:pPr>
      <w:rPr>
        <w:rFonts w:hint="default"/>
        <w:lang w:val="en-US" w:eastAsia="zh-TW" w:bidi="ar-SA"/>
      </w:rPr>
    </w:lvl>
    <w:lvl w:ilvl="6">
      <w:start w:val="0"/>
      <w:numFmt w:val="bullet"/>
      <w:lvlText w:val="•"/>
      <w:lvlJc w:val="left"/>
      <w:pPr>
        <w:ind w:left="6491" w:hanging="502"/>
      </w:pPr>
      <w:rPr>
        <w:rFonts w:hint="default"/>
        <w:lang w:val="en-US" w:eastAsia="zh-TW" w:bidi="ar-SA"/>
      </w:rPr>
    </w:lvl>
    <w:lvl w:ilvl="7">
      <w:start w:val="0"/>
      <w:numFmt w:val="bullet"/>
      <w:lvlText w:val="•"/>
      <w:lvlJc w:val="left"/>
      <w:pPr>
        <w:ind w:left="7380" w:hanging="502"/>
      </w:pPr>
      <w:rPr>
        <w:rFonts w:hint="default"/>
        <w:lang w:val="en-US" w:eastAsia="zh-TW" w:bidi="ar-SA"/>
      </w:rPr>
    </w:lvl>
    <w:lvl w:ilvl="8">
      <w:start w:val="0"/>
      <w:numFmt w:val="bullet"/>
      <w:lvlText w:val="•"/>
      <w:lvlJc w:val="left"/>
      <w:pPr>
        <w:ind w:left="8269" w:hanging="502"/>
      </w:pPr>
      <w:rPr>
        <w:rFonts w:hint="default"/>
        <w:lang w:val="en-US" w:eastAsia="zh-TW" w:bidi="ar-SA"/>
      </w:rPr>
    </w:lvl>
  </w:abstractNum>
  <w:abstractNum w:abstractNumId="2">
    <w:multiLevelType w:val="hybridMultilevel"/>
    <w:lvl w:ilvl="0">
      <w:start w:val="1"/>
      <w:numFmt w:val="decimal"/>
      <w:lvlText w:val="（%1）"/>
      <w:lvlJc w:val="left"/>
      <w:pPr>
        <w:ind w:left="1089" w:hanging="504"/>
        <w:jc w:val="left"/>
      </w:pPr>
      <w:rPr>
        <w:rFonts w:hint="default" w:ascii="SimSun" w:hAnsi="SimSun" w:eastAsia="SimSun" w:cs="SimSun"/>
        <w:spacing w:val="1"/>
        <w:w w:val="99"/>
        <w:sz w:val="18"/>
        <w:szCs w:val="18"/>
        <w:lang w:val="en-US" w:eastAsia="zh-TW" w:bidi="ar-SA"/>
      </w:rPr>
    </w:lvl>
    <w:lvl w:ilvl="1">
      <w:start w:val="0"/>
      <w:numFmt w:val="bullet"/>
      <w:lvlText w:val="•"/>
      <w:lvlJc w:val="left"/>
      <w:pPr>
        <w:ind w:left="1976" w:hanging="504"/>
      </w:pPr>
      <w:rPr>
        <w:rFonts w:hint="default"/>
        <w:lang w:val="en-US" w:eastAsia="zh-TW" w:bidi="ar-SA"/>
      </w:rPr>
    </w:lvl>
    <w:lvl w:ilvl="2">
      <w:start w:val="0"/>
      <w:numFmt w:val="bullet"/>
      <w:lvlText w:val="•"/>
      <w:lvlJc w:val="left"/>
      <w:pPr>
        <w:ind w:left="2873" w:hanging="504"/>
      </w:pPr>
      <w:rPr>
        <w:rFonts w:hint="default"/>
        <w:lang w:val="en-US" w:eastAsia="zh-TW" w:bidi="ar-SA"/>
      </w:rPr>
    </w:lvl>
    <w:lvl w:ilvl="3">
      <w:start w:val="0"/>
      <w:numFmt w:val="bullet"/>
      <w:lvlText w:val="•"/>
      <w:lvlJc w:val="left"/>
      <w:pPr>
        <w:ind w:left="3769" w:hanging="504"/>
      </w:pPr>
      <w:rPr>
        <w:rFonts w:hint="default"/>
        <w:lang w:val="en-US" w:eastAsia="zh-TW" w:bidi="ar-SA"/>
      </w:rPr>
    </w:lvl>
    <w:lvl w:ilvl="4">
      <w:start w:val="0"/>
      <w:numFmt w:val="bullet"/>
      <w:lvlText w:val="•"/>
      <w:lvlJc w:val="left"/>
      <w:pPr>
        <w:ind w:left="4666" w:hanging="504"/>
      </w:pPr>
      <w:rPr>
        <w:rFonts w:hint="default"/>
        <w:lang w:val="en-US" w:eastAsia="zh-TW" w:bidi="ar-SA"/>
      </w:rPr>
    </w:lvl>
    <w:lvl w:ilvl="5">
      <w:start w:val="0"/>
      <w:numFmt w:val="bullet"/>
      <w:lvlText w:val="•"/>
      <w:lvlJc w:val="left"/>
      <w:pPr>
        <w:ind w:left="5563" w:hanging="504"/>
      </w:pPr>
      <w:rPr>
        <w:rFonts w:hint="default"/>
        <w:lang w:val="en-US" w:eastAsia="zh-TW" w:bidi="ar-SA"/>
      </w:rPr>
    </w:lvl>
    <w:lvl w:ilvl="6">
      <w:start w:val="0"/>
      <w:numFmt w:val="bullet"/>
      <w:lvlText w:val="•"/>
      <w:lvlJc w:val="left"/>
      <w:pPr>
        <w:ind w:left="6459" w:hanging="504"/>
      </w:pPr>
      <w:rPr>
        <w:rFonts w:hint="default"/>
        <w:lang w:val="en-US" w:eastAsia="zh-TW" w:bidi="ar-SA"/>
      </w:rPr>
    </w:lvl>
    <w:lvl w:ilvl="7">
      <w:start w:val="0"/>
      <w:numFmt w:val="bullet"/>
      <w:lvlText w:val="•"/>
      <w:lvlJc w:val="left"/>
      <w:pPr>
        <w:ind w:left="7356" w:hanging="504"/>
      </w:pPr>
      <w:rPr>
        <w:rFonts w:hint="default"/>
        <w:lang w:val="en-US" w:eastAsia="zh-TW" w:bidi="ar-SA"/>
      </w:rPr>
    </w:lvl>
    <w:lvl w:ilvl="8">
      <w:start w:val="0"/>
      <w:numFmt w:val="bullet"/>
      <w:lvlText w:val="•"/>
      <w:lvlJc w:val="left"/>
      <w:pPr>
        <w:ind w:left="8253" w:hanging="504"/>
      </w:pPr>
      <w:rPr>
        <w:rFonts w:hint="default"/>
        <w:lang w:val="en-US" w:eastAsia="zh-TW" w:bidi="ar-SA"/>
      </w:rPr>
    </w:lvl>
  </w:abstractNum>
  <w:abstractNum w:abstractNumId="1">
    <w:multiLevelType w:val="hybridMultilevel"/>
    <w:lvl w:ilvl="0">
      <w:start w:val="1"/>
      <w:numFmt w:val="decimal"/>
      <w:lvlText w:val="（%1）"/>
      <w:lvlJc w:val="left"/>
      <w:pPr>
        <w:ind w:left="1165" w:hanging="502"/>
        <w:jc w:val="left"/>
      </w:pPr>
      <w:rPr>
        <w:rFonts w:hint="default" w:ascii="SimSun" w:hAnsi="SimSun" w:eastAsia="SimSun" w:cs="SimSun"/>
        <w:spacing w:val="-2"/>
        <w:w w:val="99"/>
        <w:sz w:val="18"/>
        <w:szCs w:val="18"/>
        <w:lang w:val="en-US" w:eastAsia="zh-TW" w:bidi="ar-SA"/>
      </w:rPr>
    </w:lvl>
    <w:lvl w:ilvl="1">
      <w:start w:val="0"/>
      <w:numFmt w:val="bullet"/>
      <w:lvlText w:val="•"/>
      <w:lvlJc w:val="left"/>
      <w:pPr>
        <w:ind w:left="2048" w:hanging="502"/>
      </w:pPr>
      <w:rPr>
        <w:rFonts w:hint="default"/>
        <w:lang w:val="en-US" w:eastAsia="zh-TW" w:bidi="ar-SA"/>
      </w:rPr>
    </w:lvl>
    <w:lvl w:ilvl="2">
      <w:start w:val="0"/>
      <w:numFmt w:val="bullet"/>
      <w:lvlText w:val="•"/>
      <w:lvlJc w:val="left"/>
      <w:pPr>
        <w:ind w:left="2937" w:hanging="502"/>
      </w:pPr>
      <w:rPr>
        <w:rFonts w:hint="default"/>
        <w:lang w:val="en-US" w:eastAsia="zh-TW" w:bidi="ar-SA"/>
      </w:rPr>
    </w:lvl>
    <w:lvl w:ilvl="3">
      <w:start w:val="0"/>
      <w:numFmt w:val="bullet"/>
      <w:lvlText w:val="•"/>
      <w:lvlJc w:val="left"/>
      <w:pPr>
        <w:ind w:left="3825" w:hanging="502"/>
      </w:pPr>
      <w:rPr>
        <w:rFonts w:hint="default"/>
        <w:lang w:val="en-US" w:eastAsia="zh-TW" w:bidi="ar-SA"/>
      </w:rPr>
    </w:lvl>
    <w:lvl w:ilvl="4">
      <w:start w:val="0"/>
      <w:numFmt w:val="bullet"/>
      <w:lvlText w:val="•"/>
      <w:lvlJc w:val="left"/>
      <w:pPr>
        <w:ind w:left="4714" w:hanging="502"/>
      </w:pPr>
      <w:rPr>
        <w:rFonts w:hint="default"/>
        <w:lang w:val="en-US" w:eastAsia="zh-TW" w:bidi="ar-SA"/>
      </w:rPr>
    </w:lvl>
    <w:lvl w:ilvl="5">
      <w:start w:val="0"/>
      <w:numFmt w:val="bullet"/>
      <w:lvlText w:val="•"/>
      <w:lvlJc w:val="left"/>
      <w:pPr>
        <w:ind w:left="5603" w:hanging="502"/>
      </w:pPr>
      <w:rPr>
        <w:rFonts w:hint="default"/>
        <w:lang w:val="en-US" w:eastAsia="zh-TW" w:bidi="ar-SA"/>
      </w:rPr>
    </w:lvl>
    <w:lvl w:ilvl="6">
      <w:start w:val="0"/>
      <w:numFmt w:val="bullet"/>
      <w:lvlText w:val="•"/>
      <w:lvlJc w:val="left"/>
      <w:pPr>
        <w:ind w:left="6491" w:hanging="502"/>
      </w:pPr>
      <w:rPr>
        <w:rFonts w:hint="default"/>
        <w:lang w:val="en-US" w:eastAsia="zh-TW" w:bidi="ar-SA"/>
      </w:rPr>
    </w:lvl>
    <w:lvl w:ilvl="7">
      <w:start w:val="0"/>
      <w:numFmt w:val="bullet"/>
      <w:lvlText w:val="•"/>
      <w:lvlJc w:val="left"/>
      <w:pPr>
        <w:ind w:left="7380" w:hanging="502"/>
      </w:pPr>
      <w:rPr>
        <w:rFonts w:hint="default"/>
        <w:lang w:val="en-US" w:eastAsia="zh-TW" w:bidi="ar-SA"/>
      </w:rPr>
    </w:lvl>
    <w:lvl w:ilvl="8">
      <w:start w:val="0"/>
      <w:numFmt w:val="bullet"/>
      <w:lvlText w:val="•"/>
      <w:lvlJc w:val="left"/>
      <w:pPr>
        <w:ind w:left="8269" w:hanging="502"/>
      </w:pPr>
      <w:rPr>
        <w:rFonts w:hint="default"/>
        <w:lang w:val="en-US" w:eastAsia="zh-TW" w:bidi="ar-SA"/>
      </w:rPr>
    </w:lvl>
  </w:abstractNum>
  <w:abstractNum w:abstractNumId="0">
    <w:multiLevelType w:val="hybridMultilevel"/>
    <w:lvl w:ilvl="0">
      <w:start w:val="1"/>
      <w:numFmt w:val="decimal"/>
      <w:lvlText w:val="（%1）"/>
      <w:lvlJc w:val="left"/>
      <w:pPr>
        <w:ind w:left="1164" w:hanging="501"/>
        <w:jc w:val="left"/>
      </w:pPr>
      <w:rPr>
        <w:rFonts w:hint="default" w:ascii="SimSun" w:hAnsi="SimSun" w:eastAsia="SimSun" w:cs="SimSun"/>
        <w:spacing w:val="-37"/>
        <w:w w:val="99"/>
        <w:sz w:val="18"/>
        <w:szCs w:val="18"/>
        <w:lang w:val="en-US" w:eastAsia="zh-TW" w:bidi="ar-SA"/>
      </w:rPr>
    </w:lvl>
    <w:lvl w:ilvl="1">
      <w:start w:val="0"/>
      <w:numFmt w:val="bullet"/>
      <w:lvlText w:val="•"/>
      <w:lvlJc w:val="left"/>
      <w:pPr>
        <w:ind w:left="2048" w:hanging="501"/>
      </w:pPr>
      <w:rPr>
        <w:rFonts w:hint="default"/>
        <w:lang w:val="en-US" w:eastAsia="zh-TW" w:bidi="ar-SA"/>
      </w:rPr>
    </w:lvl>
    <w:lvl w:ilvl="2">
      <w:start w:val="0"/>
      <w:numFmt w:val="bullet"/>
      <w:lvlText w:val="•"/>
      <w:lvlJc w:val="left"/>
      <w:pPr>
        <w:ind w:left="2937" w:hanging="501"/>
      </w:pPr>
      <w:rPr>
        <w:rFonts w:hint="default"/>
        <w:lang w:val="en-US" w:eastAsia="zh-TW" w:bidi="ar-SA"/>
      </w:rPr>
    </w:lvl>
    <w:lvl w:ilvl="3">
      <w:start w:val="0"/>
      <w:numFmt w:val="bullet"/>
      <w:lvlText w:val="•"/>
      <w:lvlJc w:val="left"/>
      <w:pPr>
        <w:ind w:left="3825" w:hanging="501"/>
      </w:pPr>
      <w:rPr>
        <w:rFonts w:hint="default"/>
        <w:lang w:val="en-US" w:eastAsia="zh-TW" w:bidi="ar-SA"/>
      </w:rPr>
    </w:lvl>
    <w:lvl w:ilvl="4">
      <w:start w:val="0"/>
      <w:numFmt w:val="bullet"/>
      <w:lvlText w:val="•"/>
      <w:lvlJc w:val="left"/>
      <w:pPr>
        <w:ind w:left="4714" w:hanging="501"/>
      </w:pPr>
      <w:rPr>
        <w:rFonts w:hint="default"/>
        <w:lang w:val="en-US" w:eastAsia="zh-TW" w:bidi="ar-SA"/>
      </w:rPr>
    </w:lvl>
    <w:lvl w:ilvl="5">
      <w:start w:val="0"/>
      <w:numFmt w:val="bullet"/>
      <w:lvlText w:val="•"/>
      <w:lvlJc w:val="left"/>
      <w:pPr>
        <w:ind w:left="5603" w:hanging="501"/>
      </w:pPr>
      <w:rPr>
        <w:rFonts w:hint="default"/>
        <w:lang w:val="en-US" w:eastAsia="zh-TW" w:bidi="ar-SA"/>
      </w:rPr>
    </w:lvl>
    <w:lvl w:ilvl="6">
      <w:start w:val="0"/>
      <w:numFmt w:val="bullet"/>
      <w:lvlText w:val="•"/>
      <w:lvlJc w:val="left"/>
      <w:pPr>
        <w:ind w:left="6491" w:hanging="501"/>
      </w:pPr>
      <w:rPr>
        <w:rFonts w:hint="default"/>
        <w:lang w:val="en-US" w:eastAsia="zh-TW" w:bidi="ar-SA"/>
      </w:rPr>
    </w:lvl>
    <w:lvl w:ilvl="7">
      <w:start w:val="0"/>
      <w:numFmt w:val="bullet"/>
      <w:lvlText w:val="•"/>
      <w:lvlJc w:val="left"/>
      <w:pPr>
        <w:ind w:left="7380" w:hanging="501"/>
      </w:pPr>
      <w:rPr>
        <w:rFonts w:hint="default"/>
        <w:lang w:val="en-US" w:eastAsia="zh-TW" w:bidi="ar-SA"/>
      </w:rPr>
    </w:lvl>
    <w:lvl w:ilvl="8">
      <w:start w:val="0"/>
      <w:numFmt w:val="bullet"/>
      <w:lvlText w:val="•"/>
      <w:lvlJc w:val="left"/>
      <w:pPr>
        <w:ind w:left="8269" w:hanging="501"/>
      </w:pPr>
      <w:rPr>
        <w:rFonts w:hint="default"/>
        <w:lang w:val="en-US" w:eastAsia="zh-TW"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ind w:left="1545"/>
    </w:pPr>
    <w:rPr>
      <w:rFonts w:ascii="SimSun" w:hAnsi="SimSun" w:eastAsia="SimSun" w:cs="SimSun"/>
      <w:sz w:val="28"/>
      <w:szCs w:val="28"/>
      <w:lang w:val="en-US" w:eastAsia="zh-TW" w:bidi="ar-SA"/>
    </w:rPr>
  </w:style>
  <w:style w:styleId="Heading1" w:type="paragraph">
    <w:name w:val="Heading 1"/>
    <w:basedOn w:val="Normal"/>
    <w:uiPriority w:val="1"/>
    <w:qFormat/>
    <w:pPr>
      <w:spacing w:line="486" w:lineRule="exact"/>
      <w:ind w:left="152"/>
      <w:outlineLvl w:val="1"/>
    </w:pPr>
    <w:rPr>
      <w:rFonts w:ascii="Microsoft JhengHei" w:hAnsi="Microsoft JhengHei" w:eastAsia="Microsoft JhengHei" w:cs="Microsoft JhengHei"/>
      <w:b/>
      <w:bCs/>
      <w:sz w:val="28"/>
      <w:szCs w:val="28"/>
      <w:lang w:val="en-US" w:eastAsia="zh-TW" w:bidi="ar-SA"/>
    </w:rPr>
  </w:style>
  <w:style w:styleId="Title" w:type="paragraph">
    <w:name w:val="Title"/>
    <w:basedOn w:val="Normal"/>
    <w:uiPriority w:val="1"/>
    <w:qFormat/>
    <w:pPr>
      <w:spacing w:line="575" w:lineRule="exact"/>
      <w:ind w:left="152"/>
    </w:pPr>
    <w:rPr>
      <w:rFonts w:ascii="Microsoft JhengHei" w:hAnsi="Microsoft JhengHei" w:eastAsia="Microsoft JhengHei" w:cs="Microsoft JhengHei"/>
      <w:b/>
      <w:bCs/>
      <w:sz w:val="44"/>
      <w:szCs w:val="44"/>
      <w:lang w:val="en-US" w:eastAsia="zh-TW" w:bidi="ar-SA"/>
    </w:rPr>
  </w:style>
  <w:style w:styleId="ListParagraph" w:type="paragraph">
    <w:name w:val="List Paragraph"/>
    <w:basedOn w:val="Normal"/>
    <w:uiPriority w:val="1"/>
    <w:qFormat/>
    <w:pPr>
      <w:ind w:left="1165" w:hanging="502"/>
    </w:pPr>
    <w:rPr>
      <w:rFonts w:ascii="SimSun" w:hAnsi="SimSun" w:eastAsia="SimSun" w:cs="SimSun"/>
      <w:lang w:val="en-US" w:eastAsia="zh-TW" w:bidi="ar-SA"/>
    </w:rPr>
  </w:style>
  <w:style w:styleId="TableParagraph" w:type="paragraph">
    <w:name w:val="Table Paragraph"/>
    <w:basedOn w:val="Normal"/>
    <w:uiPriority w:val="1"/>
    <w:qFormat/>
    <w:pPr>
      <w:ind w:left="39"/>
      <w:jc w:val="center"/>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service@cathaylife.com.tw"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張正億</dc:creator>
  <dcterms:created xsi:type="dcterms:W3CDTF">2023-11-01T02:30:33Z</dcterms:created>
  <dcterms:modified xsi:type="dcterms:W3CDTF">2023-11-01T02:30:33Z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2022-12-30T00:00:00Z</vt:filetime>
  </property>
  <property fmtid="{D5CDD505-2E9C-101B-9397-08002B2CF9AE}" pid="3" name="Creator">
    <vt:lpwstr>Microsoft® Word 2016</vt:lpwstr>
  </property>
  <property fmtid="{D5CDD505-2E9C-101B-9397-08002B2CF9AE}" pid="4" name="LastSaved">
    <vt:filetime>2023-11-01T00:00:00Z</vt:filetime>
  </property>
</Properties>
</file>