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t>國泰人壽美年佳鑫利率變動型美元終身保險</w:t>
      </w:r>
    </w:p>
    <w:p>
      <w:pPr>
        <w:pStyle w:val="Heading1"/>
        <w:spacing w:line="246" w:lineRule="exact"/>
        <w:ind w:left="109"/>
      </w:pPr>
      <w:r>
        <w:rPr/>
        <w:t>（給付項目：生存保險金、祝壽保險金、身故保險金或喪葬費用保險金、完全失能保險金）</w:t>
      </w:r>
    </w:p>
    <w:p>
      <w:pPr>
        <w:spacing w:line="260" w:lineRule="exact" w:before="0"/>
        <w:ind w:left="109" w:right="0" w:firstLine="0"/>
        <w:jc w:val="left"/>
        <w:rPr>
          <w:rFonts w:ascii="Microsoft JhengHei" w:eastAsia="Microsoft JhengHei" w:hint="eastAsia"/>
          <w:b/>
          <w:sz w:val="20"/>
        </w:rPr>
      </w:pPr>
      <w:r>
        <w:rPr>
          <w:rFonts w:ascii="Microsoft JhengHei" w:eastAsia="Microsoft JhengHei" w:hint="eastAsia"/>
          <w:b/>
          <w:w w:val="95"/>
          <w:sz w:val="20"/>
        </w:rPr>
        <w:t>（本保險為不分紅保險單，不參加紅利分配，並無紅利給付項目）</w:t>
      </w:r>
    </w:p>
    <w:p>
      <w:pPr>
        <w:pStyle w:val="Heading1"/>
        <w:spacing w:line="260" w:lineRule="exact"/>
        <w:ind w:left="109"/>
      </w:pPr>
      <w:r>
        <w:rPr>
          <w:w w:val="95"/>
        </w:rPr>
        <w:t>（本契約與以新臺幣收付之人身保險契約間，不得辦理契約轉換）</w:t>
      </w:r>
    </w:p>
    <w:p>
      <w:pPr>
        <w:spacing w:line="259" w:lineRule="exact" w:before="0"/>
        <w:ind w:left="109" w:right="0" w:firstLine="0"/>
        <w:jc w:val="left"/>
        <w:rPr>
          <w:rFonts w:ascii="Microsoft JhengHei" w:eastAsia="Microsoft JhengHei" w:hint="eastAsia"/>
          <w:b/>
          <w:sz w:val="20"/>
        </w:rPr>
      </w:pPr>
      <w:r>
        <w:rPr>
          <w:rFonts w:ascii="Microsoft JhengHei" w:eastAsia="Microsoft JhengHei" w:hint="eastAsia"/>
          <w:b/>
          <w:sz w:val="20"/>
        </w:rPr>
        <w:t>（本商品部分年齡可能發生累積所繳保險費扣除已領生存保險金給付後之金額超出身故保險金給付之情形）</w:t>
      </w:r>
    </w:p>
    <w:p>
      <w:pPr>
        <w:pStyle w:val="Heading1"/>
        <w:spacing w:line="170" w:lineRule="auto" w:before="23"/>
        <w:ind w:left="380" w:hanging="272"/>
      </w:pPr>
      <w:r>
        <w:rPr>
          <w:spacing w:val="-4"/>
          <w:w w:val="95"/>
        </w:rPr>
        <w:t>（申訴電話：市話免費撥打0800-036-599、付費撥打02-2162-6201；傳真：</w:t>
      </w:r>
      <w:r>
        <w:rPr>
          <w:spacing w:val="-3"/>
          <w:w w:val="95"/>
        </w:rPr>
        <w:t>0800-211-568；電子信箱（E-mail）：</w:t>
      </w:r>
      <w:r>
        <w:rPr>
          <w:spacing w:val="-45"/>
          <w:w w:val="95"/>
        </w:rPr>
        <w:t> </w:t>
      </w:r>
      <w:hyperlink r:id="rId6">
        <w:r>
          <w:rPr>
            <w:spacing w:val="1"/>
            <w:w w:val="105"/>
          </w:rPr>
          <w:t>s</w:t>
        </w:r>
        <w:r>
          <w:rPr>
            <w:spacing w:val="1"/>
            <w:w w:val="87"/>
          </w:rPr>
          <w:t>e</w:t>
        </w:r>
        <w:r>
          <w:rPr>
            <w:spacing w:val="1"/>
            <w:w w:val="126"/>
          </w:rPr>
          <w:t>r</w:t>
        </w:r>
        <w:r>
          <w:rPr>
            <w:spacing w:val="1"/>
            <w:w w:val="92"/>
          </w:rPr>
          <w:t>v</w:t>
        </w:r>
        <w:r>
          <w:rPr>
            <w:spacing w:val="1"/>
            <w:w w:val="180"/>
          </w:rPr>
          <w:t>i</w:t>
        </w:r>
        <w:r>
          <w:rPr>
            <w:spacing w:val="-2"/>
            <w:w w:val="98"/>
          </w:rPr>
          <w:t>c</w:t>
        </w:r>
        <w:r>
          <w:rPr>
            <w:spacing w:val="1"/>
            <w:w w:val="87"/>
          </w:rPr>
          <w:t>e</w:t>
        </w:r>
        <w:r>
          <w:rPr>
            <w:spacing w:val="1"/>
            <w:w w:val="48"/>
          </w:rPr>
          <w:t>@</w:t>
        </w:r>
        <w:r>
          <w:rPr>
            <w:spacing w:val="1"/>
            <w:w w:val="98"/>
          </w:rPr>
          <w:t>c</w:t>
        </w:r>
        <w:r>
          <w:rPr>
            <w:spacing w:val="-2"/>
            <w:w w:val="88"/>
          </w:rPr>
          <w:t>a</w:t>
        </w:r>
        <w:r>
          <w:rPr>
            <w:spacing w:val="1"/>
            <w:w w:val="129"/>
          </w:rPr>
          <w:t>t</w:t>
        </w:r>
        <w:r>
          <w:rPr>
            <w:spacing w:val="1"/>
            <w:w w:val="79"/>
          </w:rPr>
          <w:t>h</w:t>
        </w:r>
        <w:r>
          <w:rPr>
            <w:spacing w:val="1"/>
            <w:w w:val="88"/>
          </w:rPr>
          <w:t>a</w:t>
        </w:r>
        <w:r>
          <w:rPr>
            <w:spacing w:val="-2"/>
            <w:w w:val="91"/>
          </w:rPr>
          <w:t>y</w:t>
        </w:r>
        <w:r>
          <w:rPr>
            <w:spacing w:val="3"/>
            <w:w w:val="180"/>
          </w:rPr>
          <w:t>l</w:t>
        </w:r>
        <w:r>
          <w:rPr>
            <w:spacing w:val="1"/>
            <w:w w:val="180"/>
          </w:rPr>
          <w:t>i</w:t>
        </w:r>
        <w:r>
          <w:rPr>
            <w:spacing w:val="1"/>
            <w:w w:val="136"/>
          </w:rPr>
          <w:t>f</w:t>
        </w:r>
        <w:r>
          <w:rPr>
            <w:spacing w:val="-2"/>
            <w:w w:val="87"/>
          </w:rPr>
          <w:t>e</w:t>
        </w:r>
        <w:r>
          <w:rPr>
            <w:spacing w:val="1"/>
            <w:w w:val="195"/>
          </w:rPr>
          <w:t>.</w:t>
        </w:r>
        <w:r>
          <w:rPr>
            <w:spacing w:val="1"/>
            <w:w w:val="98"/>
          </w:rPr>
          <w:t>c</w:t>
        </w:r>
        <w:r>
          <w:rPr>
            <w:spacing w:val="1"/>
            <w:w w:val="77"/>
          </w:rPr>
          <w:t>o</w:t>
        </w:r>
        <w:r>
          <w:rPr>
            <w:spacing w:val="-2"/>
            <w:w w:val="52"/>
          </w:rPr>
          <w:t>m</w:t>
        </w:r>
        <w:r>
          <w:rPr>
            <w:spacing w:val="1"/>
            <w:w w:val="195"/>
          </w:rPr>
          <w:t>.</w:t>
        </w:r>
        <w:r>
          <w:rPr>
            <w:spacing w:val="-2"/>
            <w:w w:val="129"/>
          </w:rPr>
          <w:t>t</w:t>
        </w:r>
        <w:r>
          <w:rPr>
            <w:spacing w:val="2"/>
            <w:w w:val="61"/>
          </w:rPr>
          <w:t>w</w:t>
        </w:r>
      </w:hyperlink>
      <w:r>
        <w:rPr>
          <w:w w:val="99"/>
        </w:rPr>
        <w:t>）</w:t>
      </w:r>
    </w:p>
    <w:p>
      <w:pPr>
        <w:pStyle w:val="BodyText"/>
        <w:spacing w:before="9"/>
        <w:ind w:left="0"/>
        <w:rPr>
          <w:rFonts w:ascii="Microsoft JhengHei"/>
          <w:b/>
          <w:sz w:val="13"/>
        </w:rPr>
      </w:pPr>
    </w:p>
    <w:p>
      <w:pPr>
        <w:pStyle w:val="BodyText"/>
        <w:spacing w:before="1"/>
        <w:ind w:left="212"/>
      </w:pPr>
      <w:r>
        <w:rPr>
          <w:w w:val="95"/>
        </w:rPr>
        <w:t>110.07.29</w:t>
      </w:r>
      <w:r>
        <w:rPr>
          <w:spacing w:val="-3"/>
          <w:w w:val="95"/>
        </w:rPr>
        <w:t> 國壽字第 </w:t>
      </w:r>
      <w:r>
        <w:rPr>
          <w:w w:val="95"/>
        </w:rPr>
        <w:t>110071114</w:t>
      </w:r>
      <w:r>
        <w:rPr>
          <w:spacing w:val="-3"/>
          <w:w w:val="95"/>
        </w:rPr>
        <w:t> 號函備查</w:t>
      </w:r>
    </w:p>
    <w:p>
      <w:pPr>
        <w:pStyle w:val="BodyText"/>
        <w:spacing w:before="5"/>
        <w:ind w:left="212"/>
      </w:pPr>
      <w:r>
        <w:rPr>
          <w:w w:val="95"/>
        </w:rPr>
        <w:t>112.02.08</w:t>
      </w:r>
      <w:r>
        <w:rPr>
          <w:spacing w:val="1"/>
          <w:w w:val="95"/>
        </w:rPr>
        <w:t> 依 </w:t>
      </w:r>
      <w:r>
        <w:rPr>
          <w:w w:val="95"/>
        </w:rPr>
        <w:t>111.08.30 金管保壽字第 1110445485 號函修正</w:t>
      </w:r>
    </w:p>
    <w:p>
      <w:pPr>
        <w:pStyle w:val="BodyText"/>
        <w:spacing w:before="3"/>
        <w:ind w:left="212"/>
      </w:pPr>
      <w:r>
        <w:rPr>
          <w:w w:val="95"/>
        </w:rPr>
        <w:t>112.02.23</w:t>
      </w:r>
      <w:r>
        <w:rPr>
          <w:spacing w:val="1"/>
          <w:w w:val="95"/>
        </w:rPr>
        <w:t> 依 </w:t>
      </w:r>
      <w:r>
        <w:rPr>
          <w:w w:val="95"/>
        </w:rPr>
        <w:t>111.11.29 金管保壽字第 1110462568 號函修正</w:t>
      </w:r>
    </w:p>
    <w:p>
      <w:pPr>
        <w:pStyle w:val="BodyText"/>
        <w:spacing w:before="6"/>
        <w:ind w:left="0"/>
        <w:rPr>
          <w:sz w:val="15"/>
        </w:rPr>
      </w:pPr>
    </w:p>
    <w:p>
      <w:pPr>
        <w:pStyle w:val="Heading1"/>
        <w:tabs>
          <w:tab w:pos="1014" w:val="left" w:leader="none"/>
        </w:tabs>
      </w:pPr>
      <w:r>
        <w:rPr/>
        <w:drawing>
          <wp:anchor distT="0" distB="0" distL="0" distR="0" allowOverlap="1" layoutInCell="1" locked="0" behindDoc="1" simplePos="0" relativeHeight="487352832">
            <wp:simplePos x="0" y="0"/>
            <wp:positionH relativeFrom="page">
              <wp:posOffset>2873390</wp:posOffset>
            </wp:positionH>
            <wp:positionV relativeFrom="paragraph">
              <wp:posOffset>175127</wp:posOffset>
            </wp:positionV>
            <wp:extent cx="1837032" cy="4425975"/>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1837032" cy="4425975"/>
                    </a:xfrm>
                    <a:prstGeom prst="rect">
                      <a:avLst/>
                    </a:prstGeom>
                  </pic:spPr>
                </pic:pic>
              </a:graphicData>
            </a:graphic>
          </wp:anchor>
        </w:drawing>
      </w:r>
      <w:r>
        <w:rPr/>
        <w:t>第一條</w:t>
        <w:tab/>
        <w:t>保險契約的構成</w:t>
      </w:r>
    </w:p>
    <w:p>
      <w:pPr>
        <w:pStyle w:val="BodyText"/>
        <w:spacing w:line="235" w:lineRule="exact"/>
        <w:ind w:left="813"/>
      </w:pPr>
      <w:r>
        <w:rPr/>
        <w:t>本保險單條款、附著之要保書、批註及其他約定書，均為本保險契約（以下簡稱本契約）的構成部分。</w:t>
      </w:r>
    </w:p>
    <w:p>
      <w:pPr>
        <w:pStyle w:val="BodyText"/>
        <w:spacing w:line="244" w:lineRule="auto" w:before="4"/>
        <w:ind w:left="813" w:right="317"/>
      </w:pPr>
      <w:r>
        <w:rPr>
          <w:w w:val="95"/>
        </w:rPr>
        <w:t>本契約的解釋，應探求契約當事人的真意，不得拘泥於所用的文字；如有疑義時，以作有利於被保險人</w:t>
      </w:r>
      <w:r>
        <w:rPr>
          <w:spacing w:val="191"/>
        </w:rPr>
        <w:t> </w:t>
      </w:r>
      <w:r>
        <w:rPr/>
        <w:t>的解釋為原則。</w:t>
      </w:r>
    </w:p>
    <w:p>
      <w:pPr>
        <w:pStyle w:val="BodyText"/>
        <w:spacing w:before="11"/>
        <w:ind w:left="0"/>
        <w:rPr>
          <w:sz w:val="14"/>
        </w:rPr>
      </w:pPr>
    </w:p>
    <w:p>
      <w:pPr>
        <w:pStyle w:val="Heading1"/>
        <w:tabs>
          <w:tab w:pos="1014" w:val="left" w:leader="none"/>
        </w:tabs>
        <w:spacing w:line="348" w:lineRule="exact" w:before="1"/>
      </w:pPr>
      <w:r>
        <w:rPr/>
        <w:t>第二條</w:t>
        <w:tab/>
        <w:t>名詞定義</w:t>
      </w:r>
    </w:p>
    <w:p>
      <w:pPr>
        <w:pStyle w:val="BodyText"/>
        <w:spacing w:line="236" w:lineRule="exact"/>
        <w:ind w:left="813"/>
      </w:pPr>
      <w:r>
        <w:rPr/>
        <w:t>本契約名詞定義如下：</w:t>
      </w:r>
    </w:p>
    <w:p>
      <w:pPr>
        <w:pStyle w:val="BodyText"/>
        <w:spacing w:line="242" w:lineRule="auto" w:before="3"/>
        <w:ind w:right="316" w:hanging="401"/>
      </w:pPr>
      <w:r>
        <w:rPr>
          <w:w w:val="95"/>
        </w:rPr>
        <w:t>一、「商品貨幣」：指本契約保險金額、保險費、各項保險金、解約金、增值回饋分享金、保險單借款</w:t>
      </w:r>
      <w:r>
        <w:rPr>
          <w:spacing w:val="192"/>
        </w:rPr>
        <w:t> </w:t>
      </w:r>
      <w:r>
        <w:rPr/>
        <w:t>及保單價值準備金等之計價貨幣，並經記載於保險單上者（本契約商品貨幣為美元）。</w:t>
      </w:r>
    </w:p>
    <w:p>
      <w:pPr>
        <w:pStyle w:val="BodyText"/>
        <w:spacing w:line="242" w:lineRule="auto" w:before="3"/>
        <w:ind w:right="314" w:hanging="401"/>
        <w:jc w:val="both"/>
      </w:pPr>
      <w:r>
        <w:rPr>
          <w:w w:val="95"/>
        </w:rPr>
        <w:t>二、「匯款相關費用」：指包括匯款銀行所收取之匯出費用（含匯款手續費、郵電費）、收款銀行所收</w:t>
      </w:r>
      <w:r>
        <w:rPr>
          <w:spacing w:val="204"/>
        </w:rPr>
        <w:t> </w:t>
      </w:r>
      <w:r>
        <w:rPr>
          <w:w w:val="95"/>
        </w:rPr>
        <w:t>取之收款手續費及中間行所收取之轉匯費用，本項費用以匯款銀行、收款銀行與中間行於匯款當時</w:t>
      </w:r>
      <w:r>
        <w:rPr>
          <w:spacing w:val="173"/>
        </w:rPr>
        <w:t> </w:t>
      </w:r>
      <w:r>
        <w:rPr/>
        <w:t>約定之數額為準。</w:t>
      </w:r>
    </w:p>
    <w:p>
      <w:pPr>
        <w:pStyle w:val="BodyText"/>
        <w:spacing w:line="242" w:lineRule="auto" w:before="3"/>
        <w:ind w:right="310" w:hanging="401"/>
        <w:jc w:val="both"/>
      </w:pPr>
      <w:r>
        <w:rPr>
          <w:w w:val="95"/>
        </w:rPr>
        <w:t>三、「增值回饋分享金」：指本公司於本契約有效期間內之每一保險單週年日，按前一保險單年度宣告</w:t>
      </w:r>
      <w:r>
        <w:rPr>
          <w:spacing w:val="208"/>
        </w:rPr>
        <w:t> </w:t>
      </w:r>
      <w:r>
        <w:rPr>
          <w:w w:val="95"/>
        </w:rPr>
        <w:t>利率平均值減去本契約預定利率（百分之二）之差值，乘以前一保險單年度末保單價值準備金所得</w:t>
      </w:r>
      <w:r>
        <w:rPr>
          <w:spacing w:val="177"/>
        </w:rPr>
        <w:t> </w:t>
      </w:r>
      <w:r>
        <w:rPr/>
        <w:t>之值。</w:t>
      </w:r>
    </w:p>
    <w:p>
      <w:pPr>
        <w:pStyle w:val="BodyText"/>
        <w:spacing w:line="242" w:lineRule="auto" w:before="4"/>
        <w:ind w:right="316" w:hanging="401"/>
        <w:jc w:val="both"/>
      </w:pPr>
      <w:r>
        <w:rPr>
          <w:w w:val="95"/>
        </w:rPr>
        <w:t>四、「宣告利率」：指本公司每月第一個營業日宣告，適用於本契約之當月利率，該利率係參考市場利</w:t>
      </w:r>
      <w:r>
        <w:rPr>
          <w:spacing w:val="202"/>
        </w:rPr>
        <w:t> </w:t>
      </w:r>
      <w:r>
        <w:rPr>
          <w:w w:val="95"/>
        </w:rPr>
        <w:t>率及本公司運用此類商品所累積資產的實際狀況而訂定。如當月未宣告者，以前一月之宣告利率為</w:t>
      </w:r>
      <w:r>
        <w:rPr>
          <w:spacing w:val="171"/>
        </w:rPr>
        <w:t> </w:t>
      </w:r>
      <w:r>
        <w:rPr/>
        <w:t>當月之宣告利率。本契約宣告利率將公告於本公司網站（</w:t>
      </w:r>
      <w:hyperlink r:id="rId8">
        <w:r>
          <w:rPr/>
          <w:t>www.cathayholdings.com/life</w:t>
        </w:r>
      </w:hyperlink>
      <w:r>
        <w:rPr/>
        <w:t>）。</w:t>
      </w:r>
    </w:p>
    <w:p>
      <w:pPr>
        <w:pStyle w:val="BodyText"/>
        <w:spacing w:line="242" w:lineRule="auto" w:before="4"/>
        <w:ind w:right="317" w:hanging="401"/>
      </w:pPr>
      <w:r>
        <w:rPr>
          <w:w w:val="95"/>
        </w:rPr>
        <w:t>五、「前一保險單年度宣告利率平均值」：指本契約保險單週年日當月（不含）起算，往前推算十二個</w:t>
      </w:r>
      <w:r>
        <w:rPr>
          <w:spacing w:val="191"/>
        </w:rPr>
        <w:t> </w:t>
      </w:r>
      <w:r>
        <w:rPr/>
        <w:t>月之宣告利率平均值或本契約之預定利率（百分之二），兩者較高者為準。</w:t>
      </w:r>
    </w:p>
    <w:p>
      <w:pPr>
        <w:pStyle w:val="BodyText"/>
        <w:spacing w:line="244" w:lineRule="auto" w:before="1"/>
        <w:ind w:right="312" w:hanging="401"/>
      </w:pPr>
      <w:r>
        <w:rPr>
          <w:w w:val="95"/>
        </w:rPr>
        <w:t>六、「基本保險金額」：指保險單所載本契約(不含其他附約、附加條款、批註條款)之保險金額，如該</w:t>
      </w:r>
      <w:r>
        <w:rPr>
          <w:spacing w:val="196"/>
        </w:rPr>
        <w:t> </w:t>
      </w:r>
      <w:r>
        <w:rPr/>
        <w:t>金額有所變更時，以變更後之金額為準。</w:t>
      </w:r>
    </w:p>
    <w:p>
      <w:pPr>
        <w:pStyle w:val="BodyText"/>
        <w:spacing w:line="242" w:lineRule="auto"/>
        <w:ind w:right="317" w:hanging="401"/>
      </w:pPr>
      <w:r>
        <w:rPr>
          <w:w w:val="95"/>
        </w:rPr>
        <w:t>七、「累計增加保險金額」：指就每一保險單週年日依第十五條約定計算所得增額繳清保險金額逐次累</w:t>
      </w:r>
      <w:r>
        <w:rPr>
          <w:spacing w:val="191"/>
        </w:rPr>
        <w:t> </w:t>
      </w:r>
      <w:r>
        <w:rPr/>
        <w:t>計之值。</w:t>
      </w:r>
    </w:p>
    <w:p>
      <w:pPr>
        <w:pStyle w:val="BodyText"/>
        <w:spacing w:line="242" w:lineRule="auto" w:before="1"/>
        <w:ind w:right="317" w:hanging="401"/>
      </w:pPr>
      <w:r>
        <w:rPr>
          <w:w w:val="95"/>
        </w:rPr>
        <w:t>八、「總保險金額」：指「基本保險金額」與「累計增加保險金額」二者加總之值。但被保險人為未滿</w:t>
      </w:r>
      <w:r>
        <w:rPr>
          <w:spacing w:val="191"/>
        </w:rPr>
        <w:t> </w:t>
      </w:r>
      <w:r>
        <w:rPr/>
        <w:t>十五足歲之未成年人，或受監護宣告尚未撤銷者，應依第十八條約定辦理。</w:t>
      </w:r>
    </w:p>
    <w:p>
      <w:pPr>
        <w:pStyle w:val="BodyText"/>
        <w:spacing w:before="1"/>
        <w:ind w:left="813"/>
      </w:pPr>
      <w:r>
        <w:rPr/>
        <w:t>九、「年繳應繳保險費總額」：指按年繳繳費方式無息計算下列期間所應繳保險費總額：</w:t>
      </w:r>
    </w:p>
    <w:p>
      <w:pPr>
        <w:pStyle w:val="BodyText"/>
        <w:spacing w:before="5"/>
      </w:pPr>
      <w:r>
        <w:rPr/>
        <w:t>（一）給付該保險單年度「生存保險金」時：自本契約生效日起至「前一保險單年度屆滿之日」或</w:t>
      </w:r>
    </w:p>
    <w:p>
      <w:pPr>
        <w:pStyle w:val="BodyText"/>
        <w:spacing w:before="3"/>
        <w:ind w:left="1813"/>
      </w:pPr>
      <w:r>
        <w:rPr/>
        <w:t>「原定繳費期間屆滿日」二者較早屆至之日。</w:t>
      </w:r>
    </w:p>
    <w:p>
      <w:pPr>
        <w:pStyle w:val="BodyText"/>
        <w:spacing w:line="244" w:lineRule="auto" w:before="3"/>
        <w:ind w:left="1813" w:right="310" w:hanging="600"/>
        <w:jc w:val="both"/>
      </w:pPr>
      <w:r>
        <w:rPr>
          <w:w w:val="95"/>
        </w:rPr>
        <w:t>（二）給付「身故保險金或喪葬費用保險金」或「完全失能保險金」時：以本契約「總保險金額」</w:t>
      </w:r>
      <w:r>
        <w:rPr>
          <w:spacing w:val="188"/>
        </w:rPr>
        <w:t> </w:t>
      </w:r>
      <w:r>
        <w:rPr>
          <w:w w:val="95"/>
        </w:rPr>
        <w:t>為準，自本契約生效日起至「被保險人身故日、完全失能診斷確定日」或「原定繳費期間屆</w:t>
      </w:r>
      <w:r>
        <w:rPr>
          <w:spacing w:val="148"/>
        </w:rPr>
        <w:t> </w:t>
      </w:r>
      <w:r>
        <w:rPr/>
        <w:t>滿日」二者較早屆至之日。</w:t>
      </w:r>
    </w:p>
    <w:p>
      <w:pPr>
        <w:pStyle w:val="BodyText"/>
        <w:spacing w:line="244" w:lineRule="auto"/>
        <w:ind w:left="1813" w:right="311" w:hanging="600"/>
      </w:pPr>
      <w:r>
        <w:rPr>
          <w:w w:val="95"/>
        </w:rPr>
        <w:t>（三）辦理展期定期保險時：以本契約「基本保險金額」為準，自本契約生效日起至申請展期定期</w:t>
      </w:r>
      <w:r>
        <w:rPr>
          <w:spacing w:val="177"/>
        </w:rPr>
        <w:t> </w:t>
      </w:r>
      <w:r>
        <w:rPr/>
        <w:t>保險之日。</w:t>
      </w:r>
    </w:p>
    <w:p>
      <w:pPr>
        <w:pStyle w:val="BodyText"/>
        <w:spacing w:line="244" w:lineRule="auto"/>
        <w:ind w:right="298" w:hanging="401"/>
        <w:jc w:val="both"/>
      </w:pPr>
      <w:r>
        <w:rPr/>
        <w:t>十、「營業費用」：指要保人申請變更本契約為減額繳清保險或展期定期保險時，本公司所收取之費</w:t>
      </w:r>
      <w:r>
        <w:rPr>
          <w:spacing w:val="1"/>
        </w:rPr>
        <w:t> </w:t>
      </w:r>
      <w:r>
        <w:rPr>
          <w:spacing w:val="7"/>
          <w:w w:val="95"/>
        </w:rPr>
        <w:t>用，以「原基本保險金額百分之一」與「原基本保險金額對應之保單價值準備金與解約金之差</w:t>
      </w:r>
      <w:r>
        <w:rPr>
          <w:spacing w:val="125"/>
        </w:rPr>
        <w:t> </w:t>
      </w:r>
      <w:r>
        <w:rPr/>
        <w:t>額」，二者較小者為準。</w:t>
      </w:r>
    </w:p>
    <w:p>
      <w:pPr>
        <w:pStyle w:val="BodyText"/>
        <w:spacing w:line="242" w:lineRule="auto"/>
        <w:ind w:left="1418" w:right="316" w:hanging="605"/>
      </w:pPr>
      <w:r>
        <w:rPr>
          <w:w w:val="95"/>
        </w:rPr>
        <w:t>十一、「保單價值準備金」：指「基本保險金額」對應之保單價值準備金與「累計增加保險金額」對應</w:t>
      </w:r>
      <w:r>
        <w:rPr>
          <w:spacing w:val="192"/>
        </w:rPr>
        <w:t> </w:t>
      </w:r>
      <w:r>
        <w:rPr/>
        <w:t>之保單價值準備金加總之值。</w:t>
      </w:r>
    </w:p>
    <w:p>
      <w:pPr>
        <w:pStyle w:val="BodyText"/>
        <w:spacing w:line="242" w:lineRule="auto"/>
        <w:ind w:left="1418" w:right="316" w:hanging="605"/>
      </w:pPr>
      <w:r>
        <w:rPr>
          <w:w w:val="95"/>
        </w:rPr>
        <w:t>十二、「解約金」：指「基本保險金額」對應之解約金與「累計增加保險金額」對應之保單價值準備金</w:t>
      </w:r>
      <w:r>
        <w:rPr>
          <w:spacing w:val="192"/>
        </w:rPr>
        <w:t> </w:t>
      </w:r>
      <w:r>
        <w:rPr/>
        <w:t>加總之值。</w:t>
      </w:r>
    </w:p>
    <w:p>
      <w:pPr>
        <w:spacing w:after="0" w:line="242" w:lineRule="auto"/>
        <w:sectPr>
          <w:footerReference w:type="default" r:id="rId5"/>
          <w:type w:val="continuous"/>
          <w:pgSz w:w="11910" w:h="16850"/>
          <w:pgMar w:footer="855" w:top="1400" w:bottom="1040" w:left="920" w:right="820"/>
          <w:pgNumType w:start="1"/>
        </w:sectPr>
      </w:pPr>
    </w:p>
    <w:p>
      <w:pPr>
        <w:pStyle w:val="BodyText"/>
        <w:spacing w:line="242" w:lineRule="auto" w:before="47"/>
        <w:ind w:left="1418" w:right="316" w:hanging="605"/>
      </w:pPr>
      <w:r>
        <w:rPr>
          <w:w w:val="95"/>
        </w:rPr>
        <w:t>十三、「保險年齡」：按被保險人投保本契約時之足歲計算，但是未滿一歲的零數超過六個月者加算一</w:t>
      </w:r>
      <w:r>
        <w:rPr>
          <w:spacing w:val="192"/>
        </w:rPr>
        <w:t> </w:t>
      </w:r>
      <w:r>
        <w:rPr/>
        <w:t>歲，之後須每經過一個保險單年度始加計一歲。</w:t>
      </w:r>
    </w:p>
    <w:p>
      <w:pPr>
        <w:pStyle w:val="BodyText"/>
        <w:spacing w:line="244" w:lineRule="auto" w:before="1"/>
        <w:ind w:left="1418" w:right="311" w:hanging="605"/>
        <w:jc w:val="both"/>
      </w:pPr>
      <w:r>
        <w:rPr>
          <w:w w:val="95"/>
        </w:rPr>
        <w:t>十四、「保險單週年日」：自本契約生效日起算屆滿一年之翌日為第一保險單週年日，屆滿二年之翌日</w:t>
      </w:r>
      <w:r>
        <w:rPr>
          <w:spacing w:val="207"/>
        </w:rPr>
        <w:t> </w:t>
      </w:r>
      <w:r>
        <w:rPr>
          <w:w w:val="95"/>
        </w:rPr>
        <w:t>為第二保險單週年日（例如契約生效日為110年7月29日，則第一保險單週年日為111年7月29日，</w:t>
      </w:r>
      <w:r>
        <w:rPr>
          <w:spacing w:val="162"/>
        </w:rPr>
        <w:t> </w:t>
      </w:r>
      <w:r>
        <w:rPr/>
        <w:t>第二保險單週年日為112年7月29日），以此類推。</w:t>
      </w:r>
    </w:p>
    <w:p>
      <w:pPr>
        <w:pStyle w:val="BodyText"/>
        <w:spacing w:line="252" w:lineRule="exact"/>
        <w:ind w:left="813"/>
      </w:pPr>
      <w:r>
        <w:rPr/>
        <w:t>十五、「門檻比率」：指附表一所列依被保險人事故發生時之保險年齡所對應之比率。</w:t>
      </w:r>
    </w:p>
    <w:p>
      <w:pPr>
        <w:pStyle w:val="BodyText"/>
        <w:spacing w:before="6"/>
        <w:ind w:left="0"/>
        <w:rPr>
          <w:sz w:val="15"/>
        </w:rPr>
      </w:pPr>
    </w:p>
    <w:p>
      <w:pPr>
        <w:pStyle w:val="Heading1"/>
        <w:tabs>
          <w:tab w:pos="1014" w:val="left" w:leader="none"/>
        </w:tabs>
      </w:pPr>
      <w:r>
        <w:rPr/>
        <w:t>第三條</w:t>
        <w:tab/>
        <w:t>款項之收付</w:t>
      </w:r>
    </w:p>
    <w:p>
      <w:pPr>
        <w:pStyle w:val="BodyText"/>
        <w:spacing w:line="235" w:lineRule="exact"/>
        <w:ind w:left="813"/>
      </w:pPr>
      <w:r>
        <w:rPr>
          <w:w w:val="95"/>
        </w:rPr>
        <w:t>本公司收取或返還保險費、給付各項保險金、解約金、增值回饋分享金、保險單借款及返還保單價值準</w:t>
      </w:r>
    </w:p>
    <w:p>
      <w:pPr>
        <w:pStyle w:val="BodyText"/>
        <w:spacing w:before="6"/>
        <w:ind w:left="813"/>
      </w:pPr>
      <w:r>
        <w:rPr/>
        <w:t>備金等款項，均以本契約商品貨幣（美元）為之，並以本公司指定銀行之外匯存款帳戶存撥之。</w:t>
      </w:r>
    </w:p>
    <w:p>
      <w:pPr>
        <w:pStyle w:val="BodyText"/>
        <w:spacing w:before="4"/>
        <w:ind w:left="0"/>
        <w:rPr>
          <w:sz w:val="15"/>
        </w:rPr>
      </w:pPr>
    </w:p>
    <w:p>
      <w:pPr>
        <w:pStyle w:val="Heading1"/>
        <w:tabs>
          <w:tab w:pos="1014" w:val="left" w:leader="none"/>
        </w:tabs>
        <w:spacing w:line="348" w:lineRule="exact"/>
      </w:pPr>
      <w:r>
        <w:rPr/>
        <w:t>第四條</w:t>
        <w:tab/>
        <w:t>匯款相關費用及其負擔對象</w:t>
      </w:r>
    </w:p>
    <w:p>
      <w:pPr>
        <w:pStyle w:val="BodyText"/>
        <w:spacing w:line="236" w:lineRule="exact"/>
        <w:ind w:left="813"/>
      </w:pPr>
      <w:r>
        <w:rPr>
          <w:w w:val="95"/>
        </w:rPr>
        <w:t>本契約相關款項之往來，若因匯款而產生相關費用時，除下列各款約定所生之匯款相關費用均由本公司</w:t>
      </w:r>
    </w:p>
    <w:p>
      <w:pPr>
        <w:pStyle w:val="BodyText"/>
        <w:spacing w:line="242" w:lineRule="auto" w:before="3"/>
        <w:ind w:left="813" w:right="315"/>
      </w:pPr>
      <w:r>
        <w:rPr/>
        <w:drawing>
          <wp:anchor distT="0" distB="0" distL="0" distR="0" allowOverlap="1" layoutInCell="1" locked="0" behindDoc="1" simplePos="0" relativeHeight="487353344">
            <wp:simplePos x="0" y="0"/>
            <wp:positionH relativeFrom="page">
              <wp:posOffset>2873390</wp:posOffset>
            </wp:positionH>
            <wp:positionV relativeFrom="paragraph">
              <wp:posOffset>103108</wp:posOffset>
            </wp:positionV>
            <wp:extent cx="1837032" cy="4425975"/>
            <wp:effectExtent l="0" t="0" r="0" b="0"/>
            <wp:wrapNone/>
            <wp:docPr id="3" name="image1.png"/>
            <wp:cNvGraphicFramePr>
              <a:graphicFrameLocks noChangeAspect="1"/>
            </wp:cNvGraphicFramePr>
            <a:graphic>
              <a:graphicData uri="http://schemas.openxmlformats.org/drawingml/2006/picture">
                <pic:pic>
                  <pic:nvPicPr>
                    <pic:cNvPr id="4" name="image1.png"/>
                    <pic:cNvPicPr/>
                  </pic:nvPicPr>
                  <pic:blipFill>
                    <a:blip r:embed="rId7" cstate="print"/>
                    <a:stretch>
                      <a:fillRect/>
                    </a:stretch>
                  </pic:blipFill>
                  <pic:spPr>
                    <a:xfrm>
                      <a:off x="0" y="0"/>
                      <a:ext cx="1837032" cy="4425975"/>
                    </a:xfrm>
                    <a:prstGeom prst="rect">
                      <a:avLst/>
                    </a:prstGeom>
                  </pic:spPr>
                </pic:pic>
              </a:graphicData>
            </a:graphic>
          </wp:anchor>
        </w:drawing>
      </w:r>
      <w:r>
        <w:rPr>
          <w:w w:val="95"/>
        </w:rPr>
        <w:t>負擔外，匯款銀行及中間行所收取之相關費用，由匯款人負擔之，收款銀行所收取之收款手續費，由收</w:t>
      </w:r>
      <w:r>
        <w:rPr>
          <w:spacing w:val="193"/>
        </w:rPr>
        <w:t> </w:t>
      </w:r>
      <w:r>
        <w:rPr/>
        <w:t>款人負擔：</w:t>
      </w:r>
    </w:p>
    <w:p>
      <w:pPr>
        <w:pStyle w:val="BodyText"/>
        <w:spacing w:line="242" w:lineRule="auto" w:before="3"/>
        <w:ind w:right="312" w:hanging="401"/>
      </w:pPr>
      <w:r>
        <w:rPr>
          <w:w w:val="95"/>
        </w:rPr>
        <w:t>一、因可歸責於本公司之錯誤原因，致本公司依第三十四條第二項約定為退還或給付所生之相關匯款費</w:t>
      </w:r>
      <w:r>
        <w:rPr>
          <w:spacing w:val="196"/>
        </w:rPr>
        <w:t> </w:t>
      </w:r>
      <w:r>
        <w:rPr/>
        <w:t>用。</w:t>
      </w:r>
    </w:p>
    <w:p>
      <w:pPr>
        <w:pStyle w:val="BodyText"/>
        <w:spacing w:line="244" w:lineRule="auto" w:before="1"/>
        <w:ind w:right="311" w:hanging="401"/>
      </w:pPr>
      <w:r>
        <w:rPr>
          <w:w w:val="95"/>
        </w:rPr>
        <w:t>二、因可歸責於本公司之錯誤原因，要保人或受益人依第三十四條第二項約定為補繳或返還所生之相關</w:t>
      </w:r>
      <w:r>
        <w:rPr>
          <w:spacing w:val="197"/>
        </w:rPr>
        <w:t> </w:t>
      </w:r>
      <w:r>
        <w:rPr/>
        <w:t>匯款費用。</w:t>
      </w:r>
    </w:p>
    <w:p>
      <w:pPr>
        <w:pStyle w:val="BodyText"/>
        <w:spacing w:line="254" w:lineRule="exact"/>
        <w:ind w:left="813"/>
      </w:pPr>
      <w:r>
        <w:rPr/>
        <w:t>三、因本公司提供之匯款帳戶錯誤而使要保人或受益人匯款無法完成時所生之相關匯款費用。</w:t>
      </w:r>
    </w:p>
    <w:p>
      <w:pPr>
        <w:pStyle w:val="BodyText"/>
        <w:spacing w:line="244" w:lineRule="auto" w:before="3"/>
        <w:ind w:left="813" w:right="311"/>
        <w:jc w:val="both"/>
      </w:pPr>
      <w:r>
        <w:rPr>
          <w:w w:val="95"/>
        </w:rPr>
        <w:t>要保人或受益人若選擇以本公司指定銀行之外匯存款戶交付相關款項且匯款銀行及收款銀行為同一銀行</w:t>
      </w:r>
      <w:r>
        <w:rPr>
          <w:spacing w:val="207"/>
        </w:rPr>
        <w:t> </w:t>
      </w:r>
      <w:r>
        <w:rPr>
          <w:w w:val="95"/>
        </w:rPr>
        <w:t>時，或以本公司指定銀行之外匯存款戶受領相關款項時，其所有匯款相關費用均由本公司負擔，不適用</w:t>
      </w:r>
      <w:r>
        <w:rPr>
          <w:spacing w:val="197"/>
        </w:rPr>
        <w:t> </w:t>
      </w:r>
      <w:r>
        <w:rPr/>
        <w:t>前項約定。</w:t>
      </w:r>
    </w:p>
    <w:p>
      <w:pPr>
        <w:pStyle w:val="BodyText"/>
        <w:spacing w:line="252" w:lineRule="exact"/>
        <w:ind w:left="813"/>
      </w:pPr>
      <w:r>
        <w:rPr/>
        <w:t>本公司指定銀行之相關訊息可至本公司網站（網址：</w:t>
      </w:r>
      <w:hyperlink r:id="rId8">
        <w:r>
          <w:rPr/>
          <w:t>www.cathayholdings.com/life</w:t>
        </w:r>
      </w:hyperlink>
      <w:r>
        <w:rPr/>
        <w:t>）查詢。</w:t>
      </w:r>
    </w:p>
    <w:p>
      <w:pPr>
        <w:pStyle w:val="BodyText"/>
        <w:spacing w:before="6"/>
        <w:ind w:left="0"/>
        <w:rPr>
          <w:sz w:val="15"/>
        </w:rPr>
      </w:pPr>
    </w:p>
    <w:p>
      <w:pPr>
        <w:pStyle w:val="Heading1"/>
        <w:tabs>
          <w:tab w:pos="1014" w:val="left" w:leader="none"/>
        </w:tabs>
        <w:spacing w:before="1"/>
      </w:pPr>
      <w:r>
        <w:rPr/>
        <w:t>第五條</w:t>
        <w:tab/>
        <w:t>匯率風險揭露</w:t>
      </w:r>
    </w:p>
    <w:p>
      <w:pPr>
        <w:pStyle w:val="BodyText"/>
        <w:spacing w:line="235" w:lineRule="exact"/>
        <w:ind w:left="813"/>
      </w:pPr>
      <w:r>
        <w:rPr>
          <w:w w:val="95"/>
        </w:rPr>
        <w:t>本契約相關款項之收付均以商品貨幣（美元）為之，要保人或受益人須自行承擔就商品貨幣（美元）與</w:t>
      </w:r>
    </w:p>
    <w:p>
      <w:pPr>
        <w:pStyle w:val="BodyText"/>
        <w:spacing w:line="242" w:lineRule="auto" w:before="5"/>
        <w:ind w:left="813" w:right="310"/>
      </w:pPr>
      <w:r>
        <w:rPr>
          <w:w w:val="95"/>
        </w:rPr>
        <w:t>他種貨幣進行兌換（例如將新臺幣兌換為美元繳納保險費，或將領取之保險金由美元兌換為新臺幣），</w:t>
      </w:r>
      <w:r>
        <w:rPr>
          <w:spacing w:val="198"/>
        </w:rPr>
        <w:t> </w:t>
      </w:r>
      <w:r>
        <w:rPr/>
        <w:t>所生之匯率變動風險。</w:t>
      </w:r>
    </w:p>
    <w:p>
      <w:pPr>
        <w:pStyle w:val="BodyText"/>
        <w:spacing w:before="4"/>
        <w:ind w:left="0"/>
        <w:rPr>
          <w:sz w:val="15"/>
        </w:rPr>
      </w:pPr>
    </w:p>
    <w:p>
      <w:pPr>
        <w:pStyle w:val="Heading1"/>
        <w:tabs>
          <w:tab w:pos="1014" w:val="left" w:leader="none"/>
        </w:tabs>
      </w:pPr>
      <w:r>
        <w:rPr/>
        <w:t>第六條</w:t>
        <w:tab/>
        <w:t>保險責任的開始及交付保險費</w:t>
      </w:r>
    </w:p>
    <w:p>
      <w:pPr>
        <w:pStyle w:val="BodyText"/>
        <w:spacing w:line="235" w:lineRule="exact"/>
        <w:ind w:left="813"/>
      </w:pPr>
      <w:r>
        <w:rPr>
          <w:w w:val="95"/>
        </w:rPr>
        <w:t>本公司應自同意承保並於要保人以本契約商品貨幣（美元），存匯入第一期保險費至本公司指定之外匯</w:t>
      </w:r>
    </w:p>
    <w:p>
      <w:pPr>
        <w:pStyle w:val="BodyText"/>
        <w:spacing w:before="3"/>
        <w:ind w:left="813"/>
      </w:pPr>
      <w:r>
        <w:rPr/>
        <w:t>存款帳戶後負保險責任，並應發給保險單作為承保的憑證。</w:t>
      </w:r>
    </w:p>
    <w:p>
      <w:pPr>
        <w:pStyle w:val="BodyText"/>
        <w:spacing w:line="242" w:lineRule="auto" w:before="6"/>
        <w:ind w:left="813" w:right="317"/>
        <w:jc w:val="both"/>
      </w:pPr>
      <w:r>
        <w:rPr>
          <w:w w:val="95"/>
        </w:rPr>
        <w:t>本公司如於同意承保前，預收要保人存匯至本公司指定之外匯存款帳戶，相當於第一期保險費之本契約</w:t>
      </w:r>
      <w:r>
        <w:rPr>
          <w:spacing w:val="201"/>
        </w:rPr>
        <w:t> </w:t>
      </w:r>
      <w:r>
        <w:rPr>
          <w:w w:val="95"/>
        </w:rPr>
        <w:t>商品貨幣（美元）時，本公司應負之保險責任，以同意承保時溯自預收上開相當於第一期保險費時開</w:t>
      </w:r>
      <w:r>
        <w:rPr>
          <w:spacing w:val="140"/>
        </w:rPr>
        <w:t> </w:t>
      </w:r>
      <w:r>
        <w:rPr>
          <w:spacing w:val="141"/>
        </w:rPr>
        <w:t> </w:t>
      </w:r>
      <w:r>
        <w:rPr/>
        <w:t>始。</w:t>
      </w:r>
    </w:p>
    <w:p>
      <w:pPr>
        <w:pStyle w:val="BodyText"/>
        <w:spacing w:before="3"/>
        <w:ind w:left="813"/>
      </w:pPr>
      <w:r>
        <w:rPr/>
        <w:t>前項情形，在本公司為同意承保與否之意思表示前發生應予給付之保險事故時，本公司仍負保險責任。</w:t>
      </w:r>
    </w:p>
    <w:p>
      <w:pPr>
        <w:pStyle w:val="BodyText"/>
        <w:spacing w:before="4"/>
        <w:ind w:left="0"/>
        <w:rPr>
          <w:sz w:val="15"/>
        </w:rPr>
      </w:pPr>
    </w:p>
    <w:p>
      <w:pPr>
        <w:pStyle w:val="Heading1"/>
        <w:tabs>
          <w:tab w:pos="1014" w:val="left" w:leader="none"/>
        </w:tabs>
        <w:spacing w:line="348" w:lineRule="exact"/>
      </w:pPr>
      <w:r>
        <w:rPr/>
        <w:t>第七條</w:t>
        <w:tab/>
        <w:t>契約撤銷權</w:t>
      </w:r>
    </w:p>
    <w:p>
      <w:pPr>
        <w:pStyle w:val="BodyText"/>
        <w:spacing w:line="236" w:lineRule="exact"/>
        <w:ind w:left="813"/>
      </w:pPr>
      <w:r>
        <w:rPr/>
        <w:t>要保人於保險單送達的翌日起算十日內，得以書面或其他約定方式檢同保險單向本公司撤銷本契約。</w:t>
      </w:r>
    </w:p>
    <w:p>
      <w:pPr>
        <w:pStyle w:val="BodyText"/>
        <w:spacing w:line="244" w:lineRule="auto" w:before="3"/>
        <w:ind w:left="813" w:right="310"/>
        <w:jc w:val="both"/>
      </w:pPr>
      <w:r>
        <w:rPr>
          <w:w w:val="95"/>
        </w:rPr>
        <w:t>要保人依前項規定行使本契約撤銷權者，撤銷的效力應自要保人書面或其他約定方式之意思表示到達翌</w:t>
      </w:r>
      <w:r>
        <w:rPr>
          <w:spacing w:val="208"/>
        </w:rPr>
        <w:t> </w:t>
      </w:r>
      <w:r>
        <w:rPr>
          <w:w w:val="95"/>
        </w:rPr>
        <w:t>日零時起生效，本契約自始無效，本公司應無息退還要保人所繳保險費；本契約撤銷生效後所發生的保</w:t>
      </w:r>
      <w:r>
        <w:rPr>
          <w:spacing w:val="208"/>
        </w:rPr>
        <w:t> </w:t>
      </w:r>
      <w:r>
        <w:rPr>
          <w:w w:val="95"/>
        </w:rPr>
        <w:t>險事故，本公司不負保險責任。但契約撤銷生效前，若發生保險事故者，視為未撤銷，本公司仍應依本</w:t>
      </w:r>
      <w:r>
        <w:rPr>
          <w:spacing w:val="198"/>
        </w:rPr>
        <w:t> </w:t>
      </w:r>
      <w:r>
        <w:rPr/>
        <w:t>契約規定負保險責任。</w:t>
      </w:r>
    </w:p>
    <w:p>
      <w:pPr>
        <w:pStyle w:val="BodyText"/>
        <w:spacing w:before="11"/>
        <w:ind w:left="0"/>
        <w:rPr>
          <w:sz w:val="14"/>
        </w:rPr>
      </w:pPr>
    </w:p>
    <w:p>
      <w:pPr>
        <w:pStyle w:val="Heading1"/>
        <w:tabs>
          <w:tab w:pos="1014" w:val="left" w:leader="none"/>
        </w:tabs>
      </w:pPr>
      <w:r>
        <w:rPr/>
        <w:t>第八條</w:t>
        <w:tab/>
        <w:t>保險範圍</w:t>
      </w:r>
    </w:p>
    <w:p>
      <w:pPr>
        <w:pStyle w:val="BodyText"/>
        <w:spacing w:line="235" w:lineRule="exact"/>
        <w:ind w:left="813"/>
      </w:pPr>
      <w:r>
        <w:rPr>
          <w:w w:val="95"/>
        </w:rPr>
        <w:t>被保險人於本契約有效期間內身故、致成完全失能程度或於每一保險單週年日(含保險年齡到達一百零</w:t>
      </w:r>
    </w:p>
    <w:p>
      <w:pPr>
        <w:pStyle w:val="BodyText"/>
        <w:spacing w:before="3"/>
        <w:ind w:left="813"/>
      </w:pPr>
      <w:r>
        <w:rPr/>
        <w:t>五歲之保險單週年日)仍生存者，本公司依照第十六條至第十九條之約定，給付保險金。</w:t>
      </w:r>
    </w:p>
    <w:p>
      <w:pPr>
        <w:pStyle w:val="BodyText"/>
        <w:spacing w:before="6"/>
        <w:ind w:left="0"/>
        <w:rPr>
          <w:sz w:val="15"/>
        </w:rPr>
      </w:pPr>
    </w:p>
    <w:p>
      <w:pPr>
        <w:pStyle w:val="Heading1"/>
        <w:tabs>
          <w:tab w:pos="1014" w:val="left" w:leader="none"/>
        </w:tabs>
      </w:pPr>
      <w:r>
        <w:rPr/>
        <w:t>第九條</w:t>
        <w:tab/>
        <w:t>第二期以後保險費的交付、寬限期間及契約效力的停止</w:t>
      </w:r>
    </w:p>
    <w:p>
      <w:pPr>
        <w:pStyle w:val="BodyText"/>
        <w:spacing w:line="235" w:lineRule="exact"/>
        <w:ind w:left="813"/>
      </w:pPr>
      <w:r>
        <w:rPr>
          <w:w w:val="95"/>
        </w:rPr>
        <w:t>分期繳納的第二期以後保險費，要保人應以本契約商品貨幣（美元），存匯入本公司指定之外匯存款帳</w:t>
      </w:r>
    </w:p>
    <w:p>
      <w:pPr>
        <w:pStyle w:val="BodyText"/>
        <w:spacing w:line="242" w:lineRule="auto" w:before="5"/>
        <w:ind w:left="813" w:right="314"/>
      </w:pPr>
      <w:r>
        <w:rPr>
          <w:w w:val="95"/>
        </w:rPr>
        <w:t>戶，本公司將交付開發之憑證。第二期以後分期保險費到期未交付時，年繳或半年繳者，自催告到達翌</w:t>
      </w:r>
      <w:r>
        <w:rPr>
          <w:spacing w:val="204"/>
        </w:rPr>
        <w:t> </w:t>
      </w:r>
      <w:r>
        <w:rPr>
          <w:w w:val="95"/>
        </w:rPr>
        <w:t>日起三十日內為寬限期間；月繳或季繳者，則不另為催告，自保險單所載交付日期之翌日起三十日為寬</w:t>
      </w:r>
    </w:p>
    <w:p>
      <w:pPr>
        <w:spacing w:after="0" w:line="242" w:lineRule="auto"/>
        <w:sectPr>
          <w:pgSz w:w="11910" w:h="16850"/>
          <w:pgMar w:header="0" w:footer="855" w:top="1360" w:bottom="1040" w:left="920" w:right="820"/>
        </w:sectPr>
      </w:pPr>
    </w:p>
    <w:p>
      <w:pPr>
        <w:pStyle w:val="BodyText"/>
        <w:spacing w:before="47"/>
        <w:ind w:left="813"/>
      </w:pPr>
      <w:r>
        <w:rPr/>
        <w:t>限期間。</w:t>
      </w:r>
    </w:p>
    <w:p>
      <w:pPr>
        <w:pStyle w:val="BodyText"/>
        <w:spacing w:line="242" w:lineRule="auto" w:before="3"/>
        <w:ind w:left="813" w:right="317"/>
      </w:pPr>
      <w:r>
        <w:rPr>
          <w:w w:val="95"/>
        </w:rPr>
        <w:t>約定以金融機構轉帳或其他方式交付第二期以後的分期保險費者，本公司於知悉未能依此項約定受領保</w:t>
      </w:r>
      <w:r>
        <w:rPr>
          <w:spacing w:val="191"/>
        </w:rPr>
        <w:t> </w:t>
      </w:r>
      <w:r>
        <w:rPr/>
        <w:t>險費時，應催告要保人交付保險費，自催告到達翌日起三十日內為寬限期間。</w:t>
      </w:r>
    </w:p>
    <w:p>
      <w:pPr>
        <w:pStyle w:val="BodyText"/>
        <w:spacing w:line="242" w:lineRule="auto" w:before="3"/>
        <w:ind w:left="813" w:right="317"/>
      </w:pPr>
      <w:r>
        <w:rPr>
          <w:w w:val="95"/>
        </w:rPr>
        <w:t>前二項對要保人之催告，本公司另應通知被保險人以確保其權益。對被保險人之通知，依最後留存於本</w:t>
      </w:r>
      <w:r>
        <w:rPr>
          <w:spacing w:val="191"/>
        </w:rPr>
        <w:t> </w:t>
      </w:r>
      <w:r>
        <w:rPr/>
        <w:t>公司之聯絡資料，以書面、電子郵件、簡訊或其他約定方式擇一發出通知者，視為已完成。</w:t>
      </w:r>
    </w:p>
    <w:p>
      <w:pPr>
        <w:pStyle w:val="BodyText"/>
        <w:spacing w:line="244" w:lineRule="auto" w:before="1"/>
        <w:ind w:left="813" w:right="317"/>
      </w:pPr>
      <w:r>
        <w:rPr>
          <w:w w:val="95"/>
        </w:rPr>
        <w:t>逾寬限期間仍未交付者，本契約自寬限期間終了翌日起停止效力。如在寬限期間內發生保險事故時，本</w:t>
      </w:r>
      <w:r>
        <w:rPr>
          <w:spacing w:val="191"/>
        </w:rPr>
        <w:t> </w:t>
      </w:r>
      <w:r>
        <w:rPr/>
        <w:t>公司仍負保險責任。</w:t>
      </w:r>
    </w:p>
    <w:p>
      <w:pPr>
        <w:pStyle w:val="BodyText"/>
        <w:spacing w:before="12"/>
        <w:ind w:left="0"/>
        <w:rPr>
          <w:sz w:val="14"/>
        </w:rPr>
      </w:pPr>
    </w:p>
    <w:p>
      <w:pPr>
        <w:pStyle w:val="Heading1"/>
        <w:tabs>
          <w:tab w:pos="1014" w:val="left" w:leader="none"/>
        </w:tabs>
        <w:spacing w:line="348" w:lineRule="exact"/>
      </w:pPr>
      <w:r>
        <w:rPr/>
        <w:t>第十條</w:t>
        <w:tab/>
        <w:t>保險費的墊繳及契約效力的停止</w:t>
      </w:r>
    </w:p>
    <w:p>
      <w:pPr>
        <w:pStyle w:val="BodyText"/>
        <w:spacing w:line="236" w:lineRule="exact"/>
        <w:ind w:left="813"/>
      </w:pPr>
      <w:r>
        <w:rPr>
          <w:w w:val="95"/>
        </w:rPr>
        <w:t>要保人得於要保書或繳費寬限期間終了前以書面或其他約定方式聲明，第二期以後的分期保險費於超過</w:t>
      </w:r>
    </w:p>
    <w:p>
      <w:pPr>
        <w:pStyle w:val="BodyText"/>
        <w:spacing w:line="244" w:lineRule="auto" w:before="3"/>
        <w:ind w:left="813" w:right="310"/>
        <w:jc w:val="both"/>
      </w:pPr>
      <w:r>
        <w:rPr/>
        <w:drawing>
          <wp:anchor distT="0" distB="0" distL="0" distR="0" allowOverlap="1" layoutInCell="1" locked="0" behindDoc="1" simplePos="0" relativeHeight="487353856">
            <wp:simplePos x="0" y="0"/>
            <wp:positionH relativeFrom="page">
              <wp:posOffset>2873390</wp:posOffset>
            </wp:positionH>
            <wp:positionV relativeFrom="paragraph">
              <wp:posOffset>598408</wp:posOffset>
            </wp:positionV>
            <wp:extent cx="1837032" cy="4425975"/>
            <wp:effectExtent l="0" t="0" r="0" b="0"/>
            <wp:wrapNone/>
            <wp:docPr id="5" name="image1.png"/>
            <wp:cNvGraphicFramePr>
              <a:graphicFrameLocks noChangeAspect="1"/>
            </wp:cNvGraphicFramePr>
            <a:graphic>
              <a:graphicData uri="http://schemas.openxmlformats.org/drawingml/2006/picture">
                <pic:pic>
                  <pic:nvPicPr>
                    <pic:cNvPr id="6" name="image1.png"/>
                    <pic:cNvPicPr/>
                  </pic:nvPicPr>
                  <pic:blipFill>
                    <a:blip r:embed="rId7" cstate="print"/>
                    <a:stretch>
                      <a:fillRect/>
                    </a:stretch>
                  </pic:blipFill>
                  <pic:spPr>
                    <a:xfrm>
                      <a:off x="0" y="0"/>
                      <a:ext cx="1837032" cy="4425975"/>
                    </a:xfrm>
                    <a:prstGeom prst="rect">
                      <a:avLst/>
                    </a:prstGeom>
                  </pic:spPr>
                </pic:pic>
              </a:graphicData>
            </a:graphic>
          </wp:anchor>
        </w:drawing>
      </w:r>
      <w:r>
        <w:rPr>
          <w:w w:val="95"/>
        </w:rPr>
        <w:t>寬限期間仍未交付者，本公司應以本契約當時的保單價值準備金（如有保險單借款者，以扣除其借款本</w:t>
      </w:r>
      <w:r>
        <w:rPr>
          <w:spacing w:val="208"/>
        </w:rPr>
        <w:t> </w:t>
      </w:r>
      <w:r>
        <w:rPr>
          <w:w w:val="95"/>
        </w:rPr>
        <w:t>息後的餘額）自動墊繳本契約及附加於本契約之所有附約、附加條款、批註條款應繳的保險費及利息，</w:t>
      </w:r>
      <w:r>
        <w:rPr>
          <w:spacing w:val="208"/>
        </w:rPr>
        <w:t> </w:t>
      </w:r>
      <w:r>
        <w:rPr>
          <w:w w:val="95"/>
        </w:rPr>
        <w:t>使其繼續有效。但要保人亦得於次一墊繳日前以書面或其他約定方式通知本公司停止保險費的自動墊</w:t>
      </w:r>
      <w:r>
        <w:rPr>
          <w:spacing w:val="148"/>
        </w:rPr>
        <w:t> </w:t>
      </w:r>
      <w:r>
        <w:rPr>
          <w:spacing w:val="149"/>
        </w:rPr>
        <w:t> </w:t>
      </w:r>
      <w:r>
        <w:rPr>
          <w:w w:val="95"/>
        </w:rPr>
        <w:t>繳。墊繳保險費的利息，自寬限期間終了的翌日起，按墊繳當時本公司公告的保險費墊繳利率計算（不</w:t>
      </w:r>
      <w:r>
        <w:rPr>
          <w:spacing w:val="208"/>
        </w:rPr>
        <w:t> </w:t>
      </w:r>
      <w:r>
        <w:rPr>
          <w:w w:val="95"/>
        </w:rPr>
        <w:t>得超過本保險單辦理保險單借款的利率），並應於墊繳日後之翌日起開始償付利息；但要保人自應償付</w:t>
      </w:r>
      <w:r>
        <w:rPr>
          <w:spacing w:val="208"/>
        </w:rPr>
        <w:t> </w:t>
      </w:r>
      <w:r>
        <w:rPr>
          <w:w w:val="95"/>
        </w:rPr>
        <w:t>利息之日起，未付利息已逾一年以上而經催告後仍未償付者，本公司得將其利息滾入墊繳保險費後再行</w:t>
      </w:r>
      <w:r>
        <w:rPr>
          <w:spacing w:val="198"/>
        </w:rPr>
        <w:t> </w:t>
      </w:r>
      <w:r>
        <w:rPr/>
        <w:t>計息。</w:t>
      </w:r>
    </w:p>
    <w:p>
      <w:pPr>
        <w:pStyle w:val="BodyText"/>
        <w:spacing w:line="244" w:lineRule="auto"/>
        <w:ind w:left="813" w:right="308"/>
        <w:jc w:val="both"/>
      </w:pPr>
      <w:r>
        <w:rPr>
          <w:w w:val="95"/>
        </w:rPr>
        <w:t>前項每次墊繳保險費的本息，本公司應即出具憑證交予要保人，並於憑證上載明墊繳之本息及本契約保</w:t>
      </w:r>
      <w:r>
        <w:rPr>
          <w:spacing w:val="210"/>
        </w:rPr>
        <w:t> </w:t>
      </w:r>
      <w:r>
        <w:rPr>
          <w:w w:val="95"/>
        </w:rPr>
        <w:t>單價值準備金之餘額。保單價值準備金之餘額不足墊繳一日的保險費且經催告到達後屆三十日仍不交付</w:t>
      </w:r>
      <w:r>
        <w:rPr>
          <w:spacing w:val="190"/>
        </w:rPr>
        <w:t> </w:t>
      </w:r>
      <w:r>
        <w:rPr/>
        <w:t>時，本契約效力停止。</w:t>
      </w:r>
    </w:p>
    <w:p>
      <w:pPr>
        <w:pStyle w:val="BodyText"/>
        <w:spacing w:line="252" w:lineRule="exact"/>
        <w:ind w:left="813"/>
      </w:pPr>
      <w:r>
        <w:rPr/>
        <w:t>前項對要保人之催告，另應以第九條第三項方式通知被保險人以確保其權益。</w:t>
      </w:r>
    </w:p>
    <w:p>
      <w:pPr>
        <w:pStyle w:val="BodyText"/>
        <w:spacing w:before="9"/>
        <w:ind w:left="0"/>
        <w:rPr>
          <w:sz w:val="14"/>
        </w:rPr>
      </w:pPr>
    </w:p>
    <w:p>
      <w:pPr>
        <w:pStyle w:val="Heading1"/>
        <w:tabs>
          <w:tab w:pos="1216" w:val="left" w:leader="none"/>
        </w:tabs>
      </w:pPr>
      <w:r>
        <w:rPr/>
        <w:t>第十一條</w:t>
        <w:tab/>
        <w:t>本契約效力的恢復</w:t>
      </w:r>
    </w:p>
    <w:p>
      <w:pPr>
        <w:pStyle w:val="BodyText"/>
        <w:spacing w:line="235" w:lineRule="exact"/>
        <w:ind w:left="1012"/>
      </w:pPr>
      <w:r>
        <w:rPr/>
        <w:t>本契約停止效力後，要保人得在停效日起二年內，申請復效。但保險期間屆滿後不得申請復效。</w:t>
      </w:r>
    </w:p>
    <w:p>
      <w:pPr>
        <w:pStyle w:val="BodyText"/>
        <w:spacing w:line="242" w:lineRule="auto" w:before="6"/>
        <w:ind w:left="1012" w:right="317"/>
      </w:pPr>
      <w:r>
        <w:rPr>
          <w:w w:val="95"/>
        </w:rPr>
        <w:t>要保人於停止效力之日起六個月內提出前項復效申請，並經要保人清償保險費扣除停效期間的危險保</w:t>
      </w:r>
      <w:r>
        <w:rPr>
          <w:spacing w:val="182"/>
        </w:rPr>
        <w:t> </w:t>
      </w:r>
      <w:r>
        <w:rPr/>
        <w:t>險費後之餘額，自翌日上午零時起，開始恢復其效力。</w:t>
      </w:r>
    </w:p>
    <w:p>
      <w:pPr>
        <w:pStyle w:val="BodyText"/>
        <w:spacing w:line="244" w:lineRule="auto"/>
        <w:ind w:left="1012" w:right="309"/>
        <w:jc w:val="both"/>
      </w:pPr>
      <w:r>
        <w:rPr>
          <w:w w:val="95"/>
        </w:rPr>
        <w:t>要保人於停止效力之日起六個月後提出第一項之復效申請者，本公司得於要保人之復效申請送達本公</w:t>
      </w:r>
      <w:r>
        <w:rPr>
          <w:spacing w:val="200"/>
        </w:rPr>
        <w:t> </w:t>
      </w:r>
      <w:r>
        <w:rPr>
          <w:w w:val="95"/>
        </w:rPr>
        <w:t>司之日起五日內要求要保人提供被保險人之可保證明。要保人如未於十日內交齊本公司要求提供之可</w:t>
      </w:r>
      <w:r>
        <w:rPr>
          <w:spacing w:val="190"/>
        </w:rPr>
        <w:t> </w:t>
      </w:r>
      <w:r>
        <w:rPr/>
        <w:t>保證明者，本公司得退回該次復效之申請。</w:t>
      </w:r>
    </w:p>
    <w:p>
      <w:pPr>
        <w:pStyle w:val="BodyText"/>
        <w:spacing w:line="253" w:lineRule="exact"/>
        <w:ind w:left="1012"/>
      </w:pPr>
      <w:r>
        <w:rPr/>
        <w:t>被保險人之危險程度有重大變更已達拒絕承保程度者，本公司得拒絕其復效。</w:t>
      </w:r>
    </w:p>
    <w:p>
      <w:pPr>
        <w:pStyle w:val="BodyText"/>
        <w:spacing w:line="242" w:lineRule="auto" w:before="6"/>
        <w:ind w:left="1012" w:right="317"/>
      </w:pPr>
      <w:r>
        <w:rPr>
          <w:w w:val="95"/>
        </w:rPr>
        <w:t>本公司未於第三項約定期限內要求要保人提供可保證明，或於收齊可保證明後十五日內不為拒絕者，</w:t>
      </w:r>
      <w:r>
        <w:rPr>
          <w:spacing w:val="182"/>
        </w:rPr>
        <w:t> </w:t>
      </w:r>
      <w:r>
        <w:rPr/>
        <w:t>視為同意復效，並經要保人清償第二項所約定之金額後，自翌日上午零時起，開始恢復其效力。</w:t>
      </w:r>
    </w:p>
    <w:p>
      <w:pPr>
        <w:pStyle w:val="BodyText"/>
        <w:spacing w:line="244" w:lineRule="auto" w:before="1"/>
        <w:ind w:left="1012" w:right="317"/>
      </w:pPr>
      <w:r>
        <w:rPr>
          <w:w w:val="95"/>
        </w:rPr>
        <w:t>要保人依第三項提出申請復效者，除有同項後段或第四項之情形外，於交齊可保證明，並清償第二項</w:t>
      </w:r>
      <w:r>
        <w:rPr>
          <w:spacing w:val="182"/>
        </w:rPr>
        <w:t> </w:t>
      </w:r>
      <w:r>
        <w:rPr/>
        <w:t>所約定之金額後，自翌日上午零時起，開始恢復其效力。</w:t>
      </w:r>
    </w:p>
    <w:p>
      <w:pPr>
        <w:pStyle w:val="BodyText"/>
        <w:spacing w:line="244" w:lineRule="auto"/>
        <w:ind w:left="1012" w:right="309"/>
        <w:jc w:val="both"/>
      </w:pPr>
      <w:r>
        <w:rPr>
          <w:w w:val="95"/>
        </w:rPr>
        <w:t>本契約因第十條第二項或第三十二條約定停止效力而申請復效者，除復效程序依前六項約定辦理外，</w:t>
      </w:r>
      <w:r>
        <w:rPr>
          <w:spacing w:val="200"/>
        </w:rPr>
        <w:t> </w:t>
      </w:r>
      <w:r>
        <w:rPr>
          <w:w w:val="95"/>
        </w:rPr>
        <w:t>要保人清償保險單借款本息與墊繳保險費及其利息，其未償餘額合計不得逾依第三十二條第一項約定</w:t>
      </w:r>
      <w:r>
        <w:rPr>
          <w:spacing w:val="190"/>
        </w:rPr>
        <w:t> </w:t>
      </w:r>
      <w:r>
        <w:rPr/>
        <w:t>之保險單借款可借金額上限。</w:t>
      </w:r>
    </w:p>
    <w:p>
      <w:pPr>
        <w:pStyle w:val="BodyText"/>
        <w:spacing w:line="242" w:lineRule="auto"/>
        <w:ind w:left="1012" w:right="317"/>
        <w:jc w:val="both"/>
      </w:pPr>
      <w:r>
        <w:rPr>
          <w:w w:val="95"/>
        </w:rPr>
        <w:t>基於保戶服務，本公司於保險契約停止效力後至得申請復效之期限屆滿前三個月，將以書面、電子郵</w:t>
      </w:r>
      <w:r>
        <w:rPr>
          <w:spacing w:val="192"/>
        </w:rPr>
        <w:t> </w:t>
      </w:r>
      <w:r>
        <w:rPr>
          <w:w w:val="95"/>
        </w:rPr>
        <w:t>件、簡訊或其他約定方式擇一通知要保人有行使第一項申請復效之權利，並載明要保人未於第一項約</w:t>
      </w:r>
      <w:r>
        <w:rPr>
          <w:spacing w:val="192"/>
        </w:rPr>
        <w:t> </w:t>
      </w:r>
      <w:r>
        <w:rPr>
          <w:w w:val="95"/>
        </w:rPr>
        <w:t>定期限屆滿前恢復保單效力者，契約效力將自第一項約定期限屆滿之日翌日上午零時起終止，以提醒</w:t>
      </w:r>
      <w:r>
        <w:rPr>
          <w:spacing w:val="182"/>
        </w:rPr>
        <w:t> </w:t>
      </w:r>
      <w:r>
        <w:rPr/>
        <w:t>要保人注意。</w:t>
      </w:r>
    </w:p>
    <w:p>
      <w:pPr>
        <w:pStyle w:val="BodyText"/>
        <w:ind w:left="1012"/>
      </w:pPr>
      <w:r>
        <w:rPr/>
        <w:t>本公司已依要保人最後留於本公司之前項聯絡資料發出通知，視為已完成前項之通知。</w:t>
      </w:r>
    </w:p>
    <w:p>
      <w:pPr>
        <w:pStyle w:val="BodyText"/>
        <w:spacing w:line="242" w:lineRule="auto" w:before="3"/>
        <w:ind w:left="1012" w:right="314"/>
      </w:pPr>
      <w:r>
        <w:rPr>
          <w:w w:val="95"/>
        </w:rPr>
        <w:t>第一項約定期限屆滿時，本契約效力即行終止，本契約若累積達有保單價值準備金，而要保人未申請</w:t>
      </w:r>
      <w:r>
        <w:rPr>
          <w:spacing w:val="185"/>
        </w:rPr>
        <w:t> </w:t>
      </w:r>
      <w:r>
        <w:rPr/>
        <w:t>墊繳保險費或變更契約內容時，本公司應主動退還剩餘之保單價值準備金。</w:t>
      </w:r>
    </w:p>
    <w:p>
      <w:pPr>
        <w:pStyle w:val="BodyText"/>
        <w:spacing w:before="4"/>
        <w:ind w:left="0"/>
        <w:rPr>
          <w:sz w:val="15"/>
        </w:rPr>
      </w:pPr>
    </w:p>
    <w:p>
      <w:pPr>
        <w:pStyle w:val="Heading1"/>
        <w:tabs>
          <w:tab w:pos="1216" w:val="left" w:leader="none"/>
        </w:tabs>
        <w:spacing w:before="1"/>
      </w:pPr>
      <w:r>
        <w:rPr/>
        <w:t>第十二條</w:t>
        <w:tab/>
        <w:t>告知義務與本契約的解除</w:t>
      </w:r>
    </w:p>
    <w:p>
      <w:pPr>
        <w:pStyle w:val="BodyText"/>
        <w:spacing w:line="235" w:lineRule="exact"/>
        <w:ind w:left="1012"/>
      </w:pPr>
      <w:r>
        <w:rPr>
          <w:w w:val="95"/>
        </w:rPr>
        <w:t>要保人或被保險人在訂立本契約時，對於本公司要保書書面詢問的告知事項應據實說明，如有為隱匿</w:t>
      </w:r>
    </w:p>
    <w:p>
      <w:pPr>
        <w:pStyle w:val="BodyText"/>
        <w:spacing w:line="244" w:lineRule="auto" w:before="3"/>
        <w:ind w:left="1012" w:right="317"/>
      </w:pPr>
      <w:r>
        <w:rPr>
          <w:w w:val="95"/>
        </w:rPr>
        <w:t>或遺漏不為說明，或為不實的說明，足以變更或減少本公司對於危險的估計者，本公司得解除契約，</w:t>
      </w:r>
      <w:r>
        <w:rPr>
          <w:spacing w:val="182"/>
        </w:rPr>
        <w:t> </w:t>
      </w:r>
      <w:r>
        <w:rPr/>
        <w:t>其保險事故發生後亦同。但危險的發生未基於其說明或未說明的事實時，不在此限。</w:t>
      </w:r>
    </w:p>
    <w:p>
      <w:pPr>
        <w:pStyle w:val="BodyText"/>
        <w:spacing w:line="242" w:lineRule="auto"/>
        <w:ind w:left="1012" w:right="316"/>
      </w:pPr>
      <w:r>
        <w:rPr>
          <w:w w:val="95"/>
        </w:rPr>
        <w:t>前項解除契約權，自本公司知有解除之原因後，經過一個月不行使而消滅；或自契約訂立後，經過二</w:t>
      </w:r>
      <w:r>
        <w:rPr>
          <w:spacing w:val="183"/>
        </w:rPr>
        <w:t> </w:t>
      </w:r>
      <w:r>
        <w:rPr/>
        <w:t>年不行使而消滅。</w:t>
      </w:r>
    </w:p>
    <w:p>
      <w:pPr>
        <w:spacing w:after="0" w:line="242" w:lineRule="auto"/>
        <w:sectPr>
          <w:pgSz w:w="11910" w:h="16850"/>
          <w:pgMar w:header="0" w:footer="855" w:top="1360" w:bottom="1040" w:left="920" w:right="820"/>
        </w:sectPr>
      </w:pPr>
    </w:p>
    <w:p>
      <w:pPr>
        <w:pStyle w:val="Heading1"/>
        <w:tabs>
          <w:tab w:pos="1216" w:val="left" w:leader="none"/>
        </w:tabs>
        <w:spacing w:line="328" w:lineRule="exact"/>
      </w:pPr>
      <w:r>
        <w:rPr/>
        <w:t>第十三條</w:t>
        <w:tab/>
        <w:t>契約的終止（一）</w:t>
      </w:r>
    </w:p>
    <w:p>
      <w:pPr>
        <w:pStyle w:val="BodyText"/>
        <w:spacing w:line="235" w:lineRule="exact"/>
        <w:ind w:left="1012"/>
      </w:pPr>
      <w:r>
        <w:rPr/>
        <w:t>要保人得隨時終止本契約。</w:t>
      </w:r>
    </w:p>
    <w:p>
      <w:pPr>
        <w:pStyle w:val="BodyText"/>
        <w:spacing w:before="3"/>
        <w:ind w:left="1012"/>
      </w:pPr>
      <w:r>
        <w:rPr/>
        <w:t>前項契約之終止，自本公司收到要保人書面或其他約定方式通知時，開始生效。</w:t>
      </w:r>
    </w:p>
    <w:p>
      <w:pPr>
        <w:pStyle w:val="BodyText"/>
        <w:spacing w:line="242" w:lineRule="auto" w:before="5"/>
        <w:ind w:left="1012" w:right="317"/>
        <w:jc w:val="both"/>
      </w:pPr>
      <w:r>
        <w:rPr>
          <w:w w:val="95"/>
        </w:rPr>
        <w:t>要保人保險費已付足達一年以上或繳費累積達有保單價值準備金而終止契約時，本公司應於接到通知</w:t>
      </w:r>
      <w:r>
        <w:rPr>
          <w:spacing w:val="192"/>
        </w:rPr>
        <w:t> </w:t>
      </w:r>
      <w:r>
        <w:rPr>
          <w:w w:val="95"/>
        </w:rPr>
        <w:t>後一個月內償付解約金。逾期本公司應加計利息給付，其利息按年利率一分計算。本契約歷年解約金</w:t>
      </w:r>
      <w:r>
        <w:rPr>
          <w:spacing w:val="182"/>
        </w:rPr>
        <w:t> </w:t>
      </w:r>
      <w:r>
        <w:rPr/>
        <w:t>額如保險單之解約金額附表。</w:t>
      </w:r>
    </w:p>
    <w:p>
      <w:pPr>
        <w:pStyle w:val="BodyText"/>
        <w:spacing w:before="4"/>
        <w:ind w:left="0"/>
        <w:rPr>
          <w:sz w:val="15"/>
        </w:rPr>
      </w:pPr>
    </w:p>
    <w:p>
      <w:pPr>
        <w:pStyle w:val="Heading1"/>
        <w:tabs>
          <w:tab w:pos="1216" w:val="left" w:leader="none"/>
        </w:tabs>
        <w:spacing w:before="1"/>
      </w:pPr>
      <w:r>
        <w:rPr/>
        <w:t>第十四條</w:t>
        <w:tab/>
        <w:t>契約的終止（二）</w:t>
      </w:r>
    </w:p>
    <w:p>
      <w:pPr>
        <w:pStyle w:val="BodyText"/>
        <w:spacing w:line="235" w:lineRule="exact"/>
        <w:ind w:left="1012"/>
      </w:pPr>
      <w:r>
        <w:rPr/>
        <w:t>本契約有下列情形之一時，其效力即行終止：</w:t>
      </w:r>
    </w:p>
    <w:p>
      <w:pPr>
        <w:pStyle w:val="BodyText"/>
        <w:spacing w:before="5"/>
        <w:ind w:left="1012"/>
      </w:pPr>
      <w:r>
        <w:rPr/>
        <w:t>一、被保險人保險年齡到達一百零五歲之保險單週年日（本公司按第十七條約定給付保險金）。</w:t>
      </w:r>
    </w:p>
    <w:p>
      <w:pPr>
        <w:pStyle w:val="BodyText"/>
        <w:spacing w:line="242" w:lineRule="auto" w:before="3"/>
        <w:ind w:left="1413" w:right="311" w:hanging="401"/>
      </w:pPr>
      <w:r>
        <w:rPr>
          <w:w w:val="95"/>
        </w:rPr>
        <w:t>二、被保險人身故日（本公司按第十八條約定給付保險金，或依第二十六條第三項約定給付保單價值</w:t>
      </w:r>
      <w:r>
        <w:rPr>
          <w:spacing w:val="188"/>
        </w:rPr>
        <w:t> </w:t>
      </w:r>
      <w:r>
        <w:rPr/>
        <w:t>準備金）。</w:t>
      </w:r>
    </w:p>
    <w:p>
      <w:pPr>
        <w:pStyle w:val="BodyText"/>
        <w:spacing w:line="242" w:lineRule="auto" w:before="3"/>
        <w:ind w:left="1413" w:right="309" w:hanging="401"/>
      </w:pPr>
      <w:r>
        <w:rPr/>
        <w:drawing>
          <wp:anchor distT="0" distB="0" distL="0" distR="0" allowOverlap="1" layoutInCell="1" locked="0" behindDoc="1" simplePos="0" relativeHeight="487354368">
            <wp:simplePos x="0" y="0"/>
            <wp:positionH relativeFrom="page">
              <wp:posOffset>2873390</wp:posOffset>
            </wp:positionH>
            <wp:positionV relativeFrom="paragraph">
              <wp:posOffset>267700</wp:posOffset>
            </wp:positionV>
            <wp:extent cx="1837032" cy="4425975"/>
            <wp:effectExtent l="0" t="0" r="0" b="0"/>
            <wp:wrapNone/>
            <wp:docPr id="7" name="image1.png"/>
            <wp:cNvGraphicFramePr>
              <a:graphicFrameLocks noChangeAspect="1"/>
            </wp:cNvGraphicFramePr>
            <a:graphic>
              <a:graphicData uri="http://schemas.openxmlformats.org/drawingml/2006/picture">
                <pic:pic>
                  <pic:nvPicPr>
                    <pic:cNvPr id="8" name="image1.png"/>
                    <pic:cNvPicPr/>
                  </pic:nvPicPr>
                  <pic:blipFill>
                    <a:blip r:embed="rId7" cstate="print"/>
                    <a:stretch>
                      <a:fillRect/>
                    </a:stretch>
                  </pic:blipFill>
                  <pic:spPr>
                    <a:xfrm>
                      <a:off x="0" y="0"/>
                      <a:ext cx="1837032" cy="4425975"/>
                    </a:xfrm>
                    <a:prstGeom prst="rect">
                      <a:avLst/>
                    </a:prstGeom>
                  </pic:spPr>
                </pic:pic>
              </a:graphicData>
            </a:graphic>
          </wp:anchor>
        </w:drawing>
      </w:r>
      <w:r>
        <w:rPr>
          <w:w w:val="95"/>
        </w:rPr>
        <w:t>三、被保險人完全失能診斷確定日（本公司按第十九條約定給付保險金，或依第二十六條第三項約定</w:t>
      </w:r>
      <w:r>
        <w:rPr>
          <w:spacing w:val="190"/>
        </w:rPr>
        <w:t> </w:t>
      </w:r>
      <w:r>
        <w:rPr/>
        <w:t>給付保單價值準備金）。</w:t>
      </w:r>
    </w:p>
    <w:p>
      <w:pPr>
        <w:pStyle w:val="BodyText"/>
        <w:spacing w:before="8"/>
        <w:ind w:left="0"/>
      </w:pPr>
    </w:p>
    <w:p>
      <w:pPr>
        <w:pStyle w:val="Heading1"/>
        <w:tabs>
          <w:tab w:pos="1216" w:val="left" w:leader="none"/>
        </w:tabs>
        <w:spacing w:line="343" w:lineRule="exact"/>
      </w:pPr>
      <w:r>
        <w:rPr/>
        <w:t>第十五條</w:t>
        <w:tab/>
      </w:r>
      <w:r>
        <w:rPr>
          <w:w w:val="95"/>
        </w:rPr>
        <w:t>增值回饋分享金的給付方式</w:t>
      </w:r>
    </w:p>
    <w:p>
      <w:pPr>
        <w:pStyle w:val="BodyText"/>
        <w:spacing w:line="231" w:lineRule="exact"/>
        <w:ind w:left="1012"/>
      </w:pPr>
      <w:r>
        <w:rPr>
          <w:w w:val="95"/>
        </w:rPr>
        <w:t>本公司於本契約有效期間內之每一保險單週年日，以增值回饋分享金作為躉繳純保險費，計算自該保</w:t>
      </w:r>
    </w:p>
    <w:p>
      <w:pPr>
        <w:pStyle w:val="BodyText"/>
        <w:spacing w:line="244" w:lineRule="auto" w:before="3"/>
        <w:ind w:left="1012" w:right="310"/>
      </w:pPr>
      <w:r>
        <w:rPr>
          <w:w w:val="95"/>
        </w:rPr>
        <w:t>險單週年日當日起生效之增額繳清保險金額。但被保險人為受監護宣告尚未撤銷者，應依第十八條約</w:t>
      </w:r>
      <w:r>
        <w:rPr>
          <w:spacing w:val="189"/>
        </w:rPr>
        <w:t> </w:t>
      </w:r>
      <w:r>
        <w:rPr/>
        <w:t>定辦理。</w:t>
      </w:r>
    </w:p>
    <w:p>
      <w:pPr>
        <w:pStyle w:val="BodyText"/>
        <w:spacing w:line="244" w:lineRule="auto"/>
        <w:ind w:left="1012" w:right="308"/>
        <w:jc w:val="both"/>
      </w:pPr>
      <w:r>
        <w:rPr>
          <w:w w:val="95"/>
        </w:rPr>
        <w:t>本契約之增值回饋分享金自第七保險單年度起，得依要保人之申請，變更為儲存生息之方式，逐月以</w:t>
      </w:r>
      <w:r>
        <w:rPr>
          <w:spacing w:val="191"/>
        </w:rPr>
        <w:t> </w:t>
      </w:r>
      <w:r>
        <w:rPr>
          <w:w w:val="95"/>
        </w:rPr>
        <w:t>各月宣告利率，依據複利方式累積至要保人請求時給付，或至被保險人身故、完全失能或本契約終止</w:t>
      </w:r>
      <w:r>
        <w:rPr>
          <w:spacing w:val="191"/>
        </w:rPr>
        <w:t> </w:t>
      </w:r>
      <w:r>
        <w:rPr/>
        <w:t>時，由本公司主動一併給付。</w:t>
      </w:r>
    </w:p>
    <w:p>
      <w:pPr>
        <w:pStyle w:val="BodyText"/>
        <w:spacing w:line="242" w:lineRule="auto"/>
        <w:ind w:left="1012" w:right="316"/>
      </w:pPr>
      <w:r>
        <w:rPr>
          <w:w w:val="95"/>
        </w:rPr>
        <w:t>如被保險人於該保險單週年日保險年齡未滿十六歲者，本公司將改以下列方式處理，不適用前二項之</w:t>
      </w:r>
      <w:r>
        <w:rPr>
          <w:spacing w:val="183"/>
        </w:rPr>
        <w:t> </w:t>
      </w:r>
      <w:r>
        <w:rPr/>
        <w:t>約定：</w:t>
      </w:r>
    </w:p>
    <w:p>
      <w:pPr>
        <w:pStyle w:val="BodyText"/>
        <w:ind w:left="1012"/>
      </w:pPr>
      <w:r>
        <w:rPr/>
        <w:t>一、繳費期間內：增值回饋分享金將以抵繳保險費方式辦理。</w:t>
      </w:r>
    </w:p>
    <w:p>
      <w:pPr>
        <w:pStyle w:val="BodyText"/>
        <w:spacing w:line="244" w:lineRule="auto"/>
        <w:ind w:left="1413" w:right="314" w:hanging="401"/>
        <w:jc w:val="both"/>
      </w:pPr>
      <w:r>
        <w:rPr>
          <w:w w:val="95"/>
        </w:rPr>
        <w:t>二、繳費期滿後：增值回饋分享金將依儲存生息之方式，逐月以各月宣告利率，依據複利方式累積至</w:t>
      </w:r>
      <w:r>
        <w:rPr>
          <w:spacing w:val="195"/>
        </w:rPr>
        <w:t> </w:t>
      </w:r>
      <w:r>
        <w:rPr>
          <w:w w:val="95"/>
        </w:rPr>
        <w:t>被保險人保險年齡到達十六歲的保險單週年日時，並以此累積之金額，作為躉繳純保險費，計算</w:t>
      </w:r>
      <w:r>
        <w:rPr>
          <w:spacing w:val="164"/>
        </w:rPr>
        <w:t> </w:t>
      </w:r>
      <w:r>
        <w:rPr/>
        <w:t>自該保險單週年日當日起生效之增額繳清保險金額。</w:t>
      </w:r>
    </w:p>
    <w:p>
      <w:pPr>
        <w:pStyle w:val="BodyText"/>
        <w:spacing w:line="242" w:lineRule="auto"/>
        <w:ind w:left="1012" w:right="309"/>
      </w:pPr>
      <w:r>
        <w:rPr/>
        <w:t>三、要保人依第三十條約定申請辦理減額繳清保險，而不必再繼續繳保險費時，依前款方式辦理。</w:t>
      </w:r>
      <w:r>
        <w:rPr>
          <w:spacing w:val="1"/>
        </w:rPr>
        <w:t> </w:t>
      </w:r>
      <w:r>
        <w:rPr>
          <w:w w:val="95"/>
        </w:rPr>
        <w:t>本公司於給付「身故保險金或喪葬費用保險金」、「完全失能保險金」或「祝壽保險金」時，本契約</w:t>
      </w:r>
      <w:r>
        <w:rPr>
          <w:spacing w:val="200"/>
        </w:rPr>
        <w:t> </w:t>
      </w:r>
      <w:r>
        <w:rPr>
          <w:w w:val="95"/>
        </w:rPr>
        <w:t>如有要保人尚未請求的儲存生息金額者，一併給付予該保險金受益人。但本契約係因第十一條第十</w:t>
      </w:r>
      <w:r>
        <w:rPr>
          <w:spacing w:val="132"/>
        </w:rPr>
        <w:t> </w:t>
      </w:r>
      <w:r>
        <w:rPr>
          <w:spacing w:val="133"/>
        </w:rPr>
        <w:t> </w:t>
      </w:r>
      <w:r>
        <w:rPr/>
        <w:t>項、第十三條或第二十六條第三項約定終止時，則給付予要保人或應得之人。</w:t>
      </w:r>
    </w:p>
    <w:p>
      <w:pPr>
        <w:pStyle w:val="BodyText"/>
        <w:spacing w:line="244" w:lineRule="auto"/>
        <w:ind w:left="1012" w:right="317"/>
      </w:pPr>
      <w:r>
        <w:rPr>
          <w:w w:val="95"/>
        </w:rPr>
        <w:t>本公司應就本條約定計算所得之增值回饋分享金或增額繳清保險金額，提供查詢介面供要保人查詢，</w:t>
      </w:r>
      <w:r>
        <w:rPr>
          <w:spacing w:val="182"/>
        </w:rPr>
        <w:t> </w:t>
      </w:r>
      <w:r>
        <w:rPr/>
        <w:t>或以書面或電子郵件通知要保人。</w:t>
      </w:r>
    </w:p>
    <w:p>
      <w:pPr>
        <w:pStyle w:val="BodyText"/>
        <w:spacing w:before="12"/>
        <w:ind w:left="0"/>
        <w:rPr>
          <w:sz w:val="14"/>
        </w:rPr>
      </w:pPr>
    </w:p>
    <w:p>
      <w:pPr>
        <w:pStyle w:val="Heading1"/>
        <w:tabs>
          <w:tab w:pos="1216" w:val="left" w:leader="none"/>
        </w:tabs>
        <w:spacing w:line="348" w:lineRule="exact"/>
      </w:pPr>
      <w:r>
        <w:rPr/>
        <w:t>第十六條</w:t>
        <w:tab/>
        <w:t>生存保險金的給付</w:t>
      </w:r>
    </w:p>
    <w:p>
      <w:pPr>
        <w:pStyle w:val="BodyText"/>
        <w:spacing w:line="236" w:lineRule="exact"/>
        <w:ind w:left="1036"/>
      </w:pPr>
      <w:r>
        <w:rPr/>
        <w:t>被保險人於本契約有效期間內，於每一保險單週年日仍生存者，本公司按下列約定，給付生存保險</w:t>
      </w:r>
    </w:p>
    <w:p>
      <w:pPr>
        <w:pStyle w:val="BodyText"/>
        <w:spacing w:before="3"/>
        <w:ind w:left="1036"/>
      </w:pPr>
      <w:r>
        <w:rPr>
          <w:w w:val="95"/>
        </w:rPr>
        <w:t>金：</w:t>
      </w:r>
    </w:p>
    <w:p>
      <w:pPr>
        <w:pStyle w:val="BodyText"/>
        <w:spacing w:line="244" w:lineRule="auto" w:before="3"/>
        <w:ind w:left="1434" w:right="309" w:hanging="399"/>
      </w:pPr>
      <w:r>
        <w:rPr>
          <w:w w:val="95"/>
        </w:rPr>
        <w:t>一、第一保險單週年日至第六保險單週年日：每萬美元基本保險金額之年繳應繳保險費總額的百分之</w:t>
      </w:r>
      <w:r>
        <w:rPr>
          <w:spacing w:val="167"/>
        </w:rPr>
        <w:t> </w:t>
      </w:r>
      <w:r>
        <w:rPr/>
        <w:t>一(元以下無條件進位)乘以「單位數」所計得之金額。</w:t>
      </w:r>
    </w:p>
    <w:p>
      <w:pPr>
        <w:pStyle w:val="BodyText"/>
        <w:spacing w:line="242" w:lineRule="auto"/>
        <w:ind w:left="1434" w:right="308" w:hanging="399"/>
      </w:pPr>
      <w:r>
        <w:rPr>
          <w:w w:val="95"/>
        </w:rPr>
        <w:t>二、第七保險單週年日以後：每萬美元基本保險金額之年繳應繳保險費總額的百分之一點四五(元以</w:t>
      </w:r>
      <w:r>
        <w:rPr>
          <w:spacing w:val="252"/>
        </w:rPr>
        <w:t> </w:t>
      </w:r>
      <w:r>
        <w:rPr/>
        <w:t>下無條件進位)乘以「單位數」所計得之金額。</w:t>
      </w:r>
    </w:p>
    <w:p>
      <w:pPr>
        <w:pStyle w:val="BodyText"/>
        <w:spacing w:line="242" w:lineRule="auto" w:before="2"/>
        <w:ind w:left="1036" w:right="310"/>
      </w:pPr>
      <w:r>
        <w:rPr>
          <w:w w:val="95"/>
        </w:rPr>
        <w:t>前項所稱「單位數」，係指將前一保險單年度「總保險金額」以每一萬美元換算一單位後所得之單位</w:t>
      </w:r>
      <w:r>
        <w:rPr>
          <w:spacing w:val="165"/>
        </w:rPr>
        <w:t> </w:t>
      </w:r>
      <w:r>
        <w:rPr/>
        <w:t>數額。</w:t>
      </w:r>
    </w:p>
    <w:p>
      <w:pPr>
        <w:pStyle w:val="BodyText"/>
        <w:spacing w:before="4"/>
        <w:ind w:left="0"/>
        <w:rPr>
          <w:sz w:val="15"/>
        </w:rPr>
      </w:pPr>
    </w:p>
    <w:p>
      <w:pPr>
        <w:pStyle w:val="Heading1"/>
        <w:tabs>
          <w:tab w:pos="1216" w:val="left" w:leader="none"/>
        </w:tabs>
      </w:pPr>
      <w:r>
        <w:rPr/>
        <w:t>第十七條</w:t>
        <w:tab/>
        <w:t>祝壽保險金的給付</w:t>
      </w:r>
    </w:p>
    <w:p>
      <w:pPr>
        <w:pStyle w:val="BodyText"/>
        <w:spacing w:line="235" w:lineRule="exact"/>
        <w:ind w:left="1012"/>
      </w:pPr>
      <w:r>
        <w:rPr>
          <w:w w:val="95"/>
        </w:rPr>
        <w:t>被保險人於本契約有效期間且保險年齡到達一百零五歲之保險單週年日仍生存時，本公司除依前條約</w:t>
      </w:r>
    </w:p>
    <w:p>
      <w:pPr>
        <w:pStyle w:val="BodyText"/>
        <w:spacing w:before="3"/>
        <w:ind w:left="1012"/>
      </w:pPr>
      <w:r>
        <w:rPr/>
        <w:t>定給付生存保險金外，另按「總保險金額」的一點二倍給付「祝壽保險金」。</w:t>
      </w:r>
    </w:p>
    <w:p>
      <w:pPr>
        <w:pStyle w:val="Heading1"/>
        <w:tabs>
          <w:tab w:pos="1216" w:val="left" w:leader="none"/>
        </w:tabs>
        <w:spacing w:before="179"/>
      </w:pPr>
      <w:r>
        <w:rPr/>
        <w:t>第十八條</w:t>
        <w:tab/>
        <w:t>身故保險金或喪葬費用保險金的給付</w:t>
      </w:r>
    </w:p>
    <w:p>
      <w:pPr>
        <w:pStyle w:val="BodyText"/>
        <w:spacing w:line="235" w:lineRule="exact"/>
        <w:ind w:left="1012"/>
      </w:pPr>
      <w:r>
        <w:rPr>
          <w:w w:val="95"/>
        </w:rPr>
        <w:t>被保險人於本契約有效且於繳費期間內身故者，本公司按身故日，下列二款計算方式所得金額之較大</w:t>
      </w:r>
    </w:p>
    <w:p>
      <w:pPr>
        <w:pStyle w:val="BodyText"/>
        <w:spacing w:line="244" w:lineRule="auto" w:before="3"/>
        <w:ind w:left="1012" w:right="3353"/>
      </w:pPr>
      <w:r>
        <w:rPr>
          <w:w w:val="95"/>
        </w:rPr>
        <w:t>者，給付身故保險金，且當期已繳付之未到期保險費將不予退還：</w:t>
      </w:r>
      <w:r>
        <w:rPr>
          <w:spacing w:val="1"/>
          <w:w w:val="95"/>
        </w:rPr>
        <w:t> </w:t>
      </w:r>
      <w:r>
        <w:rPr/>
        <w:t>一、「保單價值準備金」乘以「門檻比率」。</w:t>
      </w:r>
    </w:p>
    <w:p>
      <w:pPr>
        <w:spacing w:after="0" w:line="244" w:lineRule="auto"/>
        <w:sectPr>
          <w:pgSz w:w="11910" w:h="16850"/>
          <w:pgMar w:header="0" w:footer="855" w:top="1360" w:bottom="1040" w:left="920" w:right="820"/>
        </w:sectPr>
      </w:pPr>
    </w:p>
    <w:p>
      <w:pPr>
        <w:pStyle w:val="BodyText"/>
        <w:spacing w:line="242" w:lineRule="auto" w:before="47"/>
        <w:ind w:left="1012" w:right="317"/>
        <w:jc w:val="both"/>
      </w:pPr>
      <w:r>
        <w:rPr>
          <w:w w:val="95"/>
        </w:rPr>
        <w:t>二、「年繳應繳保險費總額」扣除以身故當時「總保險金額」計算各年度「生存保險金」後之餘額。</w:t>
      </w:r>
      <w:r>
        <w:rPr>
          <w:spacing w:val="192"/>
        </w:rPr>
        <w:t> </w:t>
      </w:r>
      <w:r>
        <w:rPr>
          <w:w w:val="95"/>
        </w:rPr>
        <w:t>被保險人於本契約有效期間且於繳費期滿後身故者，本公司按身故日，下列三款計算方式所得金額之</w:t>
      </w:r>
      <w:r>
        <w:rPr>
          <w:spacing w:val="182"/>
        </w:rPr>
        <w:t> </w:t>
      </w:r>
      <w:r>
        <w:rPr/>
        <w:t>最大者，給付身故保險金：</w:t>
      </w:r>
    </w:p>
    <w:p>
      <w:pPr>
        <w:pStyle w:val="BodyText"/>
        <w:spacing w:before="4"/>
        <w:ind w:left="1012"/>
      </w:pPr>
      <w:r>
        <w:rPr/>
        <w:t>一、「保單價值準備金」乘以「門檻比率」。</w:t>
      </w:r>
    </w:p>
    <w:p>
      <w:pPr>
        <w:pStyle w:val="BodyText"/>
        <w:spacing w:line="242" w:lineRule="auto" w:before="3"/>
        <w:ind w:left="1012" w:right="351"/>
      </w:pPr>
      <w:r>
        <w:rPr>
          <w:w w:val="95"/>
        </w:rPr>
        <w:t>二、「年繳應繳保險費總額」扣除以身故當時「總保險金額」計算各年度「生存保險金」後之餘額。</w:t>
      </w:r>
      <w:r>
        <w:rPr>
          <w:spacing w:val="148"/>
        </w:rPr>
        <w:t> </w:t>
      </w:r>
      <w:r>
        <w:rPr/>
        <w:t>三、「總保險金額」。</w:t>
      </w:r>
    </w:p>
    <w:p>
      <w:pPr>
        <w:pStyle w:val="BodyText"/>
        <w:spacing w:line="242" w:lineRule="auto" w:before="3"/>
        <w:ind w:left="1012" w:right="317"/>
        <w:jc w:val="both"/>
      </w:pPr>
      <w:r>
        <w:rPr>
          <w:w w:val="95"/>
        </w:rPr>
        <w:t>訂立本契約時，以未滿十五足歲之未成年人為被保險人，除喪葬費用之給付外，其餘死亡給付之約定</w:t>
      </w:r>
      <w:r>
        <w:rPr>
          <w:spacing w:val="192"/>
        </w:rPr>
        <w:t> </w:t>
      </w:r>
      <w:r>
        <w:rPr>
          <w:w w:val="95"/>
        </w:rPr>
        <w:t>於被保險人滿十五足歲之日起發生效力；被保險人滿十五足歲前死亡者，其身故保險金變更為喪葬費</w:t>
      </w:r>
      <w:r>
        <w:rPr>
          <w:spacing w:val="182"/>
        </w:rPr>
        <w:t> </w:t>
      </w:r>
      <w:r>
        <w:rPr/>
        <w:t>用保險金。</w:t>
      </w:r>
    </w:p>
    <w:p>
      <w:pPr>
        <w:pStyle w:val="BodyText"/>
        <w:spacing w:line="242" w:lineRule="auto" w:before="4"/>
        <w:ind w:left="1012" w:right="311"/>
      </w:pPr>
      <w:r>
        <w:rPr>
          <w:w w:val="95"/>
        </w:rPr>
        <w:t>前項未滿十五足歲之被保險人如有於民國九十九年二月三日（不含）前訂立之保險契約，其喪葬費用</w:t>
      </w:r>
      <w:r>
        <w:rPr>
          <w:spacing w:val="188"/>
        </w:rPr>
        <w:t> </w:t>
      </w:r>
      <w:r>
        <w:rPr/>
        <w:t>保險金之給付依下列方式辦理：</w:t>
      </w:r>
    </w:p>
    <w:p>
      <w:pPr>
        <w:pStyle w:val="BodyText"/>
        <w:spacing w:line="242" w:lineRule="auto"/>
        <w:ind w:left="1413" w:right="311" w:hanging="401"/>
        <w:jc w:val="both"/>
      </w:pPr>
      <w:r>
        <w:rPr/>
        <w:drawing>
          <wp:anchor distT="0" distB="0" distL="0" distR="0" allowOverlap="1" layoutInCell="1" locked="0" behindDoc="1" simplePos="0" relativeHeight="487354880">
            <wp:simplePos x="0" y="0"/>
            <wp:positionH relativeFrom="page">
              <wp:posOffset>2873390</wp:posOffset>
            </wp:positionH>
            <wp:positionV relativeFrom="paragraph">
              <wp:posOffset>431912</wp:posOffset>
            </wp:positionV>
            <wp:extent cx="1837032" cy="4425975"/>
            <wp:effectExtent l="0" t="0" r="0" b="0"/>
            <wp:wrapNone/>
            <wp:docPr id="9" name="image1.png"/>
            <wp:cNvGraphicFramePr>
              <a:graphicFrameLocks noChangeAspect="1"/>
            </wp:cNvGraphicFramePr>
            <a:graphic>
              <a:graphicData uri="http://schemas.openxmlformats.org/drawingml/2006/picture">
                <pic:pic>
                  <pic:nvPicPr>
                    <pic:cNvPr id="10" name="image1.png"/>
                    <pic:cNvPicPr/>
                  </pic:nvPicPr>
                  <pic:blipFill>
                    <a:blip r:embed="rId7" cstate="print"/>
                    <a:stretch>
                      <a:fillRect/>
                    </a:stretch>
                  </pic:blipFill>
                  <pic:spPr>
                    <a:xfrm>
                      <a:off x="0" y="0"/>
                      <a:ext cx="1837032" cy="4425975"/>
                    </a:xfrm>
                    <a:prstGeom prst="rect">
                      <a:avLst/>
                    </a:prstGeom>
                  </pic:spPr>
                </pic:pic>
              </a:graphicData>
            </a:graphic>
          </wp:anchor>
        </w:drawing>
      </w:r>
      <w:r>
        <w:rPr>
          <w:w w:val="95"/>
        </w:rPr>
        <w:t>一、被保險人於民國九十九年二月三日（不含）前訂立之保險契約，喪葬費用保險金額大於或等於遺</w:t>
      </w:r>
      <w:r>
        <w:rPr>
          <w:spacing w:val="198"/>
        </w:rPr>
        <w:t> </w:t>
      </w:r>
      <w:r>
        <w:rPr>
          <w:w w:val="95"/>
        </w:rPr>
        <w:t>產及贈與稅法第十七條有關遺產稅喪葬費扣除額之半數（含）者，其喪葬費用保險金之給付，從</w:t>
      </w:r>
      <w:r>
        <w:rPr>
          <w:spacing w:val="177"/>
        </w:rPr>
        <w:t> </w:t>
      </w:r>
      <w:r>
        <w:rPr>
          <w:w w:val="95"/>
        </w:rPr>
        <w:t>其約定，一百零九年六月十二日（含）以後所投保之喪葬費用保險金額，本公司不負給付責任，</w:t>
      </w:r>
      <w:r>
        <w:rPr>
          <w:spacing w:val="167"/>
        </w:rPr>
        <w:t> </w:t>
      </w:r>
      <w:r>
        <w:rPr/>
        <w:t>並應無息退還該超過部分之已繳保險費。</w:t>
      </w:r>
    </w:p>
    <w:p>
      <w:pPr>
        <w:pStyle w:val="BodyText"/>
        <w:spacing w:line="242" w:lineRule="auto" w:before="7"/>
        <w:ind w:left="1413" w:right="312" w:hanging="401"/>
        <w:jc w:val="both"/>
      </w:pPr>
      <w:r>
        <w:rPr>
          <w:w w:val="95"/>
        </w:rPr>
        <w:t>二、被保險人於民國九十九年二月三日（不含）前訂立之保險契約，喪葬費用保險金額小於遺產及贈</w:t>
      </w:r>
      <w:r>
        <w:rPr>
          <w:spacing w:val="185"/>
        </w:rPr>
        <w:t> </w:t>
      </w:r>
      <w:r>
        <w:rPr>
          <w:spacing w:val="12"/>
          <w:w w:val="95"/>
        </w:rPr>
        <w:t>與稅法第十七條有關遺產稅喪葬費扣除額之半數（含）</w:t>
      </w:r>
      <w:r>
        <w:rPr>
          <w:spacing w:val="10"/>
          <w:w w:val="95"/>
        </w:rPr>
        <w:t>者應加計民國一百零九年六月十二日</w:t>
      </w:r>
    </w:p>
    <w:p>
      <w:pPr>
        <w:pStyle w:val="BodyText"/>
        <w:spacing w:before="1"/>
        <w:ind w:left="1413"/>
      </w:pPr>
      <w:r>
        <w:rPr>
          <w:w w:val="95"/>
        </w:rPr>
        <w:t>（含）以後所投保之喪葬費用保險金額，被保險人死亡時，受益人得領取之喪葬費用保險金總和</w:t>
      </w:r>
    </w:p>
    <w:p>
      <w:pPr>
        <w:pStyle w:val="BodyText"/>
        <w:spacing w:line="242" w:lineRule="auto" w:before="5"/>
        <w:ind w:left="1413" w:right="321"/>
      </w:pPr>
      <w:r>
        <w:rPr>
          <w:w w:val="95"/>
        </w:rPr>
        <w:t>（不限本公司），不得超過遺產及贈與稅法第十七條有關遺產稅喪葬費扣除額之半數。超過部</w:t>
      </w:r>
      <w:r>
        <w:rPr>
          <w:spacing w:val="123"/>
        </w:rPr>
        <w:t> </w:t>
      </w:r>
      <w:r>
        <w:rPr>
          <w:spacing w:val="124"/>
        </w:rPr>
        <w:t> </w:t>
      </w:r>
      <w:r>
        <w:rPr/>
        <w:t>分，本公司不負給付責任，並應無息退還該超過部分之已繳保險費。</w:t>
      </w:r>
    </w:p>
    <w:p>
      <w:pPr>
        <w:pStyle w:val="BodyText"/>
        <w:spacing w:before="1"/>
        <w:ind w:left="1012"/>
      </w:pPr>
      <w:r>
        <w:rPr/>
        <w:t>訂立本契約時，以受監護宣告尚未撤銷者為被保險人，其身故保險金，變更為喪葬費用保險金。</w:t>
      </w:r>
    </w:p>
    <w:p>
      <w:pPr>
        <w:pStyle w:val="BodyText"/>
        <w:spacing w:line="242" w:lineRule="auto" w:before="6"/>
        <w:ind w:left="1012" w:right="310"/>
        <w:jc w:val="both"/>
      </w:pPr>
      <w:r>
        <w:rPr>
          <w:w w:val="95"/>
        </w:rPr>
        <w:t>第三項未滿十五足歲之被保險人於民國一百零九年六月十二日（含）以後及第五項被保險人於民國九</w:t>
      </w:r>
      <w:r>
        <w:rPr>
          <w:spacing w:val="199"/>
        </w:rPr>
        <w:t> </w:t>
      </w:r>
      <w:r>
        <w:rPr>
          <w:w w:val="95"/>
        </w:rPr>
        <w:t>十九年二月三日（含）以後所投保之喪葬費用保險金額總和（不限本公司），不得超過遺產及贈與稅</w:t>
      </w:r>
      <w:r>
        <w:rPr>
          <w:spacing w:val="199"/>
        </w:rPr>
        <w:t> </w:t>
      </w:r>
      <w:r>
        <w:rPr>
          <w:w w:val="95"/>
        </w:rPr>
        <w:t>法第十七條有關遺產稅喪葬費扣除額之半數，其超過部分本公司不負給付責任，本公司並應無息退還</w:t>
      </w:r>
      <w:r>
        <w:rPr>
          <w:spacing w:val="189"/>
        </w:rPr>
        <w:t> </w:t>
      </w:r>
      <w:r>
        <w:rPr/>
        <w:t>該超過部分之已繳保險費。</w:t>
      </w:r>
    </w:p>
    <w:p>
      <w:pPr>
        <w:pStyle w:val="BodyText"/>
        <w:spacing w:before="3"/>
        <w:ind w:left="1012"/>
      </w:pPr>
      <w:r>
        <w:rPr>
          <w:w w:val="95"/>
        </w:rPr>
        <w:t>第四項及第六項情形，如要保人向二家（含）以上保險公司投保，或向同一保險公司投保數個保險契</w:t>
      </w:r>
    </w:p>
    <w:p>
      <w:pPr>
        <w:pStyle w:val="BodyText"/>
        <w:spacing w:line="244" w:lineRule="auto" w:before="3"/>
        <w:ind w:left="1012" w:right="317"/>
        <w:jc w:val="both"/>
      </w:pPr>
      <w:r>
        <w:rPr>
          <w:w w:val="95"/>
        </w:rPr>
        <w:t>（附）約，且其投保之喪葬費用保險金額合計超過前項所定之限額者，本公司於所承保之喪葬費用金</w:t>
      </w:r>
      <w:r>
        <w:rPr>
          <w:spacing w:val="192"/>
        </w:rPr>
        <w:t> </w:t>
      </w:r>
      <w:r>
        <w:rPr>
          <w:w w:val="95"/>
        </w:rPr>
        <w:t>額範圍內，依各要保書所載之要保時間先後，依約給付喪葬費用保險金至喪葬費用額度上限為止，如</w:t>
      </w:r>
      <w:r>
        <w:rPr>
          <w:spacing w:val="192"/>
        </w:rPr>
        <w:t> </w:t>
      </w:r>
      <w:r>
        <w:rPr>
          <w:w w:val="95"/>
        </w:rPr>
        <w:t>有二家以上保險公司之保險契約要保時間相同或無法區分其要保時間之先後者，各該保險公司應依其</w:t>
      </w:r>
      <w:r>
        <w:rPr>
          <w:spacing w:val="182"/>
        </w:rPr>
        <w:t> </w:t>
      </w:r>
      <w:r>
        <w:rPr/>
        <w:t>喪葬費用保險金額與扣除要保時間在先之保險公司應理賠之金額後所餘之限額比例分擔其責任。</w:t>
      </w:r>
    </w:p>
    <w:p>
      <w:pPr>
        <w:pStyle w:val="BodyText"/>
        <w:spacing w:line="242" w:lineRule="auto"/>
        <w:ind w:left="1012" w:right="317"/>
        <w:jc w:val="both"/>
      </w:pPr>
      <w:r>
        <w:rPr>
          <w:w w:val="95"/>
        </w:rPr>
        <w:t>本公司依前二項約定應給付喪葬費用保險金時，其限額之計算以被保險人身故日為其計算匯率之時</w:t>
      </w:r>
      <w:r>
        <w:rPr>
          <w:spacing w:val="140"/>
        </w:rPr>
        <w:t> </w:t>
      </w:r>
      <w:r>
        <w:rPr>
          <w:spacing w:val="141"/>
        </w:rPr>
        <w:t> </w:t>
      </w:r>
      <w:r>
        <w:rPr>
          <w:w w:val="95"/>
        </w:rPr>
        <w:t>點。該匯率按三家銀行收盤買入即期匯率平均值為準。但身故日非為三家銀行之營業日，則以次一營</w:t>
      </w:r>
      <w:r>
        <w:rPr>
          <w:spacing w:val="182"/>
        </w:rPr>
        <w:t> </w:t>
      </w:r>
      <w:r>
        <w:rPr/>
        <w:t>業日為計算匯率之時點。</w:t>
      </w:r>
    </w:p>
    <w:p>
      <w:pPr>
        <w:pStyle w:val="BodyText"/>
        <w:spacing w:line="242" w:lineRule="auto"/>
        <w:ind w:left="1012" w:right="317"/>
      </w:pPr>
      <w:r>
        <w:rPr>
          <w:w w:val="95"/>
        </w:rPr>
        <w:t>前項「三家銀行」，係指臺灣銀行股份有限公司、第一商業銀行股份有限公司及合作金庫商業銀行股</w:t>
      </w:r>
      <w:r>
        <w:rPr>
          <w:spacing w:val="182"/>
        </w:rPr>
        <w:t> </w:t>
      </w:r>
      <w:r>
        <w:rPr/>
        <w:t>份有限公司，若因故需變更時將公告於本公司網站。</w:t>
      </w:r>
    </w:p>
    <w:p>
      <w:pPr>
        <w:pStyle w:val="Heading1"/>
        <w:tabs>
          <w:tab w:pos="1216" w:val="left" w:leader="none"/>
        </w:tabs>
        <w:spacing w:line="348" w:lineRule="exact" w:before="175"/>
      </w:pPr>
      <w:r>
        <w:rPr/>
        <w:t>第十九條</w:t>
        <w:tab/>
        <w:t>完全失能保險金的給付及限制</w:t>
      </w:r>
    </w:p>
    <w:p>
      <w:pPr>
        <w:pStyle w:val="BodyText"/>
        <w:spacing w:line="236" w:lineRule="exact"/>
        <w:ind w:left="1012"/>
      </w:pPr>
      <w:r>
        <w:rPr>
          <w:w w:val="95"/>
        </w:rPr>
        <w:t>被保險人於本契約有效且於繳費期間內致成附表二所列完全失能程度之一者，本公司按完全失能診斷</w:t>
      </w:r>
    </w:p>
    <w:p>
      <w:pPr>
        <w:pStyle w:val="BodyText"/>
        <w:spacing w:line="242" w:lineRule="auto" w:before="3"/>
        <w:ind w:left="1012" w:right="311"/>
      </w:pPr>
      <w:r>
        <w:rPr>
          <w:w w:val="95"/>
        </w:rPr>
        <w:t>確定日，下列二款計算方式所得金額之較大者，給付完全失能保險金，且當期已繳付之未到期保險費</w:t>
      </w:r>
      <w:r>
        <w:rPr>
          <w:spacing w:val="188"/>
        </w:rPr>
        <w:t> </w:t>
      </w:r>
      <w:r>
        <w:rPr/>
        <w:t>將不予退還：</w:t>
      </w:r>
    </w:p>
    <w:p>
      <w:pPr>
        <w:pStyle w:val="BodyText"/>
        <w:spacing w:before="3"/>
        <w:ind w:left="1012"/>
      </w:pPr>
      <w:r>
        <w:rPr/>
        <w:t>一、「保單價值準備金」乘以「門檻比率」。</w:t>
      </w:r>
    </w:p>
    <w:p>
      <w:pPr>
        <w:pStyle w:val="BodyText"/>
        <w:spacing w:line="242" w:lineRule="auto" w:before="3"/>
        <w:ind w:left="1413" w:right="309" w:hanging="401"/>
      </w:pPr>
      <w:r>
        <w:rPr>
          <w:w w:val="95"/>
        </w:rPr>
        <w:t>二、「年繳應繳保險費總額」扣除以完全失能診斷確定日當時「總保險金額」計算各年度「生存保險</w:t>
      </w:r>
      <w:r>
        <w:rPr>
          <w:spacing w:val="190"/>
        </w:rPr>
        <w:t> </w:t>
      </w:r>
      <w:r>
        <w:rPr/>
        <w:t>金」後之餘額。</w:t>
      </w:r>
    </w:p>
    <w:p>
      <w:pPr>
        <w:pStyle w:val="BodyText"/>
        <w:spacing w:line="242" w:lineRule="auto" w:before="4"/>
        <w:ind w:left="1012" w:right="308"/>
      </w:pPr>
      <w:r>
        <w:rPr>
          <w:w w:val="95"/>
        </w:rPr>
        <w:t>被保險人於本契約有效期間且於繳費期滿後致成附表二所列完全失能程度之一者，本公司按完全失能</w:t>
      </w:r>
      <w:r>
        <w:rPr>
          <w:spacing w:val="191"/>
        </w:rPr>
        <w:t> </w:t>
      </w:r>
      <w:r>
        <w:rPr/>
        <w:t>診斷確定日，下列三款計算方式所得金額之最大者，給付完全失能保險金：</w:t>
      </w:r>
    </w:p>
    <w:p>
      <w:pPr>
        <w:pStyle w:val="BodyText"/>
        <w:spacing w:before="1"/>
        <w:ind w:left="1012"/>
      </w:pPr>
      <w:r>
        <w:rPr/>
        <w:t>一、「保單價值準備金」乘以「門檻比率」。</w:t>
      </w:r>
    </w:p>
    <w:p>
      <w:pPr>
        <w:pStyle w:val="BodyText"/>
        <w:spacing w:line="242" w:lineRule="auto" w:before="5"/>
        <w:ind w:left="1413" w:right="308" w:hanging="401"/>
      </w:pPr>
      <w:r>
        <w:rPr>
          <w:w w:val="95"/>
        </w:rPr>
        <w:t>二、「年繳應繳保險費總額」扣除以完全失能診斷確定日當時「總保險金額」計算各年度「生存保險</w:t>
      </w:r>
      <w:r>
        <w:rPr>
          <w:spacing w:val="191"/>
        </w:rPr>
        <w:t> </w:t>
      </w:r>
      <w:r>
        <w:rPr/>
        <w:t>金」後之餘額。</w:t>
      </w:r>
    </w:p>
    <w:p>
      <w:pPr>
        <w:pStyle w:val="BodyText"/>
        <w:spacing w:before="1"/>
        <w:ind w:left="1012"/>
      </w:pPr>
      <w:r>
        <w:rPr/>
        <w:t>三、「總保險金額」。</w:t>
      </w:r>
    </w:p>
    <w:p>
      <w:pPr>
        <w:pStyle w:val="BodyText"/>
        <w:spacing w:line="242" w:lineRule="auto" w:before="5"/>
        <w:ind w:left="1012" w:right="301"/>
      </w:pPr>
      <w:r>
        <w:rPr>
          <w:w w:val="95"/>
        </w:rPr>
        <w:t>被保險人同時或先後致成附表二所列二項以上之完全失能程度者，本公司僅給付一項完全失能保險</w:t>
      </w:r>
      <w:r>
        <w:rPr>
          <w:spacing w:val="133"/>
        </w:rPr>
        <w:t> </w:t>
      </w:r>
      <w:r>
        <w:rPr>
          <w:spacing w:val="134"/>
        </w:rPr>
        <w:t> </w:t>
      </w:r>
      <w:r>
        <w:rPr/>
        <w:t>金。</w:t>
      </w:r>
    </w:p>
    <w:p>
      <w:pPr>
        <w:spacing w:after="0" w:line="242" w:lineRule="auto"/>
        <w:sectPr>
          <w:pgSz w:w="11910" w:h="16850"/>
          <w:pgMar w:header="0" w:footer="855" w:top="1360" w:bottom="1040" w:left="920" w:right="820"/>
        </w:sectPr>
      </w:pPr>
    </w:p>
    <w:p>
      <w:pPr>
        <w:pStyle w:val="Heading1"/>
        <w:tabs>
          <w:tab w:pos="1216" w:val="left" w:leader="none"/>
        </w:tabs>
        <w:spacing w:line="328" w:lineRule="exact"/>
      </w:pPr>
      <w:r>
        <w:rPr/>
        <w:t>第二十條</w:t>
        <w:tab/>
        <w:t>保險事故的通知與保險金的申請時間</w:t>
      </w:r>
    </w:p>
    <w:p>
      <w:pPr>
        <w:pStyle w:val="BodyText"/>
        <w:spacing w:line="235" w:lineRule="exact"/>
        <w:ind w:left="1012"/>
      </w:pPr>
      <w:r>
        <w:rPr>
          <w:w w:val="95"/>
        </w:rPr>
        <w:t>要保人或受益人應於知悉本公司應負保險責任之事故後十日內通知本公司，並於通知後儘速檢具所需</w:t>
      </w:r>
    </w:p>
    <w:p>
      <w:pPr>
        <w:pStyle w:val="BodyText"/>
        <w:spacing w:before="3"/>
        <w:ind w:left="1012"/>
      </w:pPr>
      <w:r>
        <w:rPr/>
        <w:t>文件向本公司申請給付保險金。</w:t>
      </w:r>
    </w:p>
    <w:p>
      <w:pPr>
        <w:pStyle w:val="BodyText"/>
        <w:spacing w:line="242" w:lineRule="auto" w:before="5"/>
        <w:ind w:left="1012" w:right="317"/>
      </w:pPr>
      <w:r>
        <w:rPr>
          <w:w w:val="95"/>
        </w:rPr>
        <w:t>本公司應於收齊前項文件後十五日內給付之。但因可歸責於本公司之事由致未在前述約定期限內為給</w:t>
      </w:r>
      <w:r>
        <w:rPr>
          <w:spacing w:val="182"/>
        </w:rPr>
        <w:t> </w:t>
      </w:r>
      <w:r>
        <w:rPr/>
        <w:t>付者，應按年利一分加計利息給付。</w:t>
      </w:r>
    </w:p>
    <w:p>
      <w:pPr>
        <w:pStyle w:val="BodyText"/>
        <w:spacing w:before="4"/>
        <w:ind w:left="0"/>
        <w:rPr>
          <w:sz w:val="15"/>
        </w:rPr>
      </w:pPr>
    </w:p>
    <w:p>
      <w:pPr>
        <w:pStyle w:val="Heading1"/>
        <w:tabs>
          <w:tab w:pos="1415" w:val="left" w:leader="none"/>
        </w:tabs>
      </w:pPr>
      <w:r>
        <w:rPr/>
        <w:t>第二十一條</w:t>
        <w:tab/>
        <w:t>失蹤處理</w:t>
      </w:r>
    </w:p>
    <w:p>
      <w:pPr>
        <w:pStyle w:val="BodyText"/>
        <w:spacing w:line="235" w:lineRule="exact"/>
      </w:pPr>
      <w:r>
        <w:rPr>
          <w:w w:val="95"/>
        </w:rPr>
        <w:t>被保險人在本契約有效期間內失蹤時，如經法院宣告死亡者，本公司根據判決內所確定死亡時日為</w:t>
      </w:r>
    </w:p>
    <w:p>
      <w:pPr>
        <w:pStyle w:val="BodyText"/>
        <w:spacing w:line="244" w:lineRule="auto" w:before="3"/>
        <w:ind w:right="309"/>
        <w:jc w:val="both"/>
      </w:pPr>
      <w:r>
        <w:rPr>
          <w:w w:val="95"/>
        </w:rPr>
        <w:t>準，依第十八條約定給付身故保險金或喪葬費用保險金；如要保人或受益人能提出證明文件，足以</w:t>
      </w:r>
      <w:r>
        <w:rPr>
          <w:spacing w:val="188"/>
        </w:rPr>
        <w:t> </w:t>
      </w:r>
      <w:r>
        <w:rPr>
          <w:w w:val="95"/>
        </w:rPr>
        <w:t>認為被保險人極可能因意外傷害事故而死亡者，本公司應依意外傷害事故發生日為準，依第十八條</w:t>
      </w:r>
      <w:r>
        <w:rPr>
          <w:spacing w:val="178"/>
        </w:rPr>
        <w:t> </w:t>
      </w:r>
      <w:r>
        <w:rPr/>
        <w:t>約定給付身故保險金或喪葬費用保險金。</w:t>
      </w:r>
    </w:p>
    <w:p>
      <w:pPr>
        <w:pStyle w:val="BodyText"/>
        <w:spacing w:line="244" w:lineRule="auto"/>
        <w:ind w:right="314"/>
        <w:jc w:val="both"/>
      </w:pPr>
      <w:r>
        <w:rPr/>
        <w:drawing>
          <wp:anchor distT="0" distB="0" distL="0" distR="0" allowOverlap="1" layoutInCell="1" locked="0" behindDoc="1" simplePos="0" relativeHeight="487355392">
            <wp:simplePos x="0" y="0"/>
            <wp:positionH relativeFrom="page">
              <wp:posOffset>2873390</wp:posOffset>
            </wp:positionH>
            <wp:positionV relativeFrom="paragraph">
              <wp:posOffset>431912</wp:posOffset>
            </wp:positionV>
            <wp:extent cx="1837032" cy="4425975"/>
            <wp:effectExtent l="0" t="0" r="0" b="0"/>
            <wp:wrapNone/>
            <wp:docPr id="11" name="image1.png"/>
            <wp:cNvGraphicFramePr>
              <a:graphicFrameLocks noChangeAspect="1"/>
            </wp:cNvGraphicFramePr>
            <a:graphic>
              <a:graphicData uri="http://schemas.openxmlformats.org/drawingml/2006/picture">
                <pic:pic>
                  <pic:nvPicPr>
                    <pic:cNvPr id="12" name="image1.png"/>
                    <pic:cNvPicPr/>
                  </pic:nvPicPr>
                  <pic:blipFill>
                    <a:blip r:embed="rId7" cstate="print"/>
                    <a:stretch>
                      <a:fillRect/>
                    </a:stretch>
                  </pic:blipFill>
                  <pic:spPr>
                    <a:xfrm>
                      <a:off x="0" y="0"/>
                      <a:ext cx="1837032" cy="4425975"/>
                    </a:xfrm>
                    <a:prstGeom prst="rect">
                      <a:avLst/>
                    </a:prstGeom>
                  </pic:spPr>
                </pic:pic>
              </a:graphicData>
            </a:graphic>
          </wp:anchor>
        </w:drawing>
      </w:r>
      <w:r>
        <w:rPr>
          <w:w w:val="95"/>
        </w:rPr>
        <w:t>前項情形，本公司給付身故保險金或喪葬費用保險金後，如發現被保險人生還時，要保人或受益人</w:t>
      </w:r>
      <w:r>
        <w:rPr>
          <w:spacing w:val="183"/>
        </w:rPr>
        <w:t> </w:t>
      </w:r>
      <w:r>
        <w:rPr>
          <w:w w:val="95"/>
        </w:rPr>
        <w:t>應將該筆已領之退還已繳保險費或身故保險金或喪葬費用保險金歸還本公司，其間若有應給付保險</w:t>
      </w:r>
      <w:r>
        <w:rPr>
          <w:spacing w:val="173"/>
        </w:rPr>
        <w:t> </w:t>
      </w:r>
      <w:r>
        <w:rPr/>
        <w:t>金或增值回饋分享金之情事發生者，仍應予給付。但有應繳之保險費，本公司仍得予以扣除。</w:t>
      </w:r>
    </w:p>
    <w:p>
      <w:pPr>
        <w:pStyle w:val="BodyText"/>
        <w:spacing w:before="8"/>
        <w:ind w:left="0"/>
        <w:rPr>
          <w:sz w:val="14"/>
        </w:rPr>
      </w:pPr>
    </w:p>
    <w:p>
      <w:pPr>
        <w:pStyle w:val="Heading1"/>
        <w:tabs>
          <w:tab w:pos="1415" w:val="left" w:leader="none"/>
        </w:tabs>
        <w:spacing w:before="1"/>
      </w:pPr>
      <w:r>
        <w:rPr/>
        <w:t>第二十二條</w:t>
        <w:tab/>
        <w:t>生存保險金的申領</w:t>
      </w:r>
    </w:p>
    <w:p>
      <w:pPr>
        <w:pStyle w:val="BodyText"/>
        <w:spacing w:line="235" w:lineRule="exact"/>
      </w:pPr>
      <w:r>
        <w:rPr/>
        <w:t>受益人申領「生存保險金」時，應檢具下列文件：</w:t>
      </w:r>
    </w:p>
    <w:p>
      <w:pPr>
        <w:pStyle w:val="BodyText"/>
        <w:spacing w:line="244" w:lineRule="auto" w:before="3"/>
        <w:ind w:right="6951"/>
      </w:pPr>
      <w:r>
        <w:rPr>
          <w:spacing w:val="-1"/>
        </w:rPr>
        <w:t>一、保險單或其謄本。</w:t>
      </w:r>
      <w:r>
        <w:rPr/>
        <w:t>二、保險金申請書。</w:t>
      </w:r>
    </w:p>
    <w:p>
      <w:pPr>
        <w:pStyle w:val="BodyText"/>
        <w:spacing w:line="254" w:lineRule="exact"/>
      </w:pPr>
      <w:r>
        <w:rPr/>
        <w:t>三、受益人的身分證明。</w:t>
      </w:r>
    </w:p>
    <w:p>
      <w:pPr>
        <w:pStyle w:val="BodyText"/>
        <w:spacing w:before="6"/>
        <w:ind w:left="0"/>
        <w:rPr>
          <w:sz w:val="15"/>
        </w:rPr>
      </w:pPr>
    </w:p>
    <w:p>
      <w:pPr>
        <w:pStyle w:val="Heading1"/>
        <w:tabs>
          <w:tab w:pos="1415" w:val="left" w:leader="none"/>
        </w:tabs>
      </w:pPr>
      <w:r>
        <w:rPr/>
        <w:t>第二十三條</w:t>
        <w:tab/>
        <w:t>祝壽保險金的申領</w:t>
      </w:r>
    </w:p>
    <w:p>
      <w:pPr>
        <w:pStyle w:val="BodyText"/>
        <w:spacing w:line="235" w:lineRule="exact"/>
      </w:pPr>
      <w:r>
        <w:rPr/>
        <w:t>受益人申領「祝壽保險金」時，應檢具下列文件：</w:t>
      </w:r>
    </w:p>
    <w:p>
      <w:pPr>
        <w:pStyle w:val="BodyText"/>
        <w:spacing w:line="244" w:lineRule="auto" w:before="3"/>
        <w:ind w:right="6951"/>
      </w:pPr>
      <w:r>
        <w:rPr>
          <w:spacing w:val="-1"/>
        </w:rPr>
        <w:t>一、保險單或其謄本。</w:t>
      </w:r>
      <w:r>
        <w:rPr/>
        <w:t>二、保險金申請書。</w:t>
      </w:r>
    </w:p>
    <w:p>
      <w:pPr>
        <w:pStyle w:val="BodyText"/>
        <w:spacing w:line="254" w:lineRule="exact"/>
      </w:pPr>
      <w:r>
        <w:rPr/>
        <w:t>三、受益人的身分證明。</w:t>
      </w:r>
    </w:p>
    <w:p>
      <w:pPr>
        <w:pStyle w:val="Heading1"/>
        <w:tabs>
          <w:tab w:pos="1415" w:val="left" w:leader="none"/>
        </w:tabs>
        <w:spacing w:line="348" w:lineRule="exact" w:before="177"/>
      </w:pPr>
      <w:r>
        <w:rPr/>
        <w:t>第二十四條</w:t>
        <w:tab/>
        <w:t>身故保險金或喪葬費用保險金的申領</w:t>
      </w:r>
    </w:p>
    <w:p>
      <w:pPr>
        <w:pStyle w:val="BodyText"/>
        <w:spacing w:line="236" w:lineRule="exact"/>
      </w:pPr>
      <w:r>
        <w:rPr/>
        <w:t>受益人申領「身故保險金」或「喪葬費用保險金」時，應檢具下列文件：</w:t>
      </w:r>
    </w:p>
    <w:p>
      <w:pPr>
        <w:pStyle w:val="BodyText"/>
        <w:spacing w:line="242" w:lineRule="auto" w:before="3"/>
        <w:ind w:right="6951"/>
      </w:pPr>
      <w:r>
        <w:rPr>
          <w:spacing w:val="-1"/>
        </w:rPr>
        <w:t>一、保險單或其謄本。</w:t>
      </w:r>
      <w:r>
        <w:rPr/>
        <w:t>二、保險金申請書。</w:t>
      </w:r>
    </w:p>
    <w:p>
      <w:pPr>
        <w:pStyle w:val="BodyText"/>
        <w:spacing w:line="242" w:lineRule="auto" w:before="3"/>
        <w:ind w:right="5152"/>
      </w:pPr>
      <w:r>
        <w:rPr>
          <w:spacing w:val="-1"/>
        </w:rPr>
        <w:t>三、被保險人死亡證明書及除戶戶籍謄本。</w:t>
      </w:r>
      <w:r>
        <w:rPr/>
        <w:t>四、受益人的身分證明。</w:t>
      </w:r>
    </w:p>
    <w:p>
      <w:pPr>
        <w:pStyle w:val="BodyText"/>
        <w:spacing w:before="4"/>
        <w:ind w:left="0"/>
        <w:rPr>
          <w:sz w:val="15"/>
        </w:rPr>
      </w:pPr>
    </w:p>
    <w:p>
      <w:pPr>
        <w:pStyle w:val="Heading1"/>
        <w:tabs>
          <w:tab w:pos="1415" w:val="left" w:leader="none"/>
        </w:tabs>
        <w:spacing w:before="1"/>
      </w:pPr>
      <w:r>
        <w:rPr/>
        <w:t>第二十五條</w:t>
        <w:tab/>
      </w:r>
      <w:r>
        <w:rPr>
          <w:w w:val="95"/>
        </w:rPr>
        <w:t>完全失能保險金的申領</w:t>
      </w:r>
    </w:p>
    <w:p>
      <w:pPr>
        <w:pStyle w:val="BodyText"/>
        <w:spacing w:line="235" w:lineRule="exact"/>
      </w:pPr>
      <w:r>
        <w:rPr/>
        <w:t>受益人申領「完全失能保險金」時，應檢具下列文件：</w:t>
      </w:r>
    </w:p>
    <w:p>
      <w:pPr>
        <w:pStyle w:val="BodyText"/>
        <w:spacing w:line="244" w:lineRule="auto" w:before="3"/>
        <w:ind w:right="6951"/>
      </w:pPr>
      <w:r>
        <w:rPr>
          <w:spacing w:val="-1"/>
        </w:rPr>
        <w:t>一、保險單或其謄本。</w:t>
      </w:r>
      <w:r>
        <w:rPr/>
        <w:t>二、保險金申請書。</w:t>
      </w:r>
      <w:r>
        <w:rPr>
          <w:spacing w:val="1"/>
        </w:rPr>
        <w:t> </w:t>
      </w:r>
      <w:r>
        <w:rPr/>
        <w:t>三、失能診斷書。</w:t>
      </w:r>
    </w:p>
    <w:p>
      <w:pPr>
        <w:pStyle w:val="BodyText"/>
        <w:spacing w:line="252" w:lineRule="exact"/>
      </w:pPr>
      <w:r>
        <w:rPr/>
        <w:t>四、受益人的身分證明。</w:t>
      </w:r>
    </w:p>
    <w:p>
      <w:pPr>
        <w:pStyle w:val="BodyText"/>
        <w:spacing w:line="242" w:lineRule="auto" w:before="5"/>
        <w:ind w:right="316"/>
        <w:jc w:val="both"/>
      </w:pPr>
      <w:r>
        <w:rPr>
          <w:w w:val="95"/>
        </w:rPr>
        <w:t>受益人申領「完全失能保險金」時，本公司基於審核保險金之需要，得對被保險人的身體予以檢</w:t>
      </w:r>
      <w:r>
        <w:rPr>
          <w:spacing w:val="135"/>
        </w:rPr>
        <w:t> </w:t>
      </w:r>
      <w:r>
        <w:rPr>
          <w:spacing w:val="136"/>
        </w:rPr>
        <w:t> </w:t>
      </w:r>
      <w:r>
        <w:rPr>
          <w:w w:val="95"/>
        </w:rPr>
        <w:t>驗，另得徵詢其他醫師之醫學專業意見，並得經受益人同意調閱被保險人之就醫相關資料。因此所</w:t>
      </w:r>
      <w:r>
        <w:rPr>
          <w:spacing w:val="171"/>
        </w:rPr>
        <w:t> </w:t>
      </w:r>
      <w:r>
        <w:rPr/>
        <w:t>生之費用由本公司負擔。但不因此延展本公司依第二十條第二項約定應給付之期限。</w:t>
      </w:r>
    </w:p>
    <w:p>
      <w:pPr>
        <w:pStyle w:val="BodyText"/>
        <w:spacing w:before="5"/>
        <w:ind w:left="0"/>
        <w:rPr>
          <w:sz w:val="15"/>
        </w:rPr>
      </w:pPr>
    </w:p>
    <w:p>
      <w:pPr>
        <w:pStyle w:val="Heading1"/>
        <w:tabs>
          <w:tab w:pos="1415" w:val="left" w:leader="none"/>
        </w:tabs>
      </w:pPr>
      <w:r>
        <w:rPr/>
        <w:t>第二十六條</w:t>
        <w:tab/>
        <w:t>除外責任</w:t>
      </w:r>
    </w:p>
    <w:p>
      <w:pPr>
        <w:pStyle w:val="BodyText"/>
        <w:spacing w:line="235" w:lineRule="exact"/>
      </w:pPr>
      <w:r>
        <w:rPr/>
        <w:t>有下列情形之一者，本公司不負給付保險金的責任：</w:t>
      </w:r>
    </w:p>
    <w:p>
      <w:pPr>
        <w:pStyle w:val="BodyText"/>
        <w:spacing w:before="5"/>
      </w:pPr>
      <w:r>
        <w:rPr/>
        <w:t>一、要保人故意致被保險人於死。</w:t>
      </w:r>
    </w:p>
    <w:p>
      <w:pPr>
        <w:pStyle w:val="BodyText"/>
        <w:spacing w:line="242" w:lineRule="auto" w:before="3"/>
        <w:ind w:left="1612" w:right="312" w:hanging="399"/>
      </w:pPr>
      <w:r>
        <w:rPr>
          <w:w w:val="95"/>
        </w:rPr>
        <w:t>二、被保險人故意自殺或自成附表二所列完全失能程度之一者。但自契約訂立或復效之日起二年後</w:t>
      </w:r>
      <w:r>
        <w:rPr>
          <w:spacing w:val="176"/>
        </w:rPr>
        <w:t> </w:t>
      </w:r>
      <w:r>
        <w:rPr/>
        <w:t>故意自殺致死者，本公司仍按第十八條的約定負給付身故保險金或喪葬費用保險金之責任。</w:t>
      </w:r>
    </w:p>
    <w:p>
      <w:pPr>
        <w:pStyle w:val="BodyText"/>
        <w:spacing w:before="3"/>
      </w:pPr>
      <w:r>
        <w:rPr/>
        <w:t>三、被保險人因犯罪處死或拒捕或越獄致死或致成附表二所列完全失能程度之一者。</w:t>
      </w:r>
    </w:p>
    <w:p>
      <w:pPr>
        <w:pStyle w:val="BodyText"/>
        <w:spacing w:line="242" w:lineRule="auto" w:before="3"/>
        <w:ind w:right="310"/>
      </w:pPr>
      <w:r>
        <w:rPr>
          <w:w w:val="95"/>
        </w:rPr>
        <w:t>前項第一款及第二十七條第一項情形致被保險人成附表二所列完全失能程度之一時，本公司按第十</w:t>
      </w:r>
      <w:r>
        <w:rPr>
          <w:spacing w:val="177"/>
        </w:rPr>
        <w:t> </w:t>
      </w:r>
      <w:r>
        <w:rPr/>
        <w:t>九條的約定給付完全失能保險金。</w:t>
      </w:r>
    </w:p>
    <w:p>
      <w:pPr>
        <w:spacing w:after="0" w:line="242" w:lineRule="auto"/>
        <w:sectPr>
          <w:pgSz w:w="11910" w:h="16850"/>
          <w:pgMar w:header="0" w:footer="855" w:top="1360" w:bottom="1040" w:left="920" w:right="820"/>
        </w:sectPr>
      </w:pPr>
    </w:p>
    <w:p>
      <w:pPr>
        <w:pStyle w:val="BodyText"/>
        <w:spacing w:line="242" w:lineRule="auto" w:before="47"/>
        <w:ind w:right="310"/>
      </w:pPr>
      <w:r>
        <w:rPr>
          <w:w w:val="95"/>
        </w:rPr>
        <w:t>因第一項各款情形而免給付「身故保險金或喪葬費用保險金」或「完全失能保險金」者，本契約累</w:t>
      </w:r>
      <w:r>
        <w:rPr>
          <w:spacing w:val="177"/>
        </w:rPr>
        <w:t> </w:t>
      </w:r>
      <w:r>
        <w:rPr/>
        <w:t>積達有保單價值準備金時，依照約定給付保單價值準備金予應得之人。</w:t>
      </w:r>
    </w:p>
    <w:p>
      <w:pPr>
        <w:pStyle w:val="BodyText"/>
        <w:spacing w:before="4"/>
        <w:ind w:left="0"/>
        <w:rPr>
          <w:sz w:val="15"/>
        </w:rPr>
      </w:pPr>
    </w:p>
    <w:p>
      <w:pPr>
        <w:pStyle w:val="Heading1"/>
        <w:tabs>
          <w:tab w:pos="1415" w:val="left" w:leader="none"/>
        </w:tabs>
      </w:pPr>
      <w:r>
        <w:rPr/>
        <w:t>第二十七條</w:t>
        <w:tab/>
        <w:t>受益人之受益權</w:t>
      </w:r>
    </w:p>
    <w:p>
      <w:pPr>
        <w:pStyle w:val="BodyText"/>
        <w:spacing w:line="235" w:lineRule="exact"/>
      </w:pPr>
      <w:r>
        <w:rPr/>
        <w:t>受益人故意致被保險人於死或雖未致死者，喪失其受益權。</w:t>
      </w:r>
    </w:p>
    <w:p>
      <w:pPr>
        <w:pStyle w:val="BodyText"/>
        <w:spacing w:line="244" w:lineRule="auto" w:before="3"/>
        <w:ind w:right="316"/>
        <w:jc w:val="both"/>
      </w:pPr>
      <w:r>
        <w:rPr>
          <w:w w:val="95"/>
        </w:rPr>
        <w:t>前項情形，如因該受益人喪失受益權，而致無受益人受領保險金時，其保險金作為被保險人遺產。</w:t>
      </w:r>
      <w:r>
        <w:rPr>
          <w:spacing w:val="181"/>
        </w:rPr>
        <w:t> </w:t>
      </w:r>
      <w:r>
        <w:rPr>
          <w:w w:val="95"/>
        </w:rPr>
        <w:t>如有其他受益人者，喪失受益權之受益人原應得之部分，按其他受益人原約定比例分歸其他受益</w:t>
      </w:r>
      <w:r>
        <w:rPr>
          <w:spacing w:val="130"/>
        </w:rPr>
        <w:t> </w:t>
      </w:r>
      <w:r>
        <w:rPr>
          <w:spacing w:val="131"/>
        </w:rPr>
        <w:t> </w:t>
      </w:r>
      <w:r>
        <w:rPr/>
        <w:t>人。</w:t>
      </w:r>
    </w:p>
    <w:p>
      <w:pPr>
        <w:pStyle w:val="BodyText"/>
        <w:spacing w:before="10"/>
        <w:ind w:left="0"/>
        <w:rPr>
          <w:sz w:val="14"/>
        </w:rPr>
      </w:pPr>
    </w:p>
    <w:p>
      <w:pPr>
        <w:pStyle w:val="Heading1"/>
        <w:tabs>
          <w:tab w:pos="1415" w:val="left" w:leader="none"/>
        </w:tabs>
        <w:spacing w:line="348" w:lineRule="exact"/>
      </w:pPr>
      <w:r>
        <w:rPr/>
        <w:t>第二十八條</w:t>
        <w:tab/>
        <w:t>欠繳保險費或未還款項的扣除</w:t>
      </w:r>
    </w:p>
    <w:p>
      <w:pPr>
        <w:pStyle w:val="BodyText"/>
        <w:spacing w:line="236" w:lineRule="exact"/>
      </w:pPr>
      <w:r>
        <w:rPr>
          <w:w w:val="95"/>
        </w:rPr>
        <w:t>本公司給付各項保險金、解約金、返還保單價值準備金或退還已繳保險費時，如要保人有欠繳保險</w:t>
      </w:r>
    </w:p>
    <w:p>
      <w:pPr>
        <w:pStyle w:val="BodyText"/>
        <w:spacing w:line="244" w:lineRule="auto" w:before="3"/>
        <w:ind w:right="316"/>
      </w:pPr>
      <w:r>
        <w:rPr>
          <w:w w:val="95"/>
        </w:rPr>
        <w:t>費（包括經本公司墊繳的保險費）或保險單借款未還清者，本公司得先抵銷上述欠款及扣除其應付</w:t>
      </w:r>
      <w:r>
        <w:rPr>
          <w:spacing w:val="171"/>
        </w:rPr>
        <w:t> </w:t>
      </w:r>
      <w:r>
        <w:rPr/>
        <w:t>利息後給付其餘額。</w:t>
      </w:r>
    </w:p>
    <w:p>
      <w:pPr>
        <w:pStyle w:val="BodyText"/>
        <w:spacing w:before="12"/>
        <w:ind w:left="0"/>
        <w:rPr>
          <w:sz w:val="14"/>
        </w:rPr>
      </w:pPr>
    </w:p>
    <w:p>
      <w:pPr>
        <w:pStyle w:val="Heading1"/>
        <w:tabs>
          <w:tab w:pos="1415" w:val="left" w:leader="none"/>
        </w:tabs>
        <w:spacing w:line="348" w:lineRule="exact"/>
      </w:pPr>
      <w:r>
        <w:rPr/>
        <w:drawing>
          <wp:anchor distT="0" distB="0" distL="0" distR="0" allowOverlap="1" layoutInCell="1" locked="0" behindDoc="1" simplePos="0" relativeHeight="487355904">
            <wp:simplePos x="0" y="0"/>
            <wp:positionH relativeFrom="page">
              <wp:posOffset>2873390</wp:posOffset>
            </wp:positionH>
            <wp:positionV relativeFrom="paragraph">
              <wp:posOffset>-21467</wp:posOffset>
            </wp:positionV>
            <wp:extent cx="1837032" cy="4425975"/>
            <wp:effectExtent l="0" t="0" r="0" b="0"/>
            <wp:wrapNone/>
            <wp:docPr id="13" name="image1.png"/>
            <wp:cNvGraphicFramePr>
              <a:graphicFrameLocks noChangeAspect="1"/>
            </wp:cNvGraphicFramePr>
            <a:graphic>
              <a:graphicData uri="http://schemas.openxmlformats.org/drawingml/2006/picture">
                <pic:pic>
                  <pic:nvPicPr>
                    <pic:cNvPr id="14" name="image1.png"/>
                    <pic:cNvPicPr/>
                  </pic:nvPicPr>
                  <pic:blipFill>
                    <a:blip r:embed="rId7" cstate="print"/>
                    <a:stretch>
                      <a:fillRect/>
                    </a:stretch>
                  </pic:blipFill>
                  <pic:spPr>
                    <a:xfrm>
                      <a:off x="0" y="0"/>
                      <a:ext cx="1837032" cy="4425975"/>
                    </a:xfrm>
                    <a:prstGeom prst="rect">
                      <a:avLst/>
                    </a:prstGeom>
                  </pic:spPr>
                </pic:pic>
              </a:graphicData>
            </a:graphic>
          </wp:anchor>
        </w:drawing>
      </w:r>
      <w:r>
        <w:rPr/>
        <w:t>第二十九條</w:t>
        <w:tab/>
      </w:r>
      <w:r>
        <w:rPr>
          <w:w w:val="95"/>
        </w:rPr>
        <w:t>減少基本保險金額</w:t>
      </w:r>
    </w:p>
    <w:p>
      <w:pPr>
        <w:pStyle w:val="BodyText"/>
        <w:spacing w:line="236" w:lineRule="exact"/>
      </w:pPr>
      <w:r>
        <w:rPr>
          <w:w w:val="95"/>
        </w:rPr>
        <w:t>要保人在本契約有效期間內，得申請減少基本保險金額，但是減額後的基本保險金額，不得低於本</w:t>
      </w:r>
    </w:p>
    <w:p>
      <w:pPr>
        <w:pStyle w:val="BodyText"/>
        <w:spacing w:before="3"/>
      </w:pPr>
      <w:r>
        <w:rPr/>
        <w:t>保險最低承保金額，其減少部分依第十三條契約終止之約定處理。</w:t>
      </w:r>
    </w:p>
    <w:p>
      <w:pPr>
        <w:pStyle w:val="BodyText"/>
        <w:spacing w:before="6"/>
        <w:ind w:left="0"/>
        <w:rPr>
          <w:sz w:val="15"/>
        </w:rPr>
      </w:pPr>
    </w:p>
    <w:p>
      <w:pPr>
        <w:pStyle w:val="Heading1"/>
        <w:tabs>
          <w:tab w:pos="1216" w:val="left" w:leader="none"/>
        </w:tabs>
      </w:pPr>
      <w:r>
        <w:rPr/>
        <w:t>第三十條</w:t>
        <w:tab/>
        <w:t>減額繳清保險</w:t>
      </w:r>
    </w:p>
    <w:p>
      <w:pPr>
        <w:pStyle w:val="BodyText"/>
        <w:spacing w:line="235" w:lineRule="exact"/>
        <w:ind w:left="1012"/>
      </w:pPr>
      <w:r>
        <w:rPr>
          <w:w w:val="95"/>
        </w:rPr>
        <w:t>要保人繳足保險費累積達有保單價值準備金時，要保人得以當時基本保險金額對應之保單價值準備金</w:t>
      </w:r>
    </w:p>
    <w:p>
      <w:pPr>
        <w:pStyle w:val="BodyText"/>
        <w:spacing w:before="3"/>
        <w:ind w:left="1012"/>
      </w:pPr>
      <w:r>
        <w:rPr>
          <w:w w:val="95"/>
        </w:rPr>
        <w:t>扣除本公司所收取之營業費用後的數額作為一次繳清的躉繳保險費，向本公司申請改保同類保險的</w:t>
      </w:r>
    </w:p>
    <w:p>
      <w:pPr>
        <w:pStyle w:val="BodyText"/>
        <w:spacing w:line="242" w:lineRule="auto" w:before="6"/>
        <w:ind w:left="1012" w:right="317"/>
        <w:jc w:val="both"/>
      </w:pPr>
      <w:r>
        <w:rPr>
          <w:w w:val="95"/>
        </w:rPr>
        <w:t>「減額繳清保險」，其基本保險金額如保險單之減額繳清保險金額附表。本契約變更為「減額繳清保</w:t>
      </w:r>
      <w:r>
        <w:rPr>
          <w:spacing w:val="192"/>
        </w:rPr>
        <w:t> </w:t>
      </w:r>
      <w:r>
        <w:rPr>
          <w:w w:val="95"/>
        </w:rPr>
        <w:t>險」後，要保人不必再繼續繳保險費，本契約繼續有效，其保險範圍與原契約同，但基本保險金額改</w:t>
      </w:r>
      <w:r>
        <w:rPr>
          <w:spacing w:val="182"/>
        </w:rPr>
        <w:t> </w:t>
      </w:r>
      <w:r>
        <w:rPr/>
        <w:t>以減額繳清保險金額為準。</w:t>
      </w:r>
    </w:p>
    <w:p>
      <w:pPr>
        <w:pStyle w:val="BodyText"/>
        <w:spacing w:line="242" w:lineRule="auto" w:before="3"/>
        <w:ind w:left="1012" w:right="317"/>
        <w:jc w:val="both"/>
      </w:pPr>
      <w:r>
        <w:rPr>
          <w:w w:val="95"/>
        </w:rPr>
        <w:t>要保人選擇改為「減額繳清保險」當時，倘有增值回饋分享金、保險單借款或欠繳、墊繳保險費的情</w:t>
      </w:r>
      <w:r>
        <w:rPr>
          <w:spacing w:val="192"/>
        </w:rPr>
        <w:t> </w:t>
      </w:r>
      <w:r>
        <w:rPr>
          <w:w w:val="95"/>
        </w:rPr>
        <w:t>形，本公司將以當時基本保險金額對應之保單價值準備金加上本公司應給付的增值回饋分享金扣除欠</w:t>
      </w:r>
      <w:r>
        <w:rPr>
          <w:spacing w:val="182"/>
        </w:rPr>
        <w:t> </w:t>
      </w:r>
      <w:r>
        <w:rPr/>
        <w:t>繳保險費或借款本息或墊繳保險費本息及本公司所收取之營業費用後的淨額辦理。</w:t>
      </w:r>
    </w:p>
    <w:p>
      <w:pPr>
        <w:pStyle w:val="BodyText"/>
        <w:spacing w:before="4"/>
        <w:ind w:left="0"/>
        <w:rPr>
          <w:sz w:val="15"/>
        </w:rPr>
      </w:pPr>
    </w:p>
    <w:p>
      <w:pPr>
        <w:pStyle w:val="Heading1"/>
        <w:tabs>
          <w:tab w:pos="1415" w:val="left" w:leader="none"/>
        </w:tabs>
        <w:spacing w:line="347" w:lineRule="exact" w:before="1"/>
      </w:pPr>
      <w:r>
        <w:rPr/>
        <w:t>第三十一條</w:t>
        <w:tab/>
        <w:t>展期定期保險</w:t>
      </w:r>
    </w:p>
    <w:p>
      <w:pPr>
        <w:pStyle w:val="BodyText"/>
        <w:spacing w:line="235" w:lineRule="exact"/>
      </w:pPr>
      <w:r>
        <w:rPr>
          <w:w w:val="95"/>
        </w:rPr>
        <w:t>要保人繳足保險費累積達有保單價值準備金時，要保人得以當時保單價值準備金扣除本公司所收取</w:t>
      </w:r>
    </w:p>
    <w:p>
      <w:pPr>
        <w:pStyle w:val="BodyText"/>
        <w:spacing w:line="242" w:lineRule="auto" w:before="5"/>
        <w:ind w:right="308"/>
        <w:jc w:val="both"/>
      </w:pPr>
      <w:r>
        <w:rPr>
          <w:w w:val="95"/>
        </w:rPr>
        <w:t>之營業費用後的數額作為一次繳清的躉繳保險費，向本公司申請改為僅給付本契約第十八條、第十</w:t>
      </w:r>
      <w:r>
        <w:rPr>
          <w:spacing w:val="189"/>
        </w:rPr>
        <w:t> </w:t>
      </w:r>
      <w:r>
        <w:rPr>
          <w:w w:val="95"/>
        </w:rPr>
        <w:t>九條的「展期定期保險」，其「身故保險金或喪葬費用保險金」、「完全失能保險金」之給付金額</w:t>
      </w:r>
      <w:r>
        <w:rPr>
          <w:spacing w:val="189"/>
        </w:rPr>
        <w:t> </w:t>
      </w:r>
      <w:r>
        <w:rPr>
          <w:w w:val="95"/>
        </w:rPr>
        <w:t>為申請展期定期保險當時「基本保險金額對應之保單價值準備金乘以門檻比率」或「年繳應繳保險</w:t>
      </w:r>
      <w:r>
        <w:rPr>
          <w:spacing w:val="189"/>
        </w:rPr>
        <w:t> </w:t>
      </w:r>
      <w:r>
        <w:rPr>
          <w:w w:val="95"/>
        </w:rPr>
        <w:t>費總額扣除以申請展期定期保險當時基本保險金額計算各年度應給付生存保險金後之餘額」二者之</w:t>
      </w:r>
      <w:r>
        <w:rPr>
          <w:spacing w:val="189"/>
        </w:rPr>
        <w:t> </w:t>
      </w:r>
      <w:r>
        <w:rPr>
          <w:w w:val="95"/>
        </w:rPr>
        <w:t>較大值扣除保險單借款本息或墊繳保險費本息後之餘額。本契約變更為「展期定期保險」後，要保</w:t>
      </w:r>
      <w:r>
        <w:rPr>
          <w:spacing w:val="179"/>
        </w:rPr>
        <w:t> </w:t>
      </w:r>
      <w:r>
        <w:rPr/>
        <w:t>人不必再繼續繳保險費，其展延期間如保險單之展延期間附表，但不得超過原契約的滿期日。</w:t>
      </w:r>
    </w:p>
    <w:p>
      <w:pPr>
        <w:pStyle w:val="BodyText"/>
        <w:spacing w:line="242" w:lineRule="auto" w:before="7"/>
        <w:ind w:right="316"/>
      </w:pPr>
      <w:r>
        <w:rPr>
          <w:w w:val="95"/>
        </w:rPr>
        <w:t>如申請展期定期保險當時之保單價值準備金扣除本公司所收取之營業費用後的數額，超過展期定期</w:t>
      </w:r>
      <w:r>
        <w:rPr>
          <w:spacing w:val="181"/>
        </w:rPr>
        <w:t> </w:t>
      </w:r>
      <w:r>
        <w:rPr>
          <w:w w:val="95"/>
        </w:rPr>
        <w:t>保險至滿期日所需的躉繳保險費時，要保人得以其超過款額作為一次躉繳保險費，購買本契約之</w:t>
      </w:r>
    </w:p>
    <w:p>
      <w:pPr>
        <w:pStyle w:val="BodyText"/>
        <w:spacing w:line="244" w:lineRule="auto" w:before="1"/>
        <w:ind w:right="316"/>
      </w:pPr>
      <w:r>
        <w:rPr>
          <w:w w:val="95"/>
        </w:rPr>
        <w:t>「繳清生存保險」，其給付日期與原契約生存保險金相同，給付金額則按保險單之展期定期保險金</w:t>
      </w:r>
      <w:r>
        <w:rPr>
          <w:spacing w:val="171"/>
        </w:rPr>
        <w:t> </w:t>
      </w:r>
      <w:r>
        <w:rPr/>
        <w:t>額附表計算。</w:t>
      </w:r>
    </w:p>
    <w:p>
      <w:pPr>
        <w:pStyle w:val="BodyText"/>
        <w:spacing w:line="242" w:lineRule="auto"/>
        <w:ind w:right="316"/>
      </w:pPr>
      <w:r>
        <w:rPr>
          <w:w w:val="95"/>
        </w:rPr>
        <w:t>前項情形，購買之「繳清生存保險」給付金額以原契約生存保險金百分之一百為限，如購買「繳清</w:t>
      </w:r>
      <w:r>
        <w:rPr>
          <w:spacing w:val="171"/>
        </w:rPr>
        <w:t> </w:t>
      </w:r>
      <w:r>
        <w:rPr/>
        <w:t>生存保險」後尚有剩餘款額時，本公司應予退還。</w:t>
      </w:r>
    </w:p>
    <w:p>
      <w:pPr>
        <w:pStyle w:val="BodyText"/>
        <w:spacing w:line="242" w:lineRule="auto" w:before="2"/>
        <w:ind w:right="316"/>
        <w:jc w:val="both"/>
      </w:pPr>
      <w:r>
        <w:rPr>
          <w:w w:val="95"/>
        </w:rPr>
        <w:t>要保人選擇改為「展期定期保險」當時，倘有增值回饋分享金、保險單借款或欠繳、墊繳保險費的</w:t>
      </w:r>
      <w:r>
        <w:rPr>
          <w:spacing w:val="181"/>
        </w:rPr>
        <w:t> </w:t>
      </w:r>
      <w:r>
        <w:rPr>
          <w:w w:val="95"/>
        </w:rPr>
        <w:t>情形，本公司將以保單價值準備金加上本公司應給付的增值回饋分享金扣除欠繳保險費或借款本息</w:t>
      </w:r>
      <w:r>
        <w:rPr>
          <w:spacing w:val="171"/>
        </w:rPr>
        <w:t> </w:t>
      </w:r>
      <w:r>
        <w:rPr/>
        <w:t>或墊繳保險費本息及本公司所收取之營業費用後的淨額辦理。</w:t>
      </w:r>
    </w:p>
    <w:p>
      <w:pPr>
        <w:pStyle w:val="BodyText"/>
        <w:spacing w:before="3"/>
      </w:pPr>
      <w:r>
        <w:rPr/>
        <w:t>本契約經變更為展期定期保險後，第十五條約定即不適用。</w:t>
      </w:r>
    </w:p>
    <w:p>
      <w:pPr>
        <w:pStyle w:val="BodyText"/>
        <w:spacing w:before="4"/>
        <w:ind w:left="0"/>
        <w:rPr>
          <w:sz w:val="15"/>
        </w:rPr>
      </w:pPr>
    </w:p>
    <w:p>
      <w:pPr>
        <w:pStyle w:val="Heading1"/>
        <w:tabs>
          <w:tab w:pos="1415" w:val="left" w:leader="none"/>
        </w:tabs>
        <w:spacing w:line="348" w:lineRule="exact"/>
      </w:pPr>
      <w:r>
        <w:rPr/>
        <w:t>第三十二條</w:t>
        <w:tab/>
        <w:t>保險單借款及契約效力的停止</w:t>
      </w:r>
    </w:p>
    <w:p>
      <w:pPr>
        <w:pStyle w:val="BodyText"/>
        <w:spacing w:line="236" w:lineRule="exact"/>
      </w:pPr>
      <w:r>
        <w:rPr>
          <w:w w:val="95"/>
        </w:rPr>
        <w:t>要保人繳足保險費累積達有保單價值準備金時，要保人得向本公司申請保險單借款，其可借金額上</w:t>
      </w:r>
    </w:p>
    <w:p>
      <w:pPr>
        <w:pStyle w:val="BodyText"/>
        <w:spacing w:line="242" w:lineRule="auto" w:before="3"/>
        <w:ind w:right="316"/>
      </w:pPr>
      <w:r>
        <w:rPr>
          <w:w w:val="95"/>
        </w:rPr>
        <w:t>限如附表三，未償還之借款本息，超過其保單價值準備金時，本契約效力即行停止。但本公司應於</w:t>
      </w:r>
      <w:r>
        <w:rPr>
          <w:spacing w:val="171"/>
        </w:rPr>
        <w:t> </w:t>
      </w:r>
      <w:r>
        <w:rPr/>
        <w:t>效力停止日之三十日前以書面通知要保人。</w:t>
      </w:r>
    </w:p>
    <w:p>
      <w:pPr>
        <w:pStyle w:val="BodyText"/>
        <w:spacing w:line="242" w:lineRule="auto" w:before="3"/>
        <w:ind w:right="315"/>
      </w:pPr>
      <w:r>
        <w:rPr>
          <w:w w:val="95"/>
        </w:rPr>
        <w:t>本公司未依前項約定為通知時，於本公司以書面通知要保人返還借款本息之日起三十日內要保人未</w:t>
      </w:r>
      <w:r>
        <w:rPr>
          <w:spacing w:val="172"/>
        </w:rPr>
        <w:t> </w:t>
      </w:r>
      <w:r>
        <w:rPr/>
        <w:t>返還者，本契約之效力自該三十日之次日起停止。</w:t>
      </w:r>
    </w:p>
    <w:p>
      <w:pPr>
        <w:spacing w:after="0" w:line="242" w:lineRule="auto"/>
        <w:sectPr>
          <w:pgSz w:w="11910" w:h="16850"/>
          <w:pgMar w:header="0" w:footer="855" w:top="1360" w:bottom="1040" w:left="920" w:right="820"/>
        </w:sectPr>
      </w:pPr>
    </w:p>
    <w:p>
      <w:pPr>
        <w:pStyle w:val="Heading1"/>
        <w:tabs>
          <w:tab w:pos="1415" w:val="left" w:leader="none"/>
        </w:tabs>
        <w:spacing w:line="328" w:lineRule="exact"/>
      </w:pPr>
      <w:r>
        <w:rPr/>
        <w:t>第三十三條</w:t>
        <w:tab/>
        <w:t>不分紅保險單</w:t>
      </w:r>
    </w:p>
    <w:p>
      <w:pPr>
        <w:pStyle w:val="BodyText"/>
        <w:spacing w:line="235" w:lineRule="exact"/>
      </w:pPr>
      <w:r>
        <w:rPr/>
        <w:t>本保險為不分紅保險單，不參加紅利分配，並無紅利給付項目。</w:t>
      </w:r>
    </w:p>
    <w:p>
      <w:pPr>
        <w:pStyle w:val="BodyText"/>
        <w:spacing w:before="6"/>
        <w:ind w:left="0"/>
        <w:rPr>
          <w:sz w:val="15"/>
        </w:rPr>
      </w:pPr>
    </w:p>
    <w:p>
      <w:pPr>
        <w:pStyle w:val="Heading1"/>
        <w:tabs>
          <w:tab w:pos="1415" w:val="left" w:leader="none"/>
        </w:tabs>
      </w:pPr>
      <w:r>
        <w:rPr/>
        <w:t>第三十四條</w:t>
        <w:tab/>
        <w:t>投保年齡的計算及錯誤的處理</w:t>
      </w:r>
    </w:p>
    <w:p>
      <w:pPr>
        <w:pStyle w:val="BodyText"/>
        <w:spacing w:line="235" w:lineRule="exact"/>
      </w:pPr>
      <w:r>
        <w:rPr>
          <w:w w:val="95"/>
        </w:rPr>
        <w:t>要保人在申請投保時，應將被保險人出生年月日在要保書填明。被保險人的投保年齡，以足歲計</w:t>
      </w:r>
    </w:p>
    <w:p>
      <w:pPr>
        <w:pStyle w:val="BodyText"/>
        <w:spacing w:line="244" w:lineRule="auto" w:before="3"/>
        <w:ind w:right="4351"/>
      </w:pPr>
      <w:r>
        <w:rPr/>
        <w:t>算，但未滿一歲的零數超過六個月者，加算一歲。</w:t>
      </w:r>
      <w:r>
        <w:rPr>
          <w:spacing w:val="1"/>
        </w:rPr>
        <w:t> </w:t>
      </w:r>
      <w:r>
        <w:rPr>
          <w:w w:val="95"/>
        </w:rPr>
        <w:t>被保險人的投保年齡發生錯誤時，依下列規定辦理：</w:t>
      </w:r>
    </w:p>
    <w:p>
      <w:pPr>
        <w:pStyle w:val="BodyText"/>
        <w:spacing w:line="242" w:lineRule="auto"/>
        <w:ind w:left="1612" w:right="316" w:hanging="399"/>
      </w:pPr>
      <w:r>
        <w:rPr>
          <w:w w:val="95"/>
        </w:rPr>
        <w:t>一、真實投保年齡較本公司保險費率表所載最高年齡為大者，本契約無效，其已繳保險費無息退還</w:t>
      </w:r>
      <w:r>
        <w:rPr>
          <w:spacing w:val="172"/>
        </w:rPr>
        <w:t> </w:t>
      </w:r>
      <w:r>
        <w:rPr/>
        <w:t>要保人。</w:t>
      </w:r>
    </w:p>
    <w:p>
      <w:pPr>
        <w:pStyle w:val="BodyText"/>
        <w:spacing w:line="242" w:lineRule="auto" w:before="1"/>
        <w:ind w:left="1612" w:right="303" w:hanging="399"/>
        <w:jc w:val="both"/>
      </w:pPr>
      <w:r>
        <w:rPr>
          <w:w w:val="95"/>
        </w:rPr>
        <w:t>二、因投保年齡的錯誤，而致溢繳保險費者，本公司無息退還溢繳部分的保險費。但在發生保險事</w:t>
      </w:r>
      <w:r>
        <w:rPr>
          <w:spacing w:val="195"/>
        </w:rPr>
        <w:t> </w:t>
      </w:r>
      <w:r>
        <w:rPr>
          <w:w w:val="95"/>
        </w:rPr>
        <w:t>故後始發覺且其錯誤發生在本公司者，本公司按原繳保險費與應繳保險費的比例提高保險金</w:t>
      </w:r>
      <w:r>
        <w:rPr>
          <w:spacing w:val="127"/>
        </w:rPr>
        <w:t> </w:t>
      </w:r>
      <w:r>
        <w:rPr>
          <w:spacing w:val="128"/>
        </w:rPr>
        <w:t> </w:t>
      </w:r>
      <w:r>
        <w:rPr/>
        <w:t>額，而不退還溢繳部分的保險費。</w:t>
      </w:r>
    </w:p>
    <w:p>
      <w:pPr>
        <w:pStyle w:val="BodyText"/>
        <w:spacing w:line="242" w:lineRule="auto" w:before="4"/>
        <w:ind w:left="1612" w:right="316" w:hanging="399"/>
        <w:jc w:val="both"/>
      </w:pPr>
      <w:r>
        <w:rPr/>
        <w:drawing>
          <wp:anchor distT="0" distB="0" distL="0" distR="0" allowOverlap="1" layoutInCell="1" locked="0" behindDoc="1" simplePos="0" relativeHeight="487356416">
            <wp:simplePos x="0" y="0"/>
            <wp:positionH relativeFrom="page">
              <wp:posOffset>2873390</wp:posOffset>
            </wp:positionH>
            <wp:positionV relativeFrom="paragraph">
              <wp:posOffset>268335</wp:posOffset>
            </wp:positionV>
            <wp:extent cx="1837032" cy="4425975"/>
            <wp:effectExtent l="0" t="0" r="0" b="0"/>
            <wp:wrapNone/>
            <wp:docPr id="15" name="image1.png"/>
            <wp:cNvGraphicFramePr>
              <a:graphicFrameLocks noChangeAspect="1"/>
            </wp:cNvGraphicFramePr>
            <a:graphic>
              <a:graphicData uri="http://schemas.openxmlformats.org/drawingml/2006/picture">
                <pic:pic>
                  <pic:nvPicPr>
                    <pic:cNvPr id="16" name="image1.png"/>
                    <pic:cNvPicPr/>
                  </pic:nvPicPr>
                  <pic:blipFill>
                    <a:blip r:embed="rId7" cstate="print"/>
                    <a:stretch>
                      <a:fillRect/>
                    </a:stretch>
                  </pic:blipFill>
                  <pic:spPr>
                    <a:xfrm>
                      <a:off x="0" y="0"/>
                      <a:ext cx="1837032" cy="4425975"/>
                    </a:xfrm>
                    <a:prstGeom prst="rect">
                      <a:avLst/>
                    </a:prstGeom>
                  </pic:spPr>
                </pic:pic>
              </a:graphicData>
            </a:graphic>
          </wp:anchor>
        </w:drawing>
      </w:r>
      <w:r>
        <w:rPr>
          <w:w w:val="95"/>
        </w:rPr>
        <w:t>三、因投保年齡的錯誤，而致短繳保險費者，要保人得補繳短繳的保險費或按照所付的保險費與被</w:t>
      </w:r>
      <w:r>
        <w:rPr>
          <w:spacing w:val="182"/>
        </w:rPr>
        <w:t> </w:t>
      </w:r>
      <w:r>
        <w:rPr>
          <w:w w:val="95"/>
        </w:rPr>
        <w:t>保險人的真實年齡比例減少保險金額。但在發生保險事故後始發覺且其錯誤不可歸責於本公司</w:t>
      </w:r>
      <w:r>
        <w:rPr>
          <w:spacing w:val="153"/>
        </w:rPr>
        <w:t> </w:t>
      </w:r>
      <w:r>
        <w:rPr/>
        <w:t>者，要保人不得要求補繳短繳的保險費。</w:t>
      </w:r>
    </w:p>
    <w:p>
      <w:pPr>
        <w:pStyle w:val="BodyText"/>
        <w:spacing w:line="242" w:lineRule="auto" w:before="4"/>
        <w:ind w:right="316"/>
      </w:pPr>
      <w:r>
        <w:rPr>
          <w:w w:val="95"/>
        </w:rPr>
        <w:t>前項第一款、第二款前段情形，其錯誤原因歸責於本公司者，應加計利息退還保險費，其利息按本</w:t>
      </w:r>
      <w:r>
        <w:rPr>
          <w:spacing w:val="171"/>
        </w:rPr>
        <w:t> </w:t>
      </w:r>
      <w:r>
        <w:rPr/>
        <w:t>保險單辦理保險單借款之利率與民法第二百零三條法定週年利率兩者取其大之值計算。</w:t>
      </w:r>
    </w:p>
    <w:p>
      <w:pPr>
        <w:pStyle w:val="BodyText"/>
        <w:spacing w:before="4"/>
        <w:ind w:left="0"/>
        <w:rPr>
          <w:sz w:val="15"/>
        </w:rPr>
      </w:pPr>
    </w:p>
    <w:p>
      <w:pPr>
        <w:pStyle w:val="Heading1"/>
        <w:tabs>
          <w:tab w:pos="1415" w:val="left" w:leader="none"/>
        </w:tabs>
      </w:pPr>
      <w:r>
        <w:rPr/>
        <w:t>第三十五條</w:t>
        <w:tab/>
        <w:t>受益人的指定及變更</w:t>
      </w:r>
    </w:p>
    <w:p>
      <w:pPr>
        <w:pStyle w:val="BodyText"/>
        <w:spacing w:line="235" w:lineRule="exact"/>
      </w:pPr>
      <w:r>
        <w:rPr/>
        <w:t>完全失能保險金的受益人，為被保險人本人，本公司不受理其指定或變更。</w:t>
      </w:r>
    </w:p>
    <w:p>
      <w:pPr>
        <w:pStyle w:val="BodyText"/>
        <w:spacing w:line="244" w:lineRule="auto" w:before="3"/>
        <w:ind w:right="551"/>
      </w:pPr>
      <w:r>
        <w:rPr>
          <w:w w:val="95"/>
        </w:rPr>
        <w:t>除前項約定外，要保人得依下列規定指定或變更受益人，並應符合指定或變更當時法令之規定：</w:t>
      </w:r>
      <w:r>
        <w:rPr>
          <w:spacing w:val="126"/>
        </w:rPr>
        <w:t> </w:t>
      </w:r>
      <w:r>
        <w:rPr/>
        <w:t>一、於訂立本契約時，經被保險人同意指定受益人。</w:t>
      </w:r>
    </w:p>
    <w:p>
      <w:pPr>
        <w:pStyle w:val="BodyText"/>
        <w:spacing w:line="242" w:lineRule="auto"/>
        <w:ind w:left="1612" w:right="316" w:hanging="399"/>
      </w:pPr>
      <w:r>
        <w:rPr>
          <w:w w:val="95"/>
        </w:rPr>
        <w:t>二、於保險事故發生前經被保險人同意變更受益人，如要保人未將前述變更通知本公司者，不得對</w:t>
      </w:r>
      <w:r>
        <w:rPr>
          <w:spacing w:val="172"/>
        </w:rPr>
        <w:t> </w:t>
      </w:r>
      <w:r>
        <w:rPr/>
        <w:t>抗本公司。</w:t>
      </w:r>
    </w:p>
    <w:p>
      <w:pPr>
        <w:pStyle w:val="BodyText"/>
        <w:spacing w:line="242" w:lineRule="auto" w:before="1"/>
        <w:ind w:right="311"/>
      </w:pPr>
      <w:r>
        <w:rPr>
          <w:w w:val="95"/>
        </w:rPr>
        <w:t>前項受益人的變更，於要保人檢具申請書及被保險人的同意書（要、被保險人為同一人時為申請書</w:t>
      </w:r>
      <w:r>
        <w:rPr>
          <w:spacing w:val="176"/>
        </w:rPr>
        <w:t> </w:t>
      </w:r>
      <w:r>
        <w:rPr/>
        <w:t>或電子申請文件）送達本公司時，本公司應即予批註或發給批註書。</w:t>
      </w:r>
    </w:p>
    <w:p>
      <w:pPr>
        <w:pStyle w:val="BodyText"/>
        <w:spacing w:line="244" w:lineRule="auto" w:before="1"/>
        <w:ind w:right="311"/>
      </w:pPr>
      <w:r>
        <w:rPr>
          <w:w w:val="95"/>
        </w:rPr>
        <w:t>生存保險金及祝壽保險金之受益人，於得申領該保險金前身故者，除要保人已另行指定受益人外，</w:t>
      </w:r>
      <w:r>
        <w:rPr>
          <w:spacing w:val="176"/>
        </w:rPr>
        <w:t> </w:t>
      </w:r>
      <w:r>
        <w:rPr/>
        <w:t>以要保人為該保險金之受益人。</w:t>
      </w:r>
    </w:p>
    <w:p>
      <w:pPr>
        <w:pStyle w:val="BodyText"/>
        <w:spacing w:line="242" w:lineRule="auto"/>
        <w:ind w:right="312"/>
      </w:pPr>
      <w:r>
        <w:rPr>
          <w:w w:val="95"/>
        </w:rPr>
        <w:t>身故保險金或喪葬費用保險金之受益人同時或先於被保險人本人身故，除要保人已另行指定受益人</w:t>
      </w:r>
      <w:r>
        <w:rPr>
          <w:spacing w:val="175"/>
        </w:rPr>
        <w:t> </w:t>
      </w:r>
      <w:r>
        <w:rPr/>
        <w:t>外，以被保險人身故時之法定繼承人為該保險金之受益人。</w:t>
      </w:r>
    </w:p>
    <w:p>
      <w:pPr>
        <w:pStyle w:val="BodyText"/>
        <w:spacing w:before="2"/>
      </w:pPr>
      <w:r>
        <w:rPr/>
        <w:t>本契約受益人為法定繼承人時，其受益順序及應得比例適用民法繼承編之相關規定。</w:t>
      </w:r>
    </w:p>
    <w:p>
      <w:pPr>
        <w:pStyle w:val="BodyText"/>
        <w:spacing w:before="3"/>
        <w:ind w:left="0"/>
        <w:rPr>
          <w:sz w:val="15"/>
        </w:rPr>
      </w:pPr>
    </w:p>
    <w:p>
      <w:pPr>
        <w:pStyle w:val="Heading1"/>
        <w:tabs>
          <w:tab w:pos="1415" w:val="left" w:leader="none"/>
        </w:tabs>
        <w:spacing w:line="348" w:lineRule="exact" w:before="1"/>
      </w:pPr>
      <w:r>
        <w:rPr/>
        <w:t>第三十六條</w:t>
        <w:tab/>
        <w:t>變更住所</w:t>
      </w:r>
    </w:p>
    <w:p>
      <w:pPr>
        <w:pStyle w:val="BodyText"/>
        <w:spacing w:line="236" w:lineRule="exact"/>
      </w:pPr>
      <w:r>
        <w:rPr/>
        <w:t>要保人的住所有變更時，應即以書面或其他約定方式通知本公司。</w:t>
      </w:r>
    </w:p>
    <w:p>
      <w:pPr>
        <w:pStyle w:val="BodyText"/>
        <w:spacing w:before="3"/>
      </w:pPr>
      <w:r>
        <w:rPr/>
        <w:t>要保人不為前項通知者，本公司之各項通知，得以本契約所載要保人之最後住所發送之。</w:t>
      </w:r>
    </w:p>
    <w:p>
      <w:pPr>
        <w:pStyle w:val="BodyText"/>
        <w:spacing w:before="6"/>
        <w:ind w:left="0"/>
        <w:rPr>
          <w:sz w:val="15"/>
        </w:rPr>
      </w:pPr>
    </w:p>
    <w:p>
      <w:pPr>
        <w:pStyle w:val="Heading1"/>
        <w:tabs>
          <w:tab w:pos="1415" w:val="left" w:leader="none"/>
        </w:tabs>
      </w:pPr>
      <w:r>
        <w:rPr/>
        <w:t>第三十七條</w:t>
        <w:tab/>
        <w:t>時效</w:t>
      </w:r>
    </w:p>
    <w:p>
      <w:pPr>
        <w:pStyle w:val="BodyText"/>
        <w:spacing w:line="235" w:lineRule="exact"/>
      </w:pPr>
      <w:r>
        <w:rPr/>
        <w:t>由本契約所生的權利，自得為請求之日起，經過兩年不行使而消滅。</w:t>
      </w:r>
    </w:p>
    <w:p>
      <w:pPr>
        <w:pStyle w:val="BodyText"/>
        <w:spacing w:before="6"/>
        <w:ind w:left="0"/>
        <w:rPr>
          <w:sz w:val="15"/>
        </w:rPr>
      </w:pPr>
    </w:p>
    <w:p>
      <w:pPr>
        <w:pStyle w:val="Heading1"/>
        <w:tabs>
          <w:tab w:pos="1415" w:val="left" w:leader="none"/>
        </w:tabs>
      </w:pPr>
      <w:r>
        <w:rPr/>
        <w:t>第三十八條</w:t>
        <w:tab/>
        <w:t>批註</w:t>
      </w:r>
    </w:p>
    <w:p>
      <w:pPr>
        <w:pStyle w:val="BodyText"/>
        <w:spacing w:line="235" w:lineRule="exact"/>
      </w:pPr>
      <w:r>
        <w:rPr>
          <w:w w:val="95"/>
        </w:rPr>
        <w:t>本契約內容的變更，或記載事項的增刪，除第三十五條約定者外，應經要保人與本公司雙方書面或</w:t>
      </w:r>
    </w:p>
    <w:p>
      <w:pPr>
        <w:pStyle w:val="BodyText"/>
        <w:spacing w:before="3"/>
      </w:pPr>
      <w:r>
        <w:rPr/>
        <w:t>其他約定方式同意，並由本公司即予批註或發給批註書。</w:t>
      </w:r>
    </w:p>
    <w:p>
      <w:pPr>
        <w:pStyle w:val="BodyText"/>
        <w:spacing w:before="7"/>
        <w:ind w:left="0"/>
        <w:rPr>
          <w:sz w:val="15"/>
        </w:rPr>
      </w:pPr>
    </w:p>
    <w:p>
      <w:pPr>
        <w:pStyle w:val="Heading1"/>
        <w:tabs>
          <w:tab w:pos="1415" w:val="left" w:leader="none"/>
        </w:tabs>
      </w:pPr>
      <w:r>
        <w:rPr/>
        <w:t>第三十九條</w:t>
        <w:tab/>
        <w:t>管轄法院</w:t>
      </w:r>
    </w:p>
    <w:p>
      <w:pPr>
        <w:pStyle w:val="BodyText"/>
        <w:spacing w:line="235" w:lineRule="exact"/>
      </w:pPr>
      <w:r>
        <w:rPr>
          <w:w w:val="95"/>
        </w:rPr>
        <w:t>因本契約涉訟者，同意以要保人住所地地方法院為第一審管轄法院，要保人的住所在中華民國境外</w:t>
      </w:r>
    </w:p>
    <w:p>
      <w:pPr>
        <w:pStyle w:val="BodyText"/>
        <w:spacing w:line="242" w:lineRule="auto" w:before="6"/>
        <w:ind w:right="316"/>
      </w:pPr>
      <w:r>
        <w:rPr>
          <w:w w:val="95"/>
        </w:rPr>
        <w:t>時，以本公司總公司所在地地方法院為第一審管轄法院。但不得排除消費者保護法第四十七條及民</w:t>
      </w:r>
      <w:r>
        <w:rPr>
          <w:spacing w:val="171"/>
        </w:rPr>
        <w:t> </w:t>
      </w:r>
      <w:r>
        <w:rPr/>
        <w:t>事訴訟法第四百三十六條之九小額訴訟管轄法院之適用。</w:t>
      </w:r>
    </w:p>
    <w:p>
      <w:pPr>
        <w:spacing w:after="0" w:line="242" w:lineRule="auto"/>
        <w:sectPr>
          <w:pgSz w:w="11910" w:h="16850"/>
          <w:pgMar w:header="0" w:footer="855" w:top="1360" w:bottom="1040" w:left="920" w:right="820"/>
        </w:sectPr>
      </w:pPr>
    </w:p>
    <w:p>
      <w:pPr>
        <w:pStyle w:val="Heading1"/>
        <w:spacing w:line="350" w:lineRule="exact"/>
      </w:pPr>
      <w:r>
        <w:rPr/>
        <w:t>附表一：門檻比率</w:t>
      </w:r>
    </w:p>
    <w:p>
      <w:pPr>
        <w:pStyle w:val="BodyText"/>
        <w:spacing w:before="14"/>
        <w:ind w:left="0"/>
        <w:rPr>
          <w:rFonts w:ascii="Microsoft JhengHei"/>
          <w:b/>
          <w:sz w:val="4"/>
        </w:rPr>
      </w:pPr>
    </w:p>
    <w:tbl>
      <w:tblPr>
        <w:tblW w:w="0" w:type="auto"/>
        <w:jc w:val="left"/>
        <w:tblInd w:w="19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989"/>
        <w:gridCol w:w="1236"/>
        <w:gridCol w:w="1237"/>
        <w:gridCol w:w="1236"/>
        <w:gridCol w:w="1236"/>
        <w:gridCol w:w="1236"/>
        <w:gridCol w:w="1237"/>
        <w:gridCol w:w="1236"/>
      </w:tblGrid>
      <w:tr>
        <w:trPr>
          <w:trHeight w:val="359" w:hRule="atLeast"/>
        </w:trPr>
        <w:tc>
          <w:tcPr>
            <w:tcW w:w="989" w:type="dxa"/>
            <w:tcBorders>
              <w:bottom w:val="single" w:sz="4" w:space="0" w:color="000000"/>
              <w:right w:val="single" w:sz="4" w:space="0" w:color="000000"/>
            </w:tcBorders>
          </w:tcPr>
          <w:p>
            <w:pPr>
              <w:pStyle w:val="TableParagraph"/>
              <w:ind w:left="72" w:right="57"/>
              <w:rPr>
                <w:sz w:val="20"/>
              </w:rPr>
            </w:pPr>
            <w:r>
              <w:rPr>
                <w:sz w:val="20"/>
              </w:rPr>
              <w:t>保險年齡</w:t>
            </w:r>
          </w:p>
        </w:tc>
        <w:tc>
          <w:tcPr>
            <w:tcW w:w="1236" w:type="dxa"/>
            <w:tcBorders>
              <w:left w:val="single" w:sz="4" w:space="0" w:color="000000"/>
              <w:bottom w:val="single" w:sz="4" w:space="0" w:color="000000"/>
              <w:right w:val="single" w:sz="4" w:space="0" w:color="000000"/>
            </w:tcBorders>
          </w:tcPr>
          <w:p>
            <w:pPr>
              <w:pStyle w:val="TableParagraph"/>
              <w:ind w:right="78"/>
              <w:rPr>
                <w:sz w:val="20"/>
              </w:rPr>
            </w:pPr>
            <w:r>
              <w:rPr>
                <w:sz w:val="20"/>
              </w:rPr>
              <w:t>30歲以下</w:t>
            </w:r>
          </w:p>
        </w:tc>
        <w:tc>
          <w:tcPr>
            <w:tcW w:w="1237" w:type="dxa"/>
            <w:tcBorders>
              <w:left w:val="single" w:sz="4" w:space="0" w:color="000000"/>
              <w:bottom w:val="single" w:sz="4" w:space="0" w:color="000000"/>
              <w:right w:val="single" w:sz="4" w:space="0" w:color="000000"/>
            </w:tcBorders>
          </w:tcPr>
          <w:p>
            <w:pPr>
              <w:pStyle w:val="TableParagraph"/>
              <w:ind w:right="79"/>
              <w:rPr>
                <w:sz w:val="20"/>
              </w:rPr>
            </w:pPr>
            <w:r>
              <w:rPr>
                <w:sz w:val="20"/>
              </w:rPr>
              <w:t>31歲至40歲</w:t>
            </w:r>
          </w:p>
        </w:tc>
        <w:tc>
          <w:tcPr>
            <w:tcW w:w="1236" w:type="dxa"/>
            <w:tcBorders>
              <w:left w:val="single" w:sz="4" w:space="0" w:color="000000"/>
              <w:bottom w:val="single" w:sz="4" w:space="0" w:color="000000"/>
              <w:right w:val="single" w:sz="4" w:space="0" w:color="000000"/>
            </w:tcBorders>
          </w:tcPr>
          <w:p>
            <w:pPr>
              <w:pStyle w:val="TableParagraph"/>
              <w:ind w:left="106" w:right="78"/>
              <w:rPr>
                <w:sz w:val="20"/>
              </w:rPr>
            </w:pPr>
            <w:r>
              <w:rPr>
                <w:sz w:val="20"/>
              </w:rPr>
              <w:t>41歲至50歲</w:t>
            </w:r>
          </w:p>
        </w:tc>
        <w:tc>
          <w:tcPr>
            <w:tcW w:w="1236" w:type="dxa"/>
            <w:tcBorders>
              <w:left w:val="single" w:sz="4" w:space="0" w:color="000000"/>
              <w:bottom w:val="single" w:sz="4" w:space="0" w:color="000000"/>
              <w:right w:val="single" w:sz="4" w:space="0" w:color="000000"/>
            </w:tcBorders>
          </w:tcPr>
          <w:p>
            <w:pPr>
              <w:pStyle w:val="TableParagraph"/>
              <w:ind w:left="106" w:right="78"/>
              <w:rPr>
                <w:sz w:val="20"/>
              </w:rPr>
            </w:pPr>
            <w:r>
              <w:rPr>
                <w:sz w:val="20"/>
              </w:rPr>
              <w:t>51歲至60歲</w:t>
            </w:r>
          </w:p>
        </w:tc>
        <w:tc>
          <w:tcPr>
            <w:tcW w:w="1236" w:type="dxa"/>
            <w:tcBorders>
              <w:left w:val="single" w:sz="4" w:space="0" w:color="000000"/>
              <w:bottom w:val="single" w:sz="4" w:space="0" w:color="000000"/>
              <w:right w:val="single" w:sz="4" w:space="0" w:color="000000"/>
            </w:tcBorders>
          </w:tcPr>
          <w:p>
            <w:pPr>
              <w:pStyle w:val="TableParagraph"/>
              <w:ind w:right="78"/>
              <w:rPr>
                <w:sz w:val="20"/>
              </w:rPr>
            </w:pPr>
            <w:r>
              <w:rPr>
                <w:sz w:val="20"/>
              </w:rPr>
              <w:t>61歲至70歲</w:t>
            </w:r>
          </w:p>
        </w:tc>
        <w:tc>
          <w:tcPr>
            <w:tcW w:w="1237" w:type="dxa"/>
            <w:tcBorders>
              <w:left w:val="single" w:sz="4" w:space="0" w:color="000000"/>
              <w:bottom w:val="single" w:sz="4" w:space="0" w:color="000000"/>
              <w:right w:val="single" w:sz="4" w:space="0" w:color="000000"/>
            </w:tcBorders>
          </w:tcPr>
          <w:p>
            <w:pPr>
              <w:pStyle w:val="TableParagraph"/>
              <w:ind w:right="79"/>
              <w:rPr>
                <w:sz w:val="20"/>
              </w:rPr>
            </w:pPr>
            <w:r>
              <w:rPr>
                <w:sz w:val="20"/>
              </w:rPr>
              <w:t>71歲至90歲</w:t>
            </w:r>
          </w:p>
        </w:tc>
        <w:tc>
          <w:tcPr>
            <w:tcW w:w="1236" w:type="dxa"/>
            <w:tcBorders>
              <w:left w:val="single" w:sz="4" w:space="0" w:color="000000"/>
              <w:bottom w:val="single" w:sz="4" w:space="0" w:color="000000"/>
            </w:tcBorders>
          </w:tcPr>
          <w:p>
            <w:pPr>
              <w:pStyle w:val="TableParagraph"/>
              <w:ind w:left="207" w:right="169"/>
              <w:rPr>
                <w:sz w:val="20"/>
              </w:rPr>
            </w:pPr>
            <w:r>
              <w:rPr>
                <w:sz w:val="20"/>
              </w:rPr>
              <w:t>91歲以上</w:t>
            </w:r>
          </w:p>
        </w:tc>
      </w:tr>
      <w:tr>
        <w:trPr>
          <w:trHeight w:val="359" w:hRule="atLeast"/>
        </w:trPr>
        <w:tc>
          <w:tcPr>
            <w:tcW w:w="989" w:type="dxa"/>
            <w:tcBorders>
              <w:top w:val="single" w:sz="4" w:space="0" w:color="000000"/>
              <w:right w:val="single" w:sz="4" w:space="0" w:color="000000"/>
            </w:tcBorders>
          </w:tcPr>
          <w:p>
            <w:pPr>
              <w:pStyle w:val="TableParagraph"/>
              <w:spacing w:before="40"/>
              <w:ind w:left="72" w:right="55"/>
              <w:rPr>
                <w:sz w:val="20"/>
              </w:rPr>
            </w:pPr>
            <w:r>
              <w:rPr>
                <w:sz w:val="20"/>
              </w:rPr>
              <w:t>比率</w:t>
            </w:r>
          </w:p>
        </w:tc>
        <w:tc>
          <w:tcPr>
            <w:tcW w:w="1236" w:type="dxa"/>
            <w:tcBorders>
              <w:top w:val="single" w:sz="4" w:space="0" w:color="000000"/>
              <w:left w:val="single" w:sz="4" w:space="0" w:color="000000"/>
              <w:right w:val="single" w:sz="4" w:space="0" w:color="000000"/>
            </w:tcBorders>
          </w:tcPr>
          <w:p>
            <w:pPr>
              <w:pStyle w:val="TableParagraph"/>
              <w:spacing w:before="40"/>
              <w:ind w:right="76"/>
              <w:rPr>
                <w:sz w:val="20"/>
              </w:rPr>
            </w:pPr>
            <w:r>
              <w:rPr>
                <w:sz w:val="20"/>
              </w:rPr>
              <w:t>190%</w:t>
            </w:r>
          </w:p>
        </w:tc>
        <w:tc>
          <w:tcPr>
            <w:tcW w:w="1237" w:type="dxa"/>
            <w:tcBorders>
              <w:top w:val="single" w:sz="4" w:space="0" w:color="000000"/>
              <w:left w:val="single" w:sz="4" w:space="0" w:color="000000"/>
              <w:right w:val="single" w:sz="4" w:space="0" w:color="000000"/>
            </w:tcBorders>
          </w:tcPr>
          <w:p>
            <w:pPr>
              <w:pStyle w:val="TableParagraph"/>
              <w:spacing w:before="40"/>
              <w:ind w:right="77"/>
              <w:rPr>
                <w:sz w:val="20"/>
              </w:rPr>
            </w:pPr>
            <w:r>
              <w:rPr>
                <w:sz w:val="20"/>
              </w:rPr>
              <w:t>160%</w:t>
            </w:r>
          </w:p>
        </w:tc>
        <w:tc>
          <w:tcPr>
            <w:tcW w:w="1236" w:type="dxa"/>
            <w:tcBorders>
              <w:top w:val="single" w:sz="4" w:space="0" w:color="000000"/>
              <w:left w:val="single" w:sz="4" w:space="0" w:color="000000"/>
              <w:right w:val="single" w:sz="4" w:space="0" w:color="000000"/>
            </w:tcBorders>
          </w:tcPr>
          <w:p>
            <w:pPr>
              <w:pStyle w:val="TableParagraph"/>
              <w:spacing w:before="40"/>
              <w:ind w:right="77"/>
              <w:rPr>
                <w:sz w:val="20"/>
              </w:rPr>
            </w:pPr>
            <w:r>
              <w:rPr>
                <w:sz w:val="20"/>
              </w:rPr>
              <w:t>140%</w:t>
            </w:r>
          </w:p>
        </w:tc>
        <w:tc>
          <w:tcPr>
            <w:tcW w:w="1236" w:type="dxa"/>
            <w:tcBorders>
              <w:top w:val="single" w:sz="4" w:space="0" w:color="000000"/>
              <w:left w:val="single" w:sz="4" w:space="0" w:color="000000"/>
              <w:right w:val="single" w:sz="4" w:space="0" w:color="000000"/>
            </w:tcBorders>
          </w:tcPr>
          <w:p>
            <w:pPr>
              <w:pStyle w:val="TableParagraph"/>
              <w:spacing w:before="40"/>
              <w:ind w:right="77"/>
              <w:rPr>
                <w:sz w:val="20"/>
              </w:rPr>
            </w:pPr>
            <w:r>
              <w:rPr>
                <w:sz w:val="20"/>
              </w:rPr>
              <w:t>120%</w:t>
            </w:r>
          </w:p>
        </w:tc>
        <w:tc>
          <w:tcPr>
            <w:tcW w:w="1236" w:type="dxa"/>
            <w:tcBorders>
              <w:top w:val="single" w:sz="4" w:space="0" w:color="000000"/>
              <w:left w:val="single" w:sz="4" w:space="0" w:color="000000"/>
              <w:right w:val="single" w:sz="4" w:space="0" w:color="000000"/>
            </w:tcBorders>
          </w:tcPr>
          <w:p>
            <w:pPr>
              <w:pStyle w:val="TableParagraph"/>
              <w:spacing w:before="40"/>
              <w:ind w:right="76"/>
              <w:rPr>
                <w:sz w:val="20"/>
              </w:rPr>
            </w:pPr>
            <w:r>
              <w:rPr>
                <w:sz w:val="20"/>
              </w:rPr>
              <w:t>110%</w:t>
            </w:r>
          </w:p>
        </w:tc>
        <w:tc>
          <w:tcPr>
            <w:tcW w:w="1237" w:type="dxa"/>
            <w:tcBorders>
              <w:top w:val="single" w:sz="4" w:space="0" w:color="000000"/>
              <w:left w:val="single" w:sz="4" w:space="0" w:color="000000"/>
              <w:right w:val="single" w:sz="4" w:space="0" w:color="000000"/>
            </w:tcBorders>
          </w:tcPr>
          <w:p>
            <w:pPr>
              <w:pStyle w:val="TableParagraph"/>
              <w:spacing w:before="40"/>
              <w:ind w:right="77"/>
              <w:rPr>
                <w:sz w:val="20"/>
              </w:rPr>
            </w:pPr>
            <w:r>
              <w:rPr>
                <w:sz w:val="20"/>
              </w:rPr>
              <w:t>102%</w:t>
            </w:r>
          </w:p>
        </w:tc>
        <w:tc>
          <w:tcPr>
            <w:tcW w:w="1236" w:type="dxa"/>
            <w:tcBorders>
              <w:top w:val="single" w:sz="4" w:space="0" w:color="000000"/>
              <w:left w:val="single" w:sz="4" w:space="0" w:color="000000"/>
            </w:tcBorders>
          </w:tcPr>
          <w:p>
            <w:pPr>
              <w:pStyle w:val="TableParagraph"/>
              <w:spacing w:before="40"/>
              <w:ind w:left="207" w:right="167"/>
              <w:rPr>
                <w:sz w:val="20"/>
              </w:rPr>
            </w:pPr>
            <w:r>
              <w:rPr>
                <w:sz w:val="20"/>
              </w:rPr>
              <w:t>100%</w:t>
            </w:r>
          </w:p>
        </w:tc>
      </w:tr>
    </w:tbl>
    <w:p>
      <w:pPr>
        <w:pStyle w:val="BodyText"/>
        <w:spacing w:before="1"/>
        <w:ind w:left="0"/>
        <w:rPr>
          <w:rFonts w:ascii="Microsoft JhengHei"/>
          <w:b/>
          <w:sz w:val="21"/>
        </w:rPr>
      </w:pPr>
    </w:p>
    <w:p>
      <w:pPr>
        <w:spacing w:before="0"/>
        <w:ind w:left="212" w:right="0" w:firstLine="0"/>
        <w:jc w:val="left"/>
        <w:rPr>
          <w:rFonts w:ascii="Microsoft JhengHei" w:eastAsia="Microsoft JhengHei" w:hint="eastAsia"/>
          <w:b/>
          <w:sz w:val="20"/>
        </w:rPr>
      </w:pPr>
      <w:r>
        <w:rPr>
          <w:rFonts w:ascii="Microsoft JhengHei" w:eastAsia="Microsoft JhengHei" w:hint="eastAsia"/>
          <w:b/>
          <w:sz w:val="20"/>
        </w:rPr>
        <w:t>附表二：完全失能程度表</w:t>
      </w:r>
    </w:p>
    <w:p>
      <w:pPr>
        <w:pStyle w:val="BodyText"/>
        <w:spacing w:before="14"/>
        <w:ind w:left="0"/>
        <w:rPr>
          <w:rFonts w:ascii="Microsoft JhengHei"/>
          <w:b/>
          <w:sz w:val="4"/>
        </w:rPr>
      </w:pPr>
    </w:p>
    <w:tbl>
      <w:tblPr>
        <w:tblW w:w="0" w:type="auto"/>
        <w:jc w:val="left"/>
        <w:tblInd w:w="24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668"/>
        <w:gridCol w:w="8935"/>
      </w:tblGrid>
      <w:tr>
        <w:trPr>
          <w:trHeight w:val="260" w:hRule="atLeast"/>
        </w:trPr>
        <w:tc>
          <w:tcPr>
            <w:tcW w:w="668" w:type="dxa"/>
            <w:tcBorders>
              <w:bottom w:val="single" w:sz="6" w:space="0" w:color="000000"/>
              <w:right w:val="single" w:sz="6" w:space="0" w:color="000000"/>
            </w:tcBorders>
          </w:tcPr>
          <w:p>
            <w:pPr>
              <w:pStyle w:val="TableParagraph"/>
              <w:spacing w:line="241" w:lineRule="exact" w:before="0"/>
              <w:ind w:left="133"/>
              <w:jc w:val="left"/>
              <w:rPr>
                <w:sz w:val="20"/>
              </w:rPr>
            </w:pPr>
            <w:r>
              <w:rPr>
                <w:w w:val="95"/>
                <w:sz w:val="20"/>
              </w:rPr>
              <w:t>項別</w:t>
            </w:r>
          </w:p>
        </w:tc>
        <w:tc>
          <w:tcPr>
            <w:tcW w:w="8935" w:type="dxa"/>
            <w:tcBorders>
              <w:left w:val="single" w:sz="6" w:space="0" w:color="000000"/>
              <w:bottom w:val="single" w:sz="6" w:space="0" w:color="000000"/>
            </w:tcBorders>
          </w:tcPr>
          <w:p>
            <w:pPr>
              <w:pStyle w:val="TableParagraph"/>
              <w:spacing w:line="241" w:lineRule="exact" w:before="0"/>
              <w:ind w:left="3758" w:right="3726"/>
              <w:rPr>
                <w:sz w:val="20"/>
              </w:rPr>
            </w:pPr>
            <w:r>
              <w:rPr>
                <w:spacing w:val="41"/>
                <w:sz w:val="20"/>
              </w:rPr>
              <w:t>失 能 程 度</w:t>
            </w:r>
          </w:p>
        </w:tc>
      </w:tr>
      <w:tr>
        <w:trPr>
          <w:trHeight w:val="2078" w:hRule="atLeast"/>
        </w:trPr>
        <w:tc>
          <w:tcPr>
            <w:tcW w:w="668" w:type="dxa"/>
            <w:tcBorders>
              <w:top w:val="single" w:sz="6" w:space="0" w:color="000000"/>
              <w:right w:val="single" w:sz="6" w:space="0" w:color="000000"/>
            </w:tcBorders>
          </w:tcPr>
          <w:p>
            <w:pPr>
              <w:pStyle w:val="TableParagraph"/>
              <w:spacing w:line="244" w:lineRule="auto" w:before="0"/>
              <w:ind w:left="235" w:right="209"/>
              <w:jc w:val="both"/>
              <w:rPr>
                <w:sz w:val="20"/>
              </w:rPr>
            </w:pPr>
            <w:r>
              <w:rPr>
                <w:sz w:val="20"/>
              </w:rPr>
              <w:t>一二三四五六七</w:t>
            </w:r>
          </w:p>
        </w:tc>
        <w:tc>
          <w:tcPr>
            <w:tcW w:w="8935" w:type="dxa"/>
            <w:tcBorders>
              <w:top w:val="single" w:sz="6" w:space="0" w:color="000000"/>
              <w:left w:val="single" w:sz="6" w:space="0" w:color="000000"/>
            </w:tcBorders>
          </w:tcPr>
          <w:p>
            <w:pPr>
              <w:pStyle w:val="TableParagraph"/>
              <w:spacing w:line="246" w:lineRule="exact" w:before="0"/>
              <w:ind w:left="114"/>
              <w:jc w:val="left"/>
              <w:rPr>
                <w:sz w:val="20"/>
              </w:rPr>
            </w:pPr>
            <w:r>
              <w:rPr>
                <w:sz w:val="20"/>
              </w:rPr>
              <w:t>雙目均失明者（註1）。</w:t>
            </w:r>
          </w:p>
          <w:p>
            <w:pPr>
              <w:pStyle w:val="TableParagraph"/>
              <w:spacing w:line="244" w:lineRule="auto" w:before="3"/>
              <w:ind w:left="114" w:right="4597"/>
              <w:jc w:val="left"/>
              <w:rPr>
                <w:sz w:val="20"/>
              </w:rPr>
            </w:pPr>
            <w:r>
              <w:rPr>
                <w:w w:val="95"/>
                <w:sz w:val="20"/>
              </w:rPr>
              <w:t>兩上肢腕關節缺失者或兩下肢足踝關節缺失者。</w:t>
            </w:r>
            <w:r>
              <w:rPr>
                <w:spacing w:val="1"/>
                <w:w w:val="95"/>
                <w:sz w:val="20"/>
              </w:rPr>
              <w:t> </w:t>
            </w:r>
            <w:r>
              <w:rPr>
                <w:sz w:val="20"/>
              </w:rPr>
              <w:t>一上肢腕關節及一下肢足踝關節缺失者。</w:t>
            </w:r>
          </w:p>
          <w:p>
            <w:pPr>
              <w:pStyle w:val="TableParagraph"/>
              <w:spacing w:line="242" w:lineRule="auto" w:before="0"/>
              <w:ind w:left="114" w:right="2598"/>
              <w:jc w:val="left"/>
              <w:rPr>
                <w:sz w:val="20"/>
              </w:rPr>
            </w:pPr>
            <w:r>
              <w:rPr>
                <w:w w:val="95"/>
                <w:sz w:val="20"/>
              </w:rPr>
              <w:t>一目失明及一上肢腕關節缺失者或一目失明及一下肢足踝關節缺失者。</w:t>
            </w:r>
            <w:r>
              <w:rPr>
                <w:spacing w:val="16"/>
                <w:w w:val="95"/>
                <w:sz w:val="20"/>
              </w:rPr>
              <w:t> </w:t>
            </w:r>
            <w:r>
              <w:rPr>
                <w:sz w:val="20"/>
              </w:rPr>
              <w:t>永久喪失咀嚼（註2）或言語（註3）之機能者。</w:t>
            </w:r>
          </w:p>
          <w:p>
            <w:pPr>
              <w:pStyle w:val="TableParagraph"/>
              <w:spacing w:before="1"/>
              <w:ind w:left="114"/>
              <w:jc w:val="left"/>
              <w:rPr>
                <w:sz w:val="20"/>
              </w:rPr>
            </w:pPr>
            <w:r>
              <w:rPr>
                <w:sz w:val="20"/>
              </w:rPr>
              <w:t>四肢機能永久完全喪失者（註4）。</w:t>
            </w:r>
          </w:p>
          <w:p>
            <w:pPr>
              <w:pStyle w:val="TableParagraph"/>
              <w:spacing w:line="260" w:lineRule="atLeast" w:before="0"/>
              <w:ind w:left="114" w:right="88"/>
              <w:jc w:val="left"/>
              <w:rPr>
                <w:sz w:val="20"/>
              </w:rPr>
            </w:pPr>
            <w:r>
              <w:rPr>
                <w:w w:val="95"/>
                <w:sz w:val="20"/>
              </w:rPr>
              <w:t>中樞神經系統機能遺存極度障害或胸、腹部臟器機能遺存極度障害，終身不能從事任何工作，經常</w:t>
            </w:r>
            <w:r>
              <w:rPr>
                <w:spacing w:val="241"/>
                <w:sz w:val="20"/>
              </w:rPr>
              <w:t> </w:t>
            </w:r>
            <w:r>
              <w:rPr>
                <w:sz w:val="20"/>
              </w:rPr>
              <w:t>需醫療護理或專人周密照護者（註5）。</w:t>
            </w:r>
          </w:p>
        </w:tc>
      </w:tr>
    </w:tbl>
    <w:p>
      <w:pPr>
        <w:pStyle w:val="BodyText"/>
        <w:ind w:left="212"/>
      </w:pPr>
      <w:r>
        <w:rPr/>
        <w:drawing>
          <wp:anchor distT="0" distB="0" distL="0" distR="0" allowOverlap="1" layoutInCell="1" locked="0" behindDoc="1" simplePos="0" relativeHeight="487357440">
            <wp:simplePos x="0" y="0"/>
            <wp:positionH relativeFrom="page">
              <wp:posOffset>2873390</wp:posOffset>
            </wp:positionH>
            <wp:positionV relativeFrom="paragraph">
              <wp:posOffset>-588024</wp:posOffset>
            </wp:positionV>
            <wp:extent cx="1837032" cy="4425975"/>
            <wp:effectExtent l="0" t="0" r="0" b="0"/>
            <wp:wrapNone/>
            <wp:docPr id="17" name="image1.png"/>
            <wp:cNvGraphicFramePr>
              <a:graphicFrameLocks noChangeAspect="1"/>
            </wp:cNvGraphicFramePr>
            <a:graphic>
              <a:graphicData uri="http://schemas.openxmlformats.org/drawingml/2006/picture">
                <pic:pic>
                  <pic:nvPicPr>
                    <pic:cNvPr id="18" name="image1.png"/>
                    <pic:cNvPicPr/>
                  </pic:nvPicPr>
                  <pic:blipFill>
                    <a:blip r:embed="rId7" cstate="print"/>
                    <a:stretch>
                      <a:fillRect/>
                    </a:stretch>
                  </pic:blipFill>
                  <pic:spPr>
                    <a:xfrm>
                      <a:off x="0" y="0"/>
                      <a:ext cx="1837032" cy="4425975"/>
                    </a:xfrm>
                    <a:prstGeom prst="rect">
                      <a:avLst/>
                    </a:prstGeom>
                  </pic:spPr>
                </pic:pic>
              </a:graphicData>
            </a:graphic>
          </wp:anchor>
        </w:drawing>
      </w:r>
      <w:r>
        <w:rPr>
          <w:w w:val="95"/>
        </w:rPr>
        <w:t>註：</w:t>
      </w:r>
    </w:p>
    <w:p>
      <w:pPr>
        <w:pStyle w:val="ListParagraph"/>
        <w:numPr>
          <w:ilvl w:val="0"/>
          <w:numId w:val="1"/>
        </w:numPr>
        <w:tabs>
          <w:tab w:pos="415" w:val="left" w:leader="none"/>
        </w:tabs>
        <w:spacing w:line="240" w:lineRule="auto" w:before="0" w:after="0"/>
        <w:ind w:left="414" w:right="0" w:hanging="203"/>
        <w:jc w:val="left"/>
        <w:rPr>
          <w:sz w:val="20"/>
        </w:rPr>
      </w:pPr>
      <w:r>
        <w:rPr>
          <w:w w:val="95"/>
          <w:sz w:val="20"/>
        </w:rPr>
        <w:t>失明的認定</w:t>
      </w:r>
    </w:p>
    <w:p>
      <w:pPr>
        <w:pStyle w:val="ListParagraph"/>
        <w:numPr>
          <w:ilvl w:val="1"/>
          <w:numId w:val="1"/>
        </w:numPr>
        <w:tabs>
          <w:tab w:pos="816" w:val="left" w:leader="none"/>
        </w:tabs>
        <w:spacing w:line="240" w:lineRule="auto" w:before="1" w:after="0"/>
        <w:ind w:left="815" w:right="0" w:hanging="503"/>
        <w:jc w:val="left"/>
        <w:rPr>
          <w:sz w:val="20"/>
        </w:rPr>
      </w:pPr>
      <w:r>
        <w:rPr>
          <w:w w:val="95"/>
          <w:sz w:val="20"/>
        </w:rPr>
        <w:t>視力的測定，依據萬國式視力表，兩眼個別依矯正視力測定之。</w:t>
      </w:r>
    </w:p>
    <w:p>
      <w:pPr>
        <w:pStyle w:val="ListParagraph"/>
        <w:numPr>
          <w:ilvl w:val="1"/>
          <w:numId w:val="1"/>
        </w:numPr>
        <w:tabs>
          <w:tab w:pos="816" w:val="left" w:leader="none"/>
        </w:tabs>
        <w:spacing w:line="240" w:lineRule="auto" w:before="3" w:after="0"/>
        <w:ind w:left="815" w:right="0" w:hanging="503"/>
        <w:jc w:val="left"/>
        <w:rPr>
          <w:sz w:val="20"/>
        </w:rPr>
      </w:pPr>
      <w:r>
        <w:rPr>
          <w:w w:val="95"/>
          <w:sz w:val="20"/>
        </w:rPr>
        <w:t>失明係指視力永久在萬國式視力表零點零二以下而言。</w:t>
      </w:r>
    </w:p>
    <w:p>
      <w:pPr>
        <w:pStyle w:val="ListParagraph"/>
        <w:numPr>
          <w:ilvl w:val="1"/>
          <w:numId w:val="1"/>
        </w:numPr>
        <w:tabs>
          <w:tab w:pos="816" w:val="left" w:leader="none"/>
        </w:tabs>
        <w:spacing w:line="242" w:lineRule="auto" w:before="5" w:after="0"/>
        <w:ind w:left="212" w:right="953" w:firstLine="100"/>
        <w:jc w:val="left"/>
        <w:rPr>
          <w:sz w:val="20"/>
        </w:rPr>
      </w:pPr>
      <w:r>
        <w:rPr>
          <w:w w:val="95"/>
          <w:sz w:val="20"/>
        </w:rPr>
        <w:t>以自傷害之日起經過六個月的治療為判定原則，但眼球摘出等明顯無法復原之情況，不在此限。</w:t>
      </w:r>
      <w:r>
        <w:rPr>
          <w:spacing w:val="123"/>
          <w:sz w:val="20"/>
        </w:rPr>
        <w:t> </w:t>
      </w:r>
      <w:r>
        <w:rPr>
          <w:sz w:val="20"/>
        </w:rPr>
        <w:t>2.喪失咀嚼之機能係指因器質障害或機能障害，以致不能作咀嚼運動，除流質食物外，不能攝取者。</w:t>
      </w:r>
    </w:p>
    <w:p>
      <w:pPr>
        <w:pStyle w:val="ListParagraph"/>
        <w:numPr>
          <w:ilvl w:val="0"/>
          <w:numId w:val="2"/>
        </w:numPr>
        <w:tabs>
          <w:tab w:pos="415" w:val="left" w:leader="none"/>
        </w:tabs>
        <w:spacing w:line="244" w:lineRule="auto" w:before="1" w:after="0"/>
        <w:ind w:left="407" w:right="317" w:hanging="195"/>
        <w:jc w:val="left"/>
        <w:rPr>
          <w:sz w:val="20"/>
        </w:rPr>
      </w:pPr>
      <w:r>
        <w:rPr>
          <w:w w:val="95"/>
          <w:sz w:val="20"/>
        </w:rPr>
        <w:t>喪失言語之機能係指後列構成語言之口唇音、齒舌音、口蓋音、喉頭音等之四種語音機能中，有三種以上不</w:t>
      </w:r>
      <w:r>
        <w:rPr>
          <w:spacing w:val="210"/>
          <w:sz w:val="20"/>
        </w:rPr>
        <w:t> </w:t>
      </w:r>
      <w:r>
        <w:rPr>
          <w:sz w:val="20"/>
        </w:rPr>
        <w:t>能構音者。</w:t>
      </w:r>
    </w:p>
    <w:p>
      <w:pPr>
        <w:pStyle w:val="ListParagraph"/>
        <w:numPr>
          <w:ilvl w:val="0"/>
          <w:numId w:val="2"/>
        </w:numPr>
        <w:tabs>
          <w:tab w:pos="415" w:val="left" w:leader="none"/>
        </w:tabs>
        <w:spacing w:line="254" w:lineRule="exact" w:before="0" w:after="0"/>
        <w:ind w:left="414" w:right="0" w:hanging="203"/>
        <w:jc w:val="left"/>
        <w:rPr>
          <w:sz w:val="20"/>
        </w:rPr>
      </w:pPr>
      <w:r>
        <w:rPr>
          <w:w w:val="95"/>
          <w:sz w:val="20"/>
        </w:rPr>
        <w:t>所謂機能永久完全喪失係指經六個月以後其機能仍完全喪失者。</w:t>
      </w:r>
    </w:p>
    <w:p>
      <w:pPr>
        <w:pStyle w:val="ListParagraph"/>
        <w:numPr>
          <w:ilvl w:val="0"/>
          <w:numId w:val="2"/>
        </w:numPr>
        <w:tabs>
          <w:tab w:pos="415" w:val="left" w:leader="none"/>
        </w:tabs>
        <w:spacing w:line="244" w:lineRule="auto" w:before="3" w:after="0"/>
        <w:ind w:left="411" w:right="314" w:hanging="200"/>
        <w:jc w:val="left"/>
        <w:rPr>
          <w:sz w:val="20"/>
        </w:rPr>
      </w:pPr>
      <w:r>
        <w:rPr>
          <w:w w:val="95"/>
          <w:sz w:val="20"/>
        </w:rPr>
        <w:t>因重度神經障害，經常需醫療護理或專人周密照護者，係指為維持生命必要之日常生活活動，全須他人扶助</w:t>
      </w:r>
      <w:r>
        <w:rPr>
          <w:spacing w:val="213"/>
          <w:sz w:val="20"/>
        </w:rPr>
        <w:t> </w:t>
      </w:r>
      <w:r>
        <w:rPr>
          <w:sz w:val="20"/>
        </w:rPr>
        <w:t>者。</w:t>
      </w:r>
    </w:p>
    <w:p>
      <w:pPr>
        <w:pStyle w:val="BodyText"/>
        <w:spacing w:line="242" w:lineRule="auto"/>
        <w:ind w:left="411" w:right="318"/>
      </w:pPr>
      <w:r>
        <w:rPr>
          <w:w w:val="95"/>
        </w:rPr>
        <w:t>而上述「為維持生命必要之日常生活活動」，係指食物攝取、大小便始末、穿脫衣服、起居、步行、入浴</w:t>
      </w:r>
      <w:r>
        <w:rPr>
          <w:spacing w:val="150"/>
        </w:rPr>
        <w:t> </w:t>
      </w:r>
      <w:r>
        <w:rPr>
          <w:spacing w:val="151"/>
        </w:rPr>
        <w:t> </w:t>
      </w:r>
      <w:r>
        <w:rPr/>
        <w:t>等。</w:t>
      </w:r>
    </w:p>
    <w:p>
      <w:pPr>
        <w:pStyle w:val="BodyText"/>
        <w:spacing w:before="12"/>
        <w:ind w:left="0"/>
        <w:rPr>
          <w:sz w:val="17"/>
        </w:rPr>
      </w:pPr>
      <w:r>
        <w:rPr/>
        <w:drawing>
          <wp:anchor distT="0" distB="0" distL="0" distR="0" allowOverlap="1" layoutInCell="1" locked="0" behindDoc="0" simplePos="0" relativeHeight="8">
            <wp:simplePos x="0" y="0"/>
            <wp:positionH relativeFrom="page">
              <wp:posOffset>719455</wp:posOffset>
            </wp:positionH>
            <wp:positionV relativeFrom="paragraph">
              <wp:posOffset>171162</wp:posOffset>
            </wp:positionV>
            <wp:extent cx="6196080" cy="2297430"/>
            <wp:effectExtent l="0" t="0" r="0" b="0"/>
            <wp:wrapTopAndBottom/>
            <wp:docPr id="19" name="image2.png" descr="new說明圖"/>
            <wp:cNvGraphicFramePr>
              <a:graphicFrameLocks noChangeAspect="1"/>
            </wp:cNvGraphicFramePr>
            <a:graphic>
              <a:graphicData uri="http://schemas.openxmlformats.org/drawingml/2006/picture">
                <pic:pic>
                  <pic:nvPicPr>
                    <pic:cNvPr id="20" name="image2.png"/>
                    <pic:cNvPicPr/>
                  </pic:nvPicPr>
                  <pic:blipFill>
                    <a:blip r:embed="rId9" cstate="print"/>
                    <a:stretch>
                      <a:fillRect/>
                    </a:stretch>
                  </pic:blipFill>
                  <pic:spPr>
                    <a:xfrm>
                      <a:off x="0" y="0"/>
                      <a:ext cx="6196080" cy="2297430"/>
                    </a:xfrm>
                    <a:prstGeom prst="rect">
                      <a:avLst/>
                    </a:prstGeom>
                  </pic:spPr>
                </pic:pic>
              </a:graphicData>
            </a:graphic>
          </wp:anchor>
        </w:drawing>
      </w:r>
    </w:p>
    <w:p>
      <w:pPr>
        <w:spacing w:after="0"/>
        <w:rPr>
          <w:sz w:val="17"/>
        </w:rPr>
        <w:sectPr>
          <w:pgSz w:w="11910" w:h="16850"/>
          <w:pgMar w:header="0" w:footer="855" w:top="1400" w:bottom="1040" w:left="920" w:right="820"/>
        </w:sectPr>
      </w:pPr>
    </w:p>
    <w:p>
      <w:pPr>
        <w:pStyle w:val="Heading1"/>
        <w:spacing w:line="349" w:lineRule="exact"/>
      </w:pPr>
      <w:r>
        <w:rPr/>
        <w:drawing>
          <wp:anchor distT="0" distB="0" distL="0" distR="0" allowOverlap="1" layoutInCell="1" locked="0" behindDoc="1" simplePos="0" relativeHeight="487357952">
            <wp:simplePos x="0" y="0"/>
            <wp:positionH relativeFrom="page">
              <wp:posOffset>2873390</wp:posOffset>
            </wp:positionH>
            <wp:positionV relativeFrom="page">
              <wp:posOffset>3141329</wp:posOffset>
            </wp:positionV>
            <wp:extent cx="1837032" cy="4425975"/>
            <wp:effectExtent l="0" t="0" r="0" b="0"/>
            <wp:wrapNone/>
            <wp:docPr id="21" name="image1.png"/>
            <wp:cNvGraphicFramePr>
              <a:graphicFrameLocks noChangeAspect="1"/>
            </wp:cNvGraphicFramePr>
            <a:graphic>
              <a:graphicData uri="http://schemas.openxmlformats.org/drawingml/2006/picture">
                <pic:pic>
                  <pic:nvPicPr>
                    <pic:cNvPr id="22" name="image1.png"/>
                    <pic:cNvPicPr/>
                  </pic:nvPicPr>
                  <pic:blipFill>
                    <a:blip r:embed="rId7" cstate="print"/>
                    <a:stretch>
                      <a:fillRect/>
                    </a:stretch>
                  </pic:blipFill>
                  <pic:spPr>
                    <a:xfrm>
                      <a:off x="0" y="0"/>
                      <a:ext cx="1837032" cy="4425975"/>
                    </a:xfrm>
                    <a:prstGeom prst="rect">
                      <a:avLst/>
                    </a:prstGeom>
                  </pic:spPr>
                </pic:pic>
              </a:graphicData>
            </a:graphic>
          </wp:anchor>
        </w:drawing>
      </w:r>
      <w:r>
        <w:rPr/>
        <w:t>附表三：各保險單年度可借金額上限表</w:t>
      </w:r>
    </w:p>
    <w:p>
      <w:pPr>
        <w:pStyle w:val="BodyText"/>
        <w:spacing w:before="14"/>
        <w:ind w:left="0"/>
        <w:rPr>
          <w:rFonts w:ascii="Microsoft JhengHei"/>
          <w:b/>
          <w:sz w:val="4"/>
        </w:rPr>
      </w:pPr>
    </w:p>
    <w:tbl>
      <w:tblPr>
        <w:tblW w:w="0" w:type="auto"/>
        <w:jc w:val="left"/>
        <w:tblInd w:w="22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062"/>
        <w:gridCol w:w="2379"/>
        <w:gridCol w:w="5199"/>
      </w:tblGrid>
      <w:tr>
        <w:trPr>
          <w:trHeight w:val="363" w:hRule="atLeast"/>
        </w:trPr>
        <w:tc>
          <w:tcPr>
            <w:tcW w:w="2062" w:type="dxa"/>
            <w:tcBorders>
              <w:bottom w:val="single" w:sz="6" w:space="0" w:color="000000"/>
              <w:right w:val="single" w:sz="6" w:space="0" w:color="000000"/>
            </w:tcBorders>
          </w:tcPr>
          <w:p>
            <w:pPr>
              <w:pStyle w:val="TableParagraph"/>
              <w:spacing w:before="41"/>
              <w:ind w:left="461" w:right="435"/>
              <w:rPr>
                <w:sz w:val="20"/>
              </w:rPr>
            </w:pPr>
            <w:r>
              <w:rPr>
                <w:sz w:val="20"/>
              </w:rPr>
              <w:t>保險單年度</w:t>
            </w:r>
          </w:p>
        </w:tc>
        <w:tc>
          <w:tcPr>
            <w:tcW w:w="2379" w:type="dxa"/>
            <w:tcBorders>
              <w:left w:val="single" w:sz="6" w:space="0" w:color="000000"/>
              <w:bottom w:val="single" w:sz="6" w:space="0" w:color="000000"/>
              <w:right w:val="single" w:sz="6" w:space="0" w:color="000000"/>
            </w:tcBorders>
          </w:tcPr>
          <w:p>
            <w:pPr>
              <w:pStyle w:val="TableParagraph"/>
              <w:spacing w:before="41"/>
              <w:ind w:left="775" w:right="748"/>
              <w:rPr>
                <w:sz w:val="20"/>
              </w:rPr>
            </w:pPr>
            <w:r>
              <w:rPr>
                <w:sz w:val="20"/>
              </w:rPr>
              <w:t>可借成數</w:t>
            </w:r>
          </w:p>
        </w:tc>
        <w:tc>
          <w:tcPr>
            <w:tcW w:w="5199" w:type="dxa"/>
            <w:tcBorders>
              <w:left w:val="single" w:sz="6" w:space="0" w:color="000000"/>
              <w:bottom w:val="single" w:sz="6" w:space="0" w:color="000000"/>
            </w:tcBorders>
          </w:tcPr>
          <w:p>
            <w:pPr>
              <w:pStyle w:val="TableParagraph"/>
              <w:spacing w:before="41"/>
              <w:ind w:left="1988" w:right="1948"/>
              <w:rPr>
                <w:sz w:val="20"/>
              </w:rPr>
            </w:pPr>
            <w:r>
              <w:rPr>
                <w:sz w:val="20"/>
              </w:rPr>
              <w:t>可借金額上限</w:t>
            </w:r>
          </w:p>
        </w:tc>
      </w:tr>
      <w:tr>
        <w:trPr>
          <w:trHeight w:val="368" w:hRule="atLeast"/>
        </w:trPr>
        <w:tc>
          <w:tcPr>
            <w:tcW w:w="2062" w:type="dxa"/>
            <w:tcBorders>
              <w:top w:val="single" w:sz="6" w:space="0" w:color="000000"/>
              <w:bottom w:val="single" w:sz="6" w:space="0" w:color="000000"/>
              <w:right w:val="single" w:sz="6" w:space="0" w:color="000000"/>
            </w:tcBorders>
          </w:tcPr>
          <w:p>
            <w:pPr>
              <w:pStyle w:val="TableParagraph"/>
              <w:spacing w:before="49"/>
              <w:ind w:left="463" w:right="435"/>
              <w:rPr>
                <w:sz w:val="20"/>
              </w:rPr>
            </w:pPr>
            <w:r>
              <w:rPr>
                <w:sz w:val="20"/>
              </w:rPr>
              <w:t>第1年</w:t>
            </w:r>
          </w:p>
        </w:tc>
        <w:tc>
          <w:tcPr>
            <w:tcW w:w="2379" w:type="dxa"/>
            <w:tcBorders>
              <w:top w:val="single" w:sz="6" w:space="0" w:color="000000"/>
              <w:left w:val="single" w:sz="6" w:space="0" w:color="000000"/>
              <w:bottom w:val="single" w:sz="6" w:space="0" w:color="000000"/>
              <w:right w:val="single" w:sz="6" w:space="0" w:color="000000"/>
            </w:tcBorders>
          </w:tcPr>
          <w:p>
            <w:pPr>
              <w:pStyle w:val="TableParagraph"/>
              <w:spacing w:before="49"/>
              <w:ind w:left="775" w:right="744"/>
              <w:rPr>
                <w:sz w:val="20"/>
              </w:rPr>
            </w:pPr>
            <w:r>
              <w:rPr>
                <w:sz w:val="20"/>
              </w:rPr>
              <w:t>60%</w:t>
            </w:r>
          </w:p>
        </w:tc>
        <w:tc>
          <w:tcPr>
            <w:tcW w:w="5199" w:type="dxa"/>
            <w:vMerge w:val="restart"/>
            <w:tcBorders>
              <w:top w:val="single" w:sz="6" w:space="0" w:color="000000"/>
              <w:left w:val="single" w:sz="6" w:space="0" w:color="000000"/>
            </w:tcBorders>
          </w:tcPr>
          <w:p>
            <w:pPr>
              <w:pStyle w:val="TableParagraph"/>
              <w:spacing w:before="1"/>
              <w:ind w:left="0"/>
              <w:jc w:val="left"/>
              <w:rPr>
                <w:rFonts w:ascii="Microsoft JhengHei"/>
                <w:b/>
                <w:sz w:val="24"/>
              </w:rPr>
            </w:pPr>
          </w:p>
          <w:p>
            <w:pPr>
              <w:pStyle w:val="TableParagraph"/>
              <w:spacing w:before="0"/>
              <w:ind w:left="258"/>
              <w:jc w:val="left"/>
              <w:rPr>
                <w:sz w:val="20"/>
              </w:rPr>
            </w:pPr>
            <w:r>
              <w:rPr>
                <w:w w:val="95"/>
                <w:sz w:val="20"/>
              </w:rPr>
              <w:t>可借金額上限＝</w:t>
            </w:r>
            <w:r>
              <w:rPr>
                <w:spacing w:val="5"/>
                <w:w w:val="95"/>
                <w:sz w:val="20"/>
              </w:rPr>
              <w:t>借款當日保單價值準備金 </w:t>
            </w:r>
            <w:r>
              <w:rPr>
                <w:spacing w:val="38"/>
                <w:w w:val="80"/>
                <w:sz w:val="20"/>
              </w:rPr>
              <w:t>× </w:t>
            </w:r>
            <w:r>
              <w:rPr>
                <w:w w:val="95"/>
                <w:sz w:val="20"/>
              </w:rPr>
              <w:t>可借成數</w:t>
            </w:r>
          </w:p>
        </w:tc>
      </w:tr>
      <w:tr>
        <w:trPr>
          <w:trHeight w:val="361" w:hRule="atLeast"/>
        </w:trPr>
        <w:tc>
          <w:tcPr>
            <w:tcW w:w="2062" w:type="dxa"/>
            <w:tcBorders>
              <w:top w:val="single" w:sz="6" w:space="0" w:color="000000"/>
              <w:bottom w:val="single" w:sz="6" w:space="0" w:color="000000"/>
              <w:right w:val="single" w:sz="6" w:space="0" w:color="000000"/>
            </w:tcBorders>
          </w:tcPr>
          <w:p>
            <w:pPr>
              <w:pStyle w:val="TableParagraph"/>
              <w:spacing w:before="41"/>
              <w:ind w:left="463" w:right="435"/>
              <w:rPr>
                <w:sz w:val="20"/>
              </w:rPr>
            </w:pPr>
            <w:r>
              <w:rPr>
                <w:sz w:val="20"/>
              </w:rPr>
              <w:t>第2年~第5年</w:t>
            </w:r>
          </w:p>
        </w:tc>
        <w:tc>
          <w:tcPr>
            <w:tcW w:w="2379" w:type="dxa"/>
            <w:tcBorders>
              <w:top w:val="single" w:sz="6" w:space="0" w:color="000000"/>
              <w:left w:val="single" w:sz="6" w:space="0" w:color="000000"/>
              <w:bottom w:val="single" w:sz="6" w:space="0" w:color="000000"/>
              <w:right w:val="single" w:sz="6" w:space="0" w:color="000000"/>
            </w:tcBorders>
          </w:tcPr>
          <w:p>
            <w:pPr>
              <w:pStyle w:val="TableParagraph"/>
              <w:spacing w:before="41"/>
              <w:ind w:left="775" w:right="744"/>
              <w:rPr>
                <w:sz w:val="20"/>
              </w:rPr>
            </w:pPr>
            <w:r>
              <w:rPr>
                <w:sz w:val="20"/>
              </w:rPr>
              <w:t>70%</w:t>
            </w:r>
          </w:p>
        </w:tc>
        <w:tc>
          <w:tcPr>
            <w:tcW w:w="5199" w:type="dxa"/>
            <w:vMerge/>
            <w:tcBorders>
              <w:top w:val="nil"/>
              <w:left w:val="single" w:sz="6" w:space="0" w:color="000000"/>
            </w:tcBorders>
          </w:tcPr>
          <w:p>
            <w:pPr>
              <w:rPr>
                <w:sz w:val="2"/>
                <w:szCs w:val="2"/>
              </w:rPr>
            </w:pPr>
          </w:p>
        </w:tc>
      </w:tr>
      <w:tr>
        <w:trPr>
          <w:trHeight w:val="380" w:hRule="atLeast"/>
        </w:trPr>
        <w:tc>
          <w:tcPr>
            <w:tcW w:w="2062" w:type="dxa"/>
            <w:tcBorders>
              <w:top w:val="single" w:sz="6" w:space="0" w:color="000000"/>
              <w:right w:val="single" w:sz="6" w:space="0" w:color="000000"/>
            </w:tcBorders>
          </w:tcPr>
          <w:p>
            <w:pPr>
              <w:pStyle w:val="TableParagraph"/>
              <w:spacing w:before="46"/>
              <w:ind w:left="463" w:right="435"/>
              <w:rPr>
                <w:sz w:val="20"/>
              </w:rPr>
            </w:pPr>
            <w:r>
              <w:rPr>
                <w:sz w:val="20"/>
              </w:rPr>
              <w:t>第6年及以後</w:t>
            </w:r>
          </w:p>
        </w:tc>
        <w:tc>
          <w:tcPr>
            <w:tcW w:w="2379" w:type="dxa"/>
            <w:tcBorders>
              <w:top w:val="single" w:sz="6" w:space="0" w:color="000000"/>
              <w:left w:val="single" w:sz="6" w:space="0" w:color="000000"/>
              <w:right w:val="single" w:sz="6" w:space="0" w:color="000000"/>
            </w:tcBorders>
          </w:tcPr>
          <w:p>
            <w:pPr>
              <w:pStyle w:val="TableParagraph"/>
              <w:spacing w:before="46"/>
              <w:ind w:left="775" w:right="744"/>
              <w:rPr>
                <w:sz w:val="20"/>
              </w:rPr>
            </w:pPr>
            <w:r>
              <w:rPr>
                <w:sz w:val="20"/>
              </w:rPr>
              <w:t>85%</w:t>
            </w:r>
          </w:p>
        </w:tc>
        <w:tc>
          <w:tcPr>
            <w:tcW w:w="5199" w:type="dxa"/>
            <w:vMerge/>
            <w:tcBorders>
              <w:top w:val="nil"/>
              <w:left w:val="single" w:sz="6" w:space="0" w:color="000000"/>
            </w:tcBorders>
          </w:tcPr>
          <w:p>
            <w:pPr>
              <w:rPr>
                <w:sz w:val="2"/>
                <w:szCs w:val="2"/>
              </w:rPr>
            </w:pPr>
          </w:p>
        </w:tc>
      </w:tr>
    </w:tbl>
    <w:sectPr>
      <w:pgSz w:w="11910" w:h="16850"/>
      <w:pgMar w:header="0" w:footer="855" w:top="1360" w:bottom="1040" w:left="920" w:right="8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Microsoft JhengHei">
    <w:altName w:val="Microsoft JhengHei"/>
    <w:charset w:val="1"/>
    <w:family w:val="swiss"/>
    <w:pitch w:val="variable"/>
  </w:font>
  <w:font w:name="SimSun">
    <w:altName w:val="SimSun"/>
    <w:charset w:val="1"/>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shapetype id="_x0000_t202" o:spt="202" coordsize="21600,21600" path="m,l,21600r21600,l21600,xe">
          <v:stroke joinstyle="miter"/>
          <v:path gradientshapeok="t" o:connecttype="rect"/>
        </v:shapetype>
        <v:shape style="position:absolute;margin-left:261.609985pt;margin-top:788.280212pt;width:75.1pt;height:12pt;mso-position-horizontal-relative:page;mso-position-vertical-relative:page;z-index:-15963648" type="#_x0000_t202" filled="false" stroked="false">
          <v:textbox inset="0,0,0,0">
            <w:txbxContent>
              <w:p>
                <w:pPr>
                  <w:spacing w:line="239" w:lineRule="exact" w:before="0"/>
                  <w:ind w:left="20" w:right="0" w:firstLine="0"/>
                  <w:jc w:val="left"/>
                  <w:rPr>
                    <w:rFonts w:ascii="Microsoft JhengHei" w:eastAsia="Microsoft JhengHei" w:hint="eastAsia"/>
                    <w:b/>
                    <w:sz w:val="20"/>
                  </w:rPr>
                </w:pPr>
                <w:r>
                  <w:rPr>
                    <w:rFonts w:ascii="Microsoft JhengHei" w:eastAsia="Microsoft JhengHei" w:hint="eastAsia"/>
                    <w:b/>
                    <w:w w:val="95"/>
                    <w:sz w:val="20"/>
                  </w:rPr>
                  <w:t>第</w:t>
                </w:r>
                <w:r>
                  <w:rPr/>
                  <w:fldChar w:fldCharType="begin"/>
                </w:r>
                <w:r>
                  <w:rPr>
                    <w:rFonts w:ascii="Microsoft JhengHei" w:eastAsia="Microsoft JhengHei" w:hint="eastAsia"/>
                    <w:b/>
                    <w:w w:val="95"/>
                    <w:sz w:val="20"/>
                  </w:rPr>
                  <w:instrText> PAGE </w:instrText>
                </w:r>
                <w:r>
                  <w:rPr/>
                  <w:fldChar w:fldCharType="separate"/>
                </w:r>
                <w:r>
                  <w:rPr/>
                  <w:t>10</w:t>
                </w:r>
                <w:r>
                  <w:rPr/>
                  <w:fldChar w:fldCharType="end"/>
                </w:r>
                <w:r>
                  <w:rPr>
                    <w:rFonts w:ascii="Microsoft JhengHei" w:eastAsia="Microsoft JhengHei" w:hint="eastAsia"/>
                    <w:b/>
                    <w:w w:val="95"/>
                    <w:sz w:val="20"/>
                  </w:rPr>
                  <w:t>頁，共10頁</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3"/>
      <w:numFmt w:val="decimal"/>
      <w:lvlText w:val="%1."/>
      <w:lvlJc w:val="left"/>
      <w:pPr>
        <w:ind w:left="407" w:hanging="202"/>
        <w:jc w:val="left"/>
      </w:pPr>
      <w:rPr>
        <w:rFonts w:hint="default" w:ascii="SimSun" w:hAnsi="SimSun" w:eastAsia="SimSun" w:cs="SimSun"/>
        <w:spacing w:val="1"/>
        <w:w w:val="99"/>
        <w:sz w:val="18"/>
        <w:szCs w:val="18"/>
        <w:lang w:val="en-US" w:eastAsia="zh-TW" w:bidi="ar-SA"/>
      </w:rPr>
    </w:lvl>
    <w:lvl w:ilvl="1">
      <w:start w:val="0"/>
      <w:numFmt w:val="bullet"/>
      <w:lvlText w:val="•"/>
      <w:lvlJc w:val="left"/>
      <w:pPr>
        <w:ind w:left="1376" w:hanging="202"/>
      </w:pPr>
      <w:rPr>
        <w:rFonts w:hint="default"/>
        <w:lang w:val="en-US" w:eastAsia="zh-TW" w:bidi="ar-SA"/>
      </w:rPr>
    </w:lvl>
    <w:lvl w:ilvl="2">
      <w:start w:val="0"/>
      <w:numFmt w:val="bullet"/>
      <w:lvlText w:val="•"/>
      <w:lvlJc w:val="left"/>
      <w:pPr>
        <w:ind w:left="2353" w:hanging="202"/>
      </w:pPr>
      <w:rPr>
        <w:rFonts w:hint="default"/>
        <w:lang w:val="en-US" w:eastAsia="zh-TW" w:bidi="ar-SA"/>
      </w:rPr>
    </w:lvl>
    <w:lvl w:ilvl="3">
      <w:start w:val="0"/>
      <w:numFmt w:val="bullet"/>
      <w:lvlText w:val="•"/>
      <w:lvlJc w:val="left"/>
      <w:pPr>
        <w:ind w:left="3329" w:hanging="202"/>
      </w:pPr>
      <w:rPr>
        <w:rFonts w:hint="default"/>
        <w:lang w:val="en-US" w:eastAsia="zh-TW" w:bidi="ar-SA"/>
      </w:rPr>
    </w:lvl>
    <w:lvl w:ilvl="4">
      <w:start w:val="0"/>
      <w:numFmt w:val="bullet"/>
      <w:lvlText w:val="•"/>
      <w:lvlJc w:val="left"/>
      <w:pPr>
        <w:ind w:left="4306" w:hanging="202"/>
      </w:pPr>
      <w:rPr>
        <w:rFonts w:hint="default"/>
        <w:lang w:val="en-US" w:eastAsia="zh-TW" w:bidi="ar-SA"/>
      </w:rPr>
    </w:lvl>
    <w:lvl w:ilvl="5">
      <w:start w:val="0"/>
      <w:numFmt w:val="bullet"/>
      <w:lvlText w:val="•"/>
      <w:lvlJc w:val="left"/>
      <w:pPr>
        <w:ind w:left="5283" w:hanging="202"/>
      </w:pPr>
      <w:rPr>
        <w:rFonts w:hint="default"/>
        <w:lang w:val="en-US" w:eastAsia="zh-TW" w:bidi="ar-SA"/>
      </w:rPr>
    </w:lvl>
    <w:lvl w:ilvl="6">
      <w:start w:val="0"/>
      <w:numFmt w:val="bullet"/>
      <w:lvlText w:val="•"/>
      <w:lvlJc w:val="left"/>
      <w:pPr>
        <w:ind w:left="6259" w:hanging="202"/>
      </w:pPr>
      <w:rPr>
        <w:rFonts w:hint="default"/>
        <w:lang w:val="en-US" w:eastAsia="zh-TW" w:bidi="ar-SA"/>
      </w:rPr>
    </w:lvl>
    <w:lvl w:ilvl="7">
      <w:start w:val="0"/>
      <w:numFmt w:val="bullet"/>
      <w:lvlText w:val="•"/>
      <w:lvlJc w:val="left"/>
      <w:pPr>
        <w:ind w:left="7236" w:hanging="202"/>
      </w:pPr>
      <w:rPr>
        <w:rFonts w:hint="default"/>
        <w:lang w:val="en-US" w:eastAsia="zh-TW" w:bidi="ar-SA"/>
      </w:rPr>
    </w:lvl>
    <w:lvl w:ilvl="8">
      <w:start w:val="0"/>
      <w:numFmt w:val="bullet"/>
      <w:lvlText w:val="•"/>
      <w:lvlJc w:val="left"/>
      <w:pPr>
        <w:ind w:left="8213" w:hanging="202"/>
      </w:pPr>
      <w:rPr>
        <w:rFonts w:hint="default"/>
        <w:lang w:val="en-US" w:eastAsia="zh-TW" w:bidi="ar-SA"/>
      </w:rPr>
    </w:lvl>
  </w:abstractNum>
  <w:abstractNum w:abstractNumId="0">
    <w:multiLevelType w:val="hybridMultilevel"/>
    <w:lvl w:ilvl="0">
      <w:start w:val="1"/>
      <w:numFmt w:val="decimal"/>
      <w:lvlText w:val="%1."/>
      <w:lvlJc w:val="left"/>
      <w:pPr>
        <w:ind w:left="414" w:hanging="202"/>
        <w:jc w:val="left"/>
      </w:pPr>
      <w:rPr>
        <w:rFonts w:hint="default" w:ascii="SimSun" w:hAnsi="SimSun" w:eastAsia="SimSun" w:cs="SimSun"/>
        <w:spacing w:val="1"/>
        <w:w w:val="99"/>
        <w:sz w:val="18"/>
        <w:szCs w:val="18"/>
        <w:lang w:val="en-US" w:eastAsia="zh-TW" w:bidi="ar-SA"/>
      </w:rPr>
    </w:lvl>
    <w:lvl w:ilvl="1">
      <w:start w:val="1"/>
      <w:numFmt w:val="decimal"/>
      <w:lvlText w:val="（%2）"/>
      <w:lvlJc w:val="left"/>
      <w:pPr>
        <w:ind w:left="815" w:hanging="503"/>
        <w:jc w:val="left"/>
      </w:pPr>
      <w:rPr>
        <w:rFonts w:hint="default" w:ascii="SimSun" w:hAnsi="SimSun" w:eastAsia="SimSun" w:cs="SimSun"/>
        <w:spacing w:val="-2"/>
        <w:w w:val="99"/>
        <w:sz w:val="18"/>
        <w:szCs w:val="18"/>
        <w:lang w:val="en-US" w:eastAsia="zh-TW" w:bidi="ar-SA"/>
      </w:rPr>
    </w:lvl>
    <w:lvl w:ilvl="2">
      <w:start w:val="0"/>
      <w:numFmt w:val="bullet"/>
      <w:lvlText w:val="•"/>
      <w:lvlJc w:val="left"/>
      <w:pPr>
        <w:ind w:left="1858" w:hanging="503"/>
      </w:pPr>
      <w:rPr>
        <w:rFonts w:hint="default"/>
        <w:lang w:val="en-US" w:eastAsia="zh-TW" w:bidi="ar-SA"/>
      </w:rPr>
    </w:lvl>
    <w:lvl w:ilvl="3">
      <w:start w:val="0"/>
      <w:numFmt w:val="bullet"/>
      <w:lvlText w:val="•"/>
      <w:lvlJc w:val="left"/>
      <w:pPr>
        <w:ind w:left="2896" w:hanging="503"/>
      </w:pPr>
      <w:rPr>
        <w:rFonts w:hint="default"/>
        <w:lang w:val="en-US" w:eastAsia="zh-TW" w:bidi="ar-SA"/>
      </w:rPr>
    </w:lvl>
    <w:lvl w:ilvl="4">
      <w:start w:val="0"/>
      <w:numFmt w:val="bullet"/>
      <w:lvlText w:val="•"/>
      <w:lvlJc w:val="left"/>
      <w:pPr>
        <w:ind w:left="3935" w:hanging="503"/>
      </w:pPr>
      <w:rPr>
        <w:rFonts w:hint="default"/>
        <w:lang w:val="en-US" w:eastAsia="zh-TW" w:bidi="ar-SA"/>
      </w:rPr>
    </w:lvl>
    <w:lvl w:ilvl="5">
      <w:start w:val="0"/>
      <w:numFmt w:val="bullet"/>
      <w:lvlText w:val="•"/>
      <w:lvlJc w:val="left"/>
      <w:pPr>
        <w:ind w:left="4973" w:hanging="503"/>
      </w:pPr>
      <w:rPr>
        <w:rFonts w:hint="default"/>
        <w:lang w:val="en-US" w:eastAsia="zh-TW" w:bidi="ar-SA"/>
      </w:rPr>
    </w:lvl>
    <w:lvl w:ilvl="6">
      <w:start w:val="0"/>
      <w:numFmt w:val="bullet"/>
      <w:lvlText w:val="•"/>
      <w:lvlJc w:val="left"/>
      <w:pPr>
        <w:ind w:left="6012" w:hanging="503"/>
      </w:pPr>
      <w:rPr>
        <w:rFonts w:hint="default"/>
        <w:lang w:val="en-US" w:eastAsia="zh-TW" w:bidi="ar-SA"/>
      </w:rPr>
    </w:lvl>
    <w:lvl w:ilvl="7">
      <w:start w:val="0"/>
      <w:numFmt w:val="bullet"/>
      <w:lvlText w:val="•"/>
      <w:lvlJc w:val="left"/>
      <w:pPr>
        <w:ind w:left="7050" w:hanging="503"/>
      </w:pPr>
      <w:rPr>
        <w:rFonts w:hint="default"/>
        <w:lang w:val="en-US" w:eastAsia="zh-TW" w:bidi="ar-SA"/>
      </w:rPr>
    </w:lvl>
    <w:lvl w:ilvl="8">
      <w:start w:val="0"/>
      <w:numFmt w:val="bullet"/>
      <w:lvlText w:val="•"/>
      <w:lvlJc w:val="left"/>
      <w:pPr>
        <w:ind w:left="8089" w:hanging="503"/>
      </w:pPr>
      <w:rPr>
        <w:rFonts w:hint="default"/>
        <w:lang w:val="en-US" w:eastAsia="zh-TW"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SimSun" w:hAnsi="SimSun" w:eastAsia="SimSun" w:cs="SimSun"/>
      <w:lang w:val="en-US" w:eastAsia="zh-TW" w:bidi="ar-SA"/>
    </w:rPr>
  </w:style>
  <w:style w:styleId="BodyText" w:type="paragraph">
    <w:name w:val="Body Text"/>
    <w:basedOn w:val="Normal"/>
    <w:uiPriority w:val="1"/>
    <w:qFormat/>
    <w:pPr>
      <w:ind w:left="1214"/>
    </w:pPr>
    <w:rPr>
      <w:rFonts w:ascii="SimSun" w:hAnsi="SimSun" w:eastAsia="SimSun" w:cs="SimSun"/>
      <w:sz w:val="20"/>
      <w:szCs w:val="20"/>
      <w:lang w:val="en-US" w:eastAsia="zh-TW" w:bidi="ar-SA"/>
    </w:rPr>
  </w:style>
  <w:style w:styleId="Heading1" w:type="paragraph">
    <w:name w:val="Heading 1"/>
    <w:basedOn w:val="Normal"/>
    <w:uiPriority w:val="1"/>
    <w:qFormat/>
    <w:pPr>
      <w:spacing w:line="346" w:lineRule="exact"/>
      <w:ind w:left="212"/>
      <w:outlineLvl w:val="1"/>
    </w:pPr>
    <w:rPr>
      <w:rFonts w:ascii="Microsoft JhengHei" w:hAnsi="Microsoft JhengHei" w:eastAsia="Microsoft JhengHei" w:cs="Microsoft JhengHei"/>
      <w:b/>
      <w:bCs/>
      <w:sz w:val="20"/>
      <w:szCs w:val="20"/>
      <w:lang w:val="en-US" w:eastAsia="zh-TW" w:bidi="ar-SA"/>
    </w:rPr>
  </w:style>
  <w:style w:styleId="Title" w:type="paragraph">
    <w:name w:val="Title"/>
    <w:basedOn w:val="Normal"/>
    <w:uiPriority w:val="1"/>
    <w:qFormat/>
    <w:pPr>
      <w:spacing w:line="474" w:lineRule="exact"/>
      <w:ind w:left="119"/>
    </w:pPr>
    <w:rPr>
      <w:rFonts w:ascii="Microsoft JhengHei" w:hAnsi="Microsoft JhengHei" w:eastAsia="Microsoft JhengHei" w:cs="Microsoft JhengHei"/>
      <w:b/>
      <w:bCs/>
      <w:sz w:val="36"/>
      <w:szCs w:val="36"/>
      <w:lang w:val="en-US" w:eastAsia="zh-TW" w:bidi="ar-SA"/>
    </w:rPr>
  </w:style>
  <w:style w:styleId="ListParagraph" w:type="paragraph">
    <w:name w:val="List Paragraph"/>
    <w:basedOn w:val="Normal"/>
    <w:uiPriority w:val="1"/>
    <w:qFormat/>
    <w:pPr>
      <w:ind w:left="414" w:hanging="503"/>
    </w:pPr>
    <w:rPr>
      <w:rFonts w:ascii="SimSun" w:hAnsi="SimSun" w:eastAsia="SimSun" w:cs="SimSun"/>
      <w:lang w:val="en-US" w:eastAsia="zh-TW" w:bidi="ar-SA"/>
    </w:rPr>
  </w:style>
  <w:style w:styleId="TableParagraph" w:type="paragraph">
    <w:name w:val="Table Paragraph"/>
    <w:basedOn w:val="Normal"/>
    <w:uiPriority w:val="1"/>
    <w:qFormat/>
    <w:pPr>
      <w:spacing w:before="39"/>
      <w:ind w:left="107"/>
      <w:jc w:val="center"/>
    </w:pPr>
    <w:rPr>
      <w:rFonts w:ascii="SimSun" w:hAnsi="SimSun" w:eastAsia="SimSun" w:cs="SimSun"/>
      <w:lang w:val="en-US" w:eastAsia="zh-TW"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mailto:service@cathaylife.com.tw" TargetMode="External"/><Relationship Id="rId7" Type="http://schemas.openxmlformats.org/officeDocument/2006/relationships/image" Target="media/image1.png"/><Relationship Id="rId8" Type="http://schemas.openxmlformats.org/officeDocument/2006/relationships/hyperlink" Target="http://www.cathayholdings.com/life" TargetMode="External"/><Relationship Id="rId9" Type="http://schemas.openxmlformats.org/officeDocument/2006/relationships/image" Target="media/image2.png"/><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企劃部</dc:creator>
  <dc:title>條款</dc:title>
  <dcterms:created xsi:type="dcterms:W3CDTF">2023-11-01T02:18:58Z</dcterms:created>
  <dcterms:modified xsi:type="dcterms:W3CDTF">2023-11-01T02:18:58Z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2023-01-11T00:00:00Z</vt:filetime>
  </property>
  <property fmtid="{D5CDD505-2E9C-101B-9397-08002B2CF9AE}" pid="3" name="Creator">
    <vt:lpwstr>Microsoft® Word 2016</vt:lpwstr>
  </property>
  <property fmtid="{D5CDD505-2E9C-101B-9397-08002B2CF9AE}" pid="4" name="LastSaved">
    <vt:filetime>2023-11-01T00:00:00Z</vt:filetime>
  </property>
</Properties>
</file>