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國泰人壽自由配一年定期初次罹患重大疾病健康保險(甲型)</w:t>
      </w:r>
    </w:p>
    <w:p>
      <w:pPr>
        <w:pStyle w:val="Heading1"/>
        <w:spacing w:line="246" w:lineRule="exact"/>
      </w:pPr>
      <w:r>
        <w:rPr/>
        <w:t>（給付項目：重大疾病保險金）</w:t>
      </w:r>
    </w:p>
    <w:p>
      <w:pPr>
        <w:spacing w:line="260" w:lineRule="exact" w:before="0"/>
        <w:ind w:left="132" w:right="0" w:firstLine="0"/>
        <w:jc w:val="left"/>
        <w:rPr>
          <w:rFonts w:ascii="Microsoft JhengHei" w:eastAsia="Microsoft JhengHei" w:hint="eastAsia"/>
          <w:b/>
          <w:sz w:val="20"/>
        </w:rPr>
      </w:pPr>
      <w:r>
        <w:rPr>
          <w:rFonts w:ascii="Microsoft JhengHei" w:eastAsia="Microsoft JhengHei" w:hint="eastAsia"/>
          <w:b/>
          <w:sz w:val="20"/>
        </w:rPr>
        <w:t>（本保險為一年期保證續保商品）</w:t>
      </w:r>
    </w:p>
    <w:p>
      <w:pPr>
        <w:pStyle w:val="Heading1"/>
        <w:spacing w:line="170" w:lineRule="auto" w:before="24"/>
        <w:ind w:left="330" w:right="200" w:hanging="198"/>
        <w:jc w:val="both"/>
      </w:pPr>
      <w:r>
        <w:rPr>
          <w:w w:val="95"/>
        </w:rPr>
        <w:t>（本保險「重大疾病」等待期間為三十日，但屬「癌症（重度）」則等待期間為九十日。被保險人因遭遇意外</w:t>
      </w:r>
      <w:r>
        <w:rPr>
          <w:spacing w:val="49"/>
        </w:rPr>
        <w:t> </w:t>
      </w:r>
      <w:r>
        <w:rPr>
          <w:spacing w:val="149"/>
        </w:rPr>
        <w:t> </w:t>
      </w:r>
      <w:r>
        <w:rPr/>
        <w:t>傷害事故致成癱瘓</w:t>
      </w:r>
      <w:r>
        <w:rPr>
          <w:w w:val="120"/>
        </w:rPr>
        <w:t>(</w:t>
      </w:r>
      <w:r>
        <w:rPr/>
        <w:t>重度</w:t>
      </w:r>
      <w:r>
        <w:rPr>
          <w:w w:val="120"/>
        </w:rPr>
        <w:t>)</w:t>
      </w:r>
      <w:r>
        <w:rPr/>
        <w:t>及重大器官移植或造血幹細胞移植情形之一者，不受本契約等待期間之限制。詳請參閱契約條款）</w:t>
      </w:r>
    </w:p>
    <w:p>
      <w:pPr>
        <w:spacing w:line="168" w:lineRule="auto" w:before="0"/>
        <w:ind w:left="320" w:right="195" w:hanging="188"/>
        <w:jc w:val="both"/>
        <w:rPr>
          <w:rFonts w:ascii="Microsoft JhengHei" w:eastAsia="Microsoft JhengHei" w:hint="eastAsia"/>
          <w:b/>
          <w:sz w:val="20"/>
        </w:rPr>
      </w:pPr>
      <w:r>
        <w:rPr>
          <w:rFonts w:ascii="Microsoft JhengHei" w:eastAsia="Microsoft JhengHei" w:hint="eastAsia"/>
          <w:b/>
          <w:spacing w:val="-8"/>
          <w:w w:val="95"/>
          <w:sz w:val="20"/>
        </w:rPr>
        <w:t>（申訴電話：市話免費撥打</w:t>
      </w:r>
      <w:r>
        <w:rPr>
          <w:rFonts w:ascii="Microsoft JhengHei" w:eastAsia="Microsoft JhengHei" w:hint="eastAsia"/>
          <w:b/>
          <w:spacing w:val="-4"/>
          <w:w w:val="95"/>
          <w:sz w:val="20"/>
        </w:rPr>
        <w:t>0800-036-599</w:t>
      </w:r>
      <w:r>
        <w:rPr>
          <w:rFonts w:ascii="Microsoft JhengHei" w:eastAsia="Microsoft JhengHei" w:hint="eastAsia"/>
          <w:b/>
          <w:spacing w:val="-8"/>
          <w:w w:val="95"/>
          <w:sz w:val="20"/>
        </w:rPr>
        <w:t>、付費撥打</w:t>
      </w:r>
      <w:r>
        <w:rPr>
          <w:rFonts w:ascii="Microsoft JhengHei" w:eastAsia="Microsoft JhengHei" w:hint="eastAsia"/>
          <w:b/>
          <w:spacing w:val="-4"/>
          <w:w w:val="95"/>
          <w:sz w:val="20"/>
        </w:rPr>
        <w:t>02-2162-6201</w:t>
      </w:r>
      <w:r>
        <w:rPr>
          <w:rFonts w:ascii="Microsoft JhengHei" w:eastAsia="Microsoft JhengHei" w:hint="eastAsia"/>
          <w:b/>
          <w:spacing w:val="-7"/>
          <w:w w:val="95"/>
          <w:sz w:val="20"/>
        </w:rPr>
        <w:t>；傳真：</w:t>
      </w:r>
      <w:r>
        <w:rPr>
          <w:rFonts w:ascii="Microsoft JhengHei" w:eastAsia="Microsoft JhengHei" w:hint="eastAsia"/>
          <w:b/>
          <w:spacing w:val="-5"/>
          <w:w w:val="95"/>
          <w:sz w:val="20"/>
        </w:rPr>
        <w:t>0800-211-568</w:t>
      </w:r>
      <w:r>
        <w:rPr>
          <w:rFonts w:ascii="Microsoft JhengHei" w:eastAsia="Microsoft JhengHei" w:hint="eastAsia"/>
          <w:b/>
          <w:spacing w:val="-8"/>
          <w:w w:val="95"/>
          <w:sz w:val="20"/>
        </w:rPr>
        <w:t>；電子信箱</w:t>
      </w:r>
      <w:r>
        <w:rPr>
          <w:rFonts w:ascii="Microsoft JhengHei" w:eastAsia="Microsoft JhengHei" w:hint="eastAsia"/>
          <w:b/>
          <w:spacing w:val="-6"/>
          <w:w w:val="95"/>
          <w:sz w:val="20"/>
        </w:rPr>
        <w:t>（E-mail）：</w:t>
      </w:r>
      <w:r>
        <w:rPr>
          <w:rFonts w:ascii="Microsoft JhengHei" w:eastAsia="Microsoft JhengHei" w:hint="eastAsia"/>
          <w:b/>
          <w:spacing w:val="-7"/>
          <w:w w:val="95"/>
          <w:sz w:val="20"/>
        </w:rPr>
        <w:t> </w:t>
      </w:r>
      <w:hyperlink r:id="rId6">
        <w:r>
          <w:rPr>
            <w:rFonts w:ascii="Microsoft JhengHei" w:eastAsia="Microsoft JhengHei" w:hint="eastAsia"/>
            <w:b/>
            <w:spacing w:val="-4"/>
            <w:w w:val="105"/>
            <w:sz w:val="20"/>
          </w:rPr>
          <w:t>s</w:t>
        </w:r>
        <w:r>
          <w:rPr>
            <w:rFonts w:ascii="Microsoft JhengHei" w:eastAsia="Microsoft JhengHei" w:hint="eastAsia"/>
            <w:b/>
            <w:spacing w:val="-4"/>
            <w:w w:val="87"/>
            <w:sz w:val="20"/>
          </w:rPr>
          <w:t>e</w:t>
        </w:r>
        <w:r>
          <w:rPr>
            <w:rFonts w:ascii="Microsoft JhengHei" w:eastAsia="Microsoft JhengHei" w:hint="eastAsia"/>
            <w:b/>
            <w:spacing w:val="-4"/>
            <w:w w:val="126"/>
            <w:sz w:val="20"/>
          </w:rPr>
          <w:t>r</w:t>
        </w:r>
        <w:r>
          <w:rPr>
            <w:rFonts w:ascii="Microsoft JhengHei" w:eastAsia="Microsoft JhengHei" w:hint="eastAsia"/>
            <w:b/>
            <w:spacing w:val="-4"/>
            <w:w w:val="92"/>
            <w:sz w:val="20"/>
          </w:rPr>
          <w:t>v</w:t>
        </w:r>
        <w:r>
          <w:rPr>
            <w:rFonts w:ascii="Microsoft JhengHei" w:eastAsia="Microsoft JhengHei" w:hint="eastAsia"/>
            <w:b/>
            <w:spacing w:val="-2"/>
            <w:w w:val="180"/>
            <w:sz w:val="20"/>
          </w:rPr>
          <w:t>i</w:t>
        </w:r>
        <w:r>
          <w:rPr>
            <w:rFonts w:ascii="Microsoft JhengHei" w:eastAsia="Microsoft JhengHei" w:hint="eastAsia"/>
            <w:b/>
            <w:spacing w:val="-4"/>
            <w:w w:val="98"/>
            <w:sz w:val="20"/>
          </w:rPr>
          <w:t>c</w:t>
        </w:r>
        <w:r>
          <w:rPr>
            <w:rFonts w:ascii="Microsoft JhengHei" w:eastAsia="Microsoft JhengHei" w:hint="eastAsia"/>
            <w:b/>
            <w:spacing w:val="-4"/>
            <w:w w:val="87"/>
            <w:sz w:val="20"/>
          </w:rPr>
          <w:t>e</w:t>
        </w:r>
        <w:r>
          <w:rPr>
            <w:rFonts w:ascii="Microsoft JhengHei" w:eastAsia="Microsoft JhengHei" w:hint="eastAsia"/>
            <w:b/>
            <w:spacing w:val="-4"/>
            <w:w w:val="48"/>
            <w:sz w:val="20"/>
          </w:rPr>
          <w:t>@</w:t>
        </w:r>
        <w:r>
          <w:rPr>
            <w:rFonts w:ascii="Microsoft JhengHei" w:eastAsia="Microsoft JhengHei" w:hint="eastAsia"/>
            <w:b/>
            <w:spacing w:val="-4"/>
            <w:w w:val="98"/>
            <w:sz w:val="20"/>
          </w:rPr>
          <w:t>c</w:t>
        </w:r>
        <w:r>
          <w:rPr>
            <w:rFonts w:ascii="Microsoft JhengHei" w:eastAsia="Microsoft JhengHei" w:hint="eastAsia"/>
            <w:b/>
            <w:spacing w:val="-4"/>
            <w:w w:val="88"/>
            <w:sz w:val="20"/>
          </w:rPr>
          <w:t>a</w:t>
        </w:r>
        <w:r>
          <w:rPr>
            <w:rFonts w:ascii="Microsoft JhengHei" w:eastAsia="Microsoft JhengHei" w:hint="eastAsia"/>
            <w:b/>
            <w:spacing w:val="-4"/>
            <w:w w:val="129"/>
            <w:sz w:val="20"/>
          </w:rPr>
          <w:t>t</w:t>
        </w:r>
        <w:r>
          <w:rPr>
            <w:rFonts w:ascii="Microsoft JhengHei" w:eastAsia="Microsoft JhengHei" w:hint="eastAsia"/>
            <w:b/>
            <w:spacing w:val="-4"/>
            <w:w w:val="79"/>
            <w:sz w:val="20"/>
          </w:rPr>
          <w:t>h</w:t>
        </w:r>
        <w:r>
          <w:rPr>
            <w:rFonts w:ascii="Microsoft JhengHei" w:eastAsia="Microsoft JhengHei" w:hint="eastAsia"/>
            <w:b/>
            <w:spacing w:val="-4"/>
            <w:w w:val="88"/>
            <w:sz w:val="20"/>
          </w:rPr>
          <w:t>a</w:t>
        </w:r>
        <w:r>
          <w:rPr>
            <w:rFonts w:ascii="Microsoft JhengHei" w:eastAsia="Microsoft JhengHei" w:hint="eastAsia"/>
            <w:b/>
            <w:spacing w:val="-4"/>
            <w:w w:val="91"/>
            <w:sz w:val="20"/>
          </w:rPr>
          <w:t>y</w:t>
        </w:r>
        <w:r>
          <w:rPr>
            <w:rFonts w:ascii="Microsoft JhengHei" w:eastAsia="Microsoft JhengHei" w:hint="eastAsia"/>
            <w:b/>
            <w:spacing w:val="-4"/>
            <w:w w:val="180"/>
            <w:sz w:val="20"/>
          </w:rPr>
          <w:t>li</w:t>
        </w:r>
        <w:r>
          <w:rPr>
            <w:rFonts w:ascii="Microsoft JhengHei" w:eastAsia="Microsoft JhengHei" w:hint="eastAsia"/>
            <w:b/>
            <w:spacing w:val="-2"/>
            <w:w w:val="136"/>
            <w:sz w:val="20"/>
          </w:rPr>
          <w:t>f</w:t>
        </w:r>
        <w:r>
          <w:rPr>
            <w:rFonts w:ascii="Microsoft JhengHei" w:eastAsia="Microsoft JhengHei" w:hint="eastAsia"/>
            <w:b/>
            <w:spacing w:val="-4"/>
            <w:w w:val="87"/>
            <w:sz w:val="20"/>
          </w:rPr>
          <w:t>e</w:t>
        </w:r>
        <w:r>
          <w:rPr>
            <w:rFonts w:ascii="Microsoft JhengHei" w:eastAsia="Microsoft JhengHei" w:hint="eastAsia"/>
            <w:b/>
            <w:spacing w:val="-4"/>
            <w:w w:val="195"/>
            <w:sz w:val="20"/>
          </w:rPr>
          <w:t>.</w:t>
        </w:r>
        <w:r>
          <w:rPr>
            <w:rFonts w:ascii="Microsoft JhengHei" w:eastAsia="Microsoft JhengHei" w:hint="eastAsia"/>
            <w:b/>
            <w:spacing w:val="-4"/>
            <w:w w:val="98"/>
            <w:sz w:val="20"/>
          </w:rPr>
          <w:t>c</w:t>
        </w:r>
        <w:r>
          <w:rPr>
            <w:rFonts w:ascii="Microsoft JhengHei" w:eastAsia="Microsoft JhengHei" w:hint="eastAsia"/>
            <w:b/>
            <w:spacing w:val="-4"/>
            <w:w w:val="77"/>
            <w:sz w:val="20"/>
          </w:rPr>
          <w:t>o</w:t>
        </w:r>
        <w:r>
          <w:rPr>
            <w:rFonts w:ascii="Microsoft JhengHei" w:eastAsia="Microsoft JhengHei" w:hint="eastAsia"/>
            <w:b/>
            <w:spacing w:val="-4"/>
            <w:w w:val="52"/>
            <w:sz w:val="20"/>
          </w:rPr>
          <w:t>m</w:t>
        </w:r>
        <w:r>
          <w:rPr>
            <w:rFonts w:ascii="Microsoft JhengHei" w:eastAsia="Microsoft JhengHei" w:hint="eastAsia"/>
            <w:b/>
            <w:spacing w:val="-4"/>
            <w:w w:val="103"/>
            <w:sz w:val="20"/>
          </w:rPr>
          <w:t>.tw</w:t>
        </w:r>
      </w:hyperlink>
      <w:r>
        <w:rPr>
          <w:rFonts w:ascii="Microsoft JhengHei" w:eastAsia="Microsoft JhengHei" w:hint="eastAsia"/>
          <w:b/>
          <w:w w:val="99"/>
          <w:sz w:val="20"/>
        </w:rPr>
        <w:t>）</w:t>
      </w:r>
    </w:p>
    <w:p>
      <w:pPr>
        <w:pStyle w:val="BodyText"/>
        <w:spacing w:before="14"/>
        <w:ind w:left="0"/>
        <w:rPr>
          <w:rFonts w:ascii="Microsoft JhengHei"/>
          <w:b/>
          <w:sz w:val="13"/>
        </w:rPr>
      </w:pPr>
    </w:p>
    <w:p>
      <w:pPr>
        <w:pStyle w:val="BodyText"/>
        <w:ind w:left="132"/>
      </w:pPr>
      <w:r>
        <w:rPr>
          <w:w w:val="95"/>
        </w:rPr>
        <w:t>110.08.31</w:t>
      </w:r>
      <w:r>
        <w:rPr>
          <w:spacing w:val="-3"/>
          <w:w w:val="95"/>
        </w:rPr>
        <w:t> 國壽字第 </w:t>
      </w:r>
      <w:r>
        <w:rPr>
          <w:w w:val="95"/>
        </w:rPr>
        <w:t>1100081182</w:t>
      </w:r>
      <w:r>
        <w:rPr>
          <w:spacing w:val="-3"/>
          <w:w w:val="95"/>
        </w:rPr>
        <w:t> 號函備查</w:t>
      </w:r>
    </w:p>
    <w:p>
      <w:pPr>
        <w:pStyle w:val="BodyText"/>
        <w:spacing w:before="5"/>
        <w:ind w:left="132"/>
      </w:pPr>
      <w:r>
        <w:rPr>
          <w:w w:val="95"/>
        </w:rPr>
        <w:t>112.02.08</w:t>
      </w:r>
      <w:r>
        <w:rPr>
          <w:spacing w:val="-5"/>
          <w:w w:val="95"/>
        </w:rPr>
        <w:t> 依 </w:t>
      </w:r>
      <w:r>
        <w:rPr>
          <w:w w:val="95"/>
        </w:rPr>
        <w:t>111.08.30</w:t>
      </w:r>
      <w:r>
        <w:rPr>
          <w:spacing w:val="-4"/>
          <w:w w:val="95"/>
        </w:rPr>
        <w:t> 金管保壽字第 </w:t>
      </w:r>
      <w:r>
        <w:rPr>
          <w:w w:val="95"/>
        </w:rPr>
        <w:t>1110445485</w:t>
      </w:r>
      <w:r>
        <w:rPr>
          <w:spacing w:val="-3"/>
          <w:w w:val="95"/>
        </w:rPr>
        <w:t> 號函修正</w:t>
      </w:r>
    </w:p>
    <w:p>
      <w:pPr>
        <w:pStyle w:val="BodyText"/>
        <w:spacing w:before="2"/>
        <w:ind w:left="0"/>
        <w:rPr>
          <w:sz w:val="23"/>
        </w:rPr>
      </w:pPr>
    </w:p>
    <w:p>
      <w:pPr>
        <w:pStyle w:val="Heading1"/>
        <w:tabs>
          <w:tab w:pos="934" w:val="left" w:leader="none"/>
        </w:tabs>
      </w:pPr>
      <w:r>
        <w:rPr/>
        <w:drawing>
          <wp:anchor distT="0" distB="0" distL="0" distR="0" allowOverlap="1" layoutInCell="1" locked="0" behindDoc="1" simplePos="0" relativeHeight="487332352">
            <wp:simplePos x="0" y="0"/>
            <wp:positionH relativeFrom="page">
              <wp:posOffset>2872135</wp:posOffset>
            </wp:positionH>
            <wp:positionV relativeFrom="paragraph">
              <wp:posOffset>106705</wp:posOffset>
            </wp:positionV>
            <wp:extent cx="1837644" cy="442846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7644" cy="4428464"/>
                    </a:xfrm>
                    <a:prstGeom prst="rect">
                      <a:avLst/>
                    </a:prstGeom>
                  </pic:spPr>
                </pic:pic>
              </a:graphicData>
            </a:graphic>
          </wp:anchor>
        </w:drawing>
      </w:r>
      <w:r>
        <w:rPr/>
        <w:t>第一條</w:t>
        <w:tab/>
        <w:t>保險契約的構成</w:t>
      </w:r>
    </w:p>
    <w:p>
      <w:pPr>
        <w:pStyle w:val="BodyText"/>
        <w:spacing w:line="235" w:lineRule="exact"/>
      </w:pPr>
      <w:r>
        <w:rPr/>
        <w:t>本保險單條款、附著之要保書、批註及其他約定書，均為本保險契約（以下簡稱本契約）的構成部分。</w:t>
      </w:r>
    </w:p>
    <w:p>
      <w:pPr>
        <w:pStyle w:val="BodyText"/>
        <w:spacing w:line="242" w:lineRule="auto" w:before="6"/>
        <w:ind w:right="181"/>
      </w:pPr>
      <w:r>
        <w:rPr>
          <w:w w:val="95"/>
        </w:rPr>
        <w:t>本契約的解釋，應探求契約當事人的真意，不得拘泥於所用的文字；如有疑義時，以作有利於被保險人</w:t>
      </w:r>
      <w:r>
        <w:rPr>
          <w:spacing w:val="187"/>
        </w:rPr>
        <w:t> </w:t>
      </w:r>
      <w:r>
        <w:rPr/>
        <w:t>的解釋為原則。</w:t>
      </w:r>
    </w:p>
    <w:p>
      <w:pPr>
        <w:pStyle w:val="BodyText"/>
        <w:spacing w:before="4"/>
        <w:ind w:left="0"/>
        <w:rPr>
          <w:sz w:val="15"/>
        </w:rPr>
      </w:pPr>
    </w:p>
    <w:p>
      <w:pPr>
        <w:pStyle w:val="Heading1"/>
        <w:tabs>
          <w:tab w:pos="934" w:val="left" w:leader="none"/>
        </w:tabs>
      </w:pPr>
      <w:r>
        <w:rPr/>
        <w:t>第二條</w:t>
        <w:tab/>
        <w:t>名詞定義</w:t>
      </w:r>
    </w:p>
    <w:p>
      <w:pPr>
        <w:pStyle w:val="BodyText"/>
        <w:spacing w:line="235" w:lineRule="exact"/>
      </w:pPr>
      <w:r>
        <w:rPr/>
        <w:t>本契約名詞定義如下：</w:t>
      </w:r>
    </w:p>
    <w:p>
      <w:pPr>
        <w:pStyle w:val="BodyText"/>
        <w:spacing w:before="6"/>
      </w:pPr>
      <w:r>
        <w:rPr/>
        <w:t>ㄧ、「意外傷害事故」：指非由疾病引起之外來突發事故。</w:t>
      </w:r>
    </w:p>
    <w:p>
      <w:pPr>
        <w:pStyle w:val="BodyText"/>
        <w:spacing w:line="244" w:lineRule="auto" w:before="3"/>
        <w:ind w:left="932" w:right="2278" w:hanging="200"/>
      </w:pPr>
      <w:r>
        <w:rPr>
          <w:w w:val="95"/>
        </w:rPr>
        <w:t>二、「重大疾病」：係指被保險人經醫院醫師診斷確定而屬下列情形之一者為限：</w:t>
      </w:r>
      <w:r>
        <w:rPr>
          <w:spacing w:val="168"/>
        </w:rPr>
        <w:t> </w:t>
      </w:r>
      <w:r>
        <w:rPr/>
        <w:t>(一)腦中風後障礙(重度)</w:t>
      </w:r>
    </w:p>
    <w:p>
      <w:pPr>
        <w:pStyle w:val="BodyText"/>
        <w:spacing w:line="244" w:lineRule="auto"/>
        <w:ind w:left="1333" w:right="176"/>
        <w:jc w:val="both"/>
      </w:pPr>
      <w:r>
        <w:rPr>
          <w:w w:val="95"/>
        </w:rPr>
        <w:t>係指因腦血管的突發病變導致腦血管出血、栓塞、梗塞致永久性神經機能障礙者。所謂永久性神</w:t>
      </w:r>
      <w:r>
        <w:rPr>
          <w:spacing w:val="172"/>
        </w:rPr>
        <w:t> </w:t>
      </w:r>
      <w:r>
        <w:rPr>
          <w:w w:val="95"/>
        </w:rPr>
        <w:t>經機能障礙係指事故發生六個月後經神經科、神經外科或復健科專科醫師認定仍遺留下列機能障</w:t>
      </w:r>
      <w:r>
        <w:rPr>
          <w:spacing w:val="162"/>
        </w:rPr>
        <w:t> </w:t>
      </w:r>
      <w:r>
        <w:rPr/>
        <w:t>礙之一者：</w:t>
      </w:r>
    </w:p>
    <w:p>
      <w:pPr>
        <w:pStyle w:val="ListParagraph"/>
        <w:numPr>
          <w:ilvl w:val="0"/>
          <w:numId w:val="1"/>
        </w:numPr>
        <w:tabs>
          <w:tab w:pos="1535" w:val="left" w:leader="none"/>
        </w:tabs>
        <w:spacing w:line="252" w:lineRule="exact" w:before="0" w:after="0"/>
        <w:ind w:left="1534" w:right="0" w:hanging="202"/>
        <w:jc w:val="left"/>
        <w:rPr>
          <w:sz w:val="20"/>
        </w:rPr>
      </w:pPr>
      <w:r>
        <w:rPr>
          <w:w w:val="95"/>
          <w:sz w:val="20"/>
        </w:rPr>
        <w:t>植物人狀態。</w:t>
      </w:r>
    </w:p>
    <w:p>
      <w:pPr>
        <w:pStyle w:val="ListParagraph"/>
        <w:numPr>
          <w:ilvl w:val="0"/>
          <w:numId w:val="1"/>
        </w:numPr>
        <w:tabs>
          <w:tab w:pos="1535" w:val="left" w:leader="none"/>
        </w:tabs>
        <w:spacing w:line="242" w:lineRule="auto" w:before="3" w:after="0"/>
        <w:ind w:left="1434" w:right="3013" w:hanging="101"/>
        <w:jc w:val="left"/>
        <w:rPr>
          <w:sz w:val="20"/>
        </w:rPr>
      </w:pPr>
      <w:r>
        <w:rPr>
          <w:w w:val="95"/>
          <w:sz w:val="20"/>
        </w:rPr>
        <w:t>一上肢三大關節或一下肢三大關節遺留下列機能障礙之一者：</w:t>
      </w:r>
      <w:r>
        <w:rPr>
          <w:spacing w:val="1"/>
          <w:w w:val="95"/>
          <w:sz w:val="20"/>
        </w:rPr>
        <w:t> </w:t>
      </w:r>
      <w:r>
        <w:rPr>
          <w:sz w:val="20"/>
        </w:rPr>
        <w:t>(1)關節機能完全不能隨意識活動。</w:t>
      </w:r>
    </w:p>
    <w:p>
      <w:pPr>
        <w:pStyle w:val="BodyText"/>
        <w:spacing w:line="244" w:lineRule="auto" w:before="1"/>
        <w:ind w:left="1434" w:right="1811"/>
      </w:pPr>
      <w:r>
        <w:rPr>
          <w:w w:val="95"/>
        </w:rPr>
        <w:t>(2)肌力在2分(含)以下者(肌力2分是指可做水平運動，但無法抗地心引力)。</w:t>
      </w:r>
      <w:r>
        <w:rPr>
          <w:spacing w:val="46"/>
          <w:w w:val="95"/>
        </w:rPr>
        <w:t> </w:t>
      </w:r>
      <w:r>
        <w:rPr/>
        <w:t>上肢三大關節包括肩、肘、腕關節，下肢三大關節包括髖、膝、踝關節。</w:t>
      </w:r>
    </w:p>
    <w:p>
      <w:pPr>
        <w:pStyle w:val="ListParagraph"/>
        <w:numPr>
          <w:ilvl w:val="0"/>
          <w:numId w:val="1"/>
        </w:numPr>
        <w:tabs>
          <w:tab w:pos="1535" w:val="left" w:leader="none"/>
        </w:tabs>
        <w:spacing w:line="244" w:lineRule="auto" w:before="0" w:after="0"/>
        <w:ind w:left="1532" w:right="175" w:hanging="200"/>
        <w:jc w:val="both"/>
        <w:rPr>
          <w:sz w:val="20"/>
        </w:rPr>
      </w:pPr>
      <w:r>
        <w:rPr>
          <w:w w:val="95"/>
          <w:sz w:val="20"/>
        </w:rPr>
        <w:t>兩肢（含）以上運動或感覺障礙而無法自理日常生活者。所謂無法自理日常生活者，係指食物</w:t>
      </w:r>
      <w:r>
        <w:rPr>
          <w:spacing w:val="162"/>
          <w:sz w:val="20"/>
        </w:rPr>
        <w:t> </w:t>
      </w:r>
      <w:r>
        <w:rPr>
          <w:w w:val="95"/>
          <w:sz w:val="20"/>
        </w:rPr>
        <w:t>攝取、大小便始末、穿脫衣服、起居、步行、入浴等，皆不能自己為之，經常需要他人加以扶</w:t>
      </w:r>
      <w:r>
        <w:rPr>
          <w:spacing w:val="154"/>
          <w:sz w:val="20"/>
        </w:rPr>
        <w:t> </w:t>
      </w:r>
      <w:r>
        <w:rPr>
          <w:sz w:val="20"/>
        </w:rPr>
        <w:t>助之狀態。</w:t>
      </w:r>
    </w:p>
    <w:p>
      <w:pPr>
        <w:pStyle w:val="ListParagraph"/>
        <w:numPr>
          <w:ilvl w:val="0"/>
          <w:numId w:val="1"/>
        </w:numPr>
        <w:tabs>
          <w:tab w:pos="1535" w:val="left" w:leader="none"/>
        </w:tabs>
        <w:spacing w:line="244" w:lineRule="auto" w:before="0" w:after="0"/>
        <w:ind w:left="1532" w:right="176" w:hanging="200"/>
        <w:jc w:val="both"/>
        <w:rPr>
          <w:sz w:val="20"/>
        </w:rPr>
      </w:pPr>
      <w:r>
        <w:rPr>
          <w:w w:val="95"/>
          <w:sz w:val="20"/>
        </w:rPr>
        <w:t>喪失言語或咀嚼機能者。言語機能的喪失係指因腦部言語中樞神經的損傷而患失語症者。所謂</w:t>
      </w:r>
      <w:r>
        <w:rPr>
          <w:spacing w:val="161"/>
          <w:sz w:val="20"/>
        </w:rPr>
        <w:t> </w:t>
      </w:r>
      <w:r>
        <w:rPr>
          <w:w w:val="95"/>
          <w:sz w:val="20"/>
        </w:rPr>
        <w:t>咀嚼機能的喪失係指由於牙齒以外之原因所引起的機能障礙，以致不能做咀嚼運動，除流質食</w:t>
      </w:r>
      <w:r>
        <w:rPr>
          <w:spacing w:val="153"/>
          <w:sz w:val="20"/>
        </w:rPr>
        <w:t> </w:t>
      </w:r>
      <w:r>
        <w:rPr>
          <w:sz w:val="20"/>
        </w:rPr>
        <w:t>物以外不能攝取之狀態。</w:t>
      </w:r>
    </w:p>
    <w:p>
      <w:pPr>
        <w:pStyle w:val="BodyText"/>
        <w:spacing w:line="252" w:lineRule="exact"/>
        <w:ind w:left="932"/>
      </w:pPr>
      <w:r>
        <w:rPr/>
        <w:t>(二)癱瘓(重度)</w:t>
      </w:r>
    </w:p>
    <w:p>
      <w:pPr>
        <w:pStyle w:val="BodyText"/>
        <w:spacing w:line="242" w:lineRule="auto"/>
        <w:ind w:left="1333" w:right="176"/>
      </w:pPr>
      <w:r>
        <w:rPr>
          <w:w w:val="95"/>
        </w:rPr>
        <w:t>係指兩上肢、或兩下肢、或一上肢及一下肢，各有三大關節中之兩關節（含）以上遺留下列機能</w:t>
      </w:r>
      <w:r>
        <w:rPr>
          <w:spacing w:val="162"/>
        </w:rPr>
        <w:t> </w:t>
      </w:r>
      <w:r>
        <w:rPr/>
        <w:t>障礙之一，且經六個月以後仍無法復原或改善者：</w:t>
      </w:r>
    </w:p>
    <w:p>
      <w:pPr>
        <w:pStyle w:val="ListParagraph"/>
        <w:numPr>
          <w:ilvl w:val="0"/>
          <w:numId w:val="2"/>
        </w:numPr>
        <w:tabs>
          <w:tab w:pos="1535" w:val="left" w:leader="none"/>
        </w:tabs>
        <w:spacing w:line="240" w:lineRule="auto" w:before="3" w:after="0"/>
        <w:ind w:left="1534" w:right="0" w:hanging="202"/>
        <w:jc w:val="left"/>
        <w:rPr>
          <w:sz w:val="20"/>
        </w:rPr>
      </w:pPr>
      <w:r>
        <w:rPr>
          <w:w w:val="95"/>
          <w:sz w:val="20"/>
        </w:rPr>
        <w:t>關節機能完全不能隨意識活動。</w:t>
      </w:r>
    </w:p>
    <w:p>
      <w:pPr>
        <w:pStyle w:val="ListParagraph"/>
        <w:numPr>
          <w:ilvl w:val="0"/>
          <w:numId w:val="2"/>
        </w:numPr>
        <w:tabs>
          <w:tab w:pos="1535" w:val="left" w:leader="none"/>
        </w:tabs>
        <w:spacing w:line="242" w:lineRule="auto" w:before="3" w:after="0"/>
        <w:ind w:left="1333" w:right="1811" w:firstLine="0"/>
        <w:jc w:val="left"/>
        <w:rPr>
          <w:sz w:val="20"/>
        </w:rPr>
      </w:pPr>
      <w:r>
        <w:rPr>
          <w:w w:val="95"/>
          <w:sz w:val="20"/>
        </w:rPr>
        <w:t>肌力在2分（含）以下者(肌力2分是指可做水平運動，但無法抗地心引力)。</w:t>
      </w:r>
      <w:r>
        <w:rPr>
          <w:spacing w:val="41"/>
          <w:w w:val="95"/>
          <w:sz w:val="20"/>
        </w:rPr>
        <w:t> </w:t>
      </w:r>
      <w:r>
        <w:rPr>
          <w:sz w:val="20"/>
        </w:rPr>
        <w:t>上肢三大關節包括肩、肘、腕關節，下肢三大關節包括髖、膝、踝關節。</w:t>
      </w:r>
    </w:p>
    <w:p>
      <w:pPr>
        <w:pStyle w:val="BodyText"/>
        <w:spacing w:before="3"/>
        <w:ind w:left="932"/>
      </w:pPr>
      <w:r>
        <w:rPr>
          <w:w w:val="95"/>
        </w:rPr>
        <w:t>(三)癌症(重度)</w:t>
      </w:r>
    </w:p>
    <w:p>
      <w:pPr>
        <w:pStyle w:val="BodyText"/>
        <w:spacing w:line="244" w:lineRule="auto" w:before="3"/>
        <w:ind w:left="1333" w:right="176"/>
        <w:jc w:val="both"/>
      </w:pPr>
      <w:r>
        <w:rPr>
          <w:w w:val="95"/>
        </w:rPr>
        <w:t>係指組織細胞有惡性細胞不斷生長、擴張及對組織侵害的特性之惡性腫瘤或惡性白血球過多症，</w:t>
      </w:r>
      <w:r>
        <w:rPr>
          <w:spacing w:val="172"/>
        </w:rPr>
        <w:t> </w:t>
      </w:r>
      <w:r>
        <w:rPr>
          <w:w w:val="95"/>
        </w:rPr>
        <w:t>經病理檢驗確定符合最近採用之「國際疾病傷害及死因分類標準」版本歸屬於惡性腫瘤，且非屬</w:t>
      </w:r>
      <w:r>
        <w:rPr>
          <w:spacing w:val="162"/>
        </w:rPr>
        <w:t> </w:t>
      </w:r>
      <w:r>
        <w:rPr/>
        <w:t>下列項目之疾病:</w:t>
      </w:r>
    </w:p>
    <w:p>
      <w:pPr>
        <w:pStyle w:val="BodyText"/>
        <w:spacing w:line="252" w:lineRule="exact"/>
        <w:ind w:left="1333"/>
      </w:pPr>
      <w:r>
        <w:rPr/>
        <w:t>1.慢性淋巴性白血病第一期及第二期(按Rai氏的分期系統)。</w:t>
      </w:r>
    </w:p>
    <w:p>
      <w:pPr>
        <w:pStyle w:val="BodyText"/>
        <w:spacing w:before="6"/>
        <w:ind w:left="1333"/>
      </w:pPr>
      <w:r>
        <w:rPr/>
        <w:t>2.10公分(含)以下之第一期何杰金氏病。</w:t>
      </w:r>
    </w:p>
    <w:p>
      <w:pPr>
        <w:pStyle w:val="ListParagraph"/>
        <w:numPr>
          <w:ilvl w:val="0"/>
          <w:numId w:val="3"/>
        </w:numPr>
        <w:tabs>
          <w:tab w:pos="1535" w:val="left" w:leader="none"/>
        </w:tabs>
        <w:spacing w:line="240" w:lineRule="auto" w:before="3" w:after="0"/>
        <w:ind w:left="1534" w:right="0" w:hanging="202"/>
        <w:jc w:val="left"/>
        <w:rPr>
          <w:sz w:val="20"/>
        </w:rPr>
      </w:pPr>
      <w:r>
        <w:rPr>
          <w:w w:val="95"/>
          <w:sz w:val="20"/>
        </w:rPr>
        <w:t>第一期前列腺癌。</w:t>
      </w:r>
    </w:p>
    <w:p>
      <w:pPr>
        <w:pStyle w:val="ListParagraph"/>
        <w:numPr>
          <w:ilvl w:val="0"/>
          <w:numId w:val="3"/>
        </w:numPr>
        <w:tabs>
          <w:tab w:pos="1535" w:val="left" w:leader="none"/>
        </w:tabs>
        <w:spacing w:line="240" w:lineRule="auto" w:before="5" w:after="0"/>
        <w:ind w:left="1534" w:right="0" w:hanging="202"/>
        <w:jc w:val="left"/>
        <w:rPr>
          <w:sz w:val="20"/>
        </w:rPr>
      </w:pPr>
      <w:r>
        <w:rPr>
          <w:w w:val="95"/>
          <w:sz w:val="20"/>
        </w:rPr>
        <w:t>第一期膀胱乳頭狀癌。</w:t>
      </w:r>
    </w:p>
    <w:p>
      <w:pPr>
        <w:pStyle w:val="ListParagraph"/>
        <w:numPr>
          <w:ilvl w:val="0"/>
          <w:numId w:val="3"/>
        </w:numPr>
        <w:tabs>
          <w:tab w:pos="1535" w:val="left" w:leader="none"/>
        </w:tabs>
        <w:spacing w:line="240" w:lineRule="auto" w:before="3" w:after="0"/>
        <w:ind w:left="1534" w:right="0" w:hanging="202"/>
        <w:jc w:val="left"/>
        <w:rPr>
          <w:sz w:val="20"/>
        </w:rPr>
      </w:pPr>
      <w:r>
        <w:rPr>
          <w:w w:val="95"/>
          <w:sz w:val="20"/>
        </w:rPr>
        <w:t>甲狀腺微乳頭狀癌(微乳頭狀癌是指在甲狀腺內1公分(含)以下之乳頭狀癌)。</w:t>
      </w:r>
    </w:p>
    <w:p>
      <w:pPr>
        <w:pStyle w:val="ListParagraph"/>
        <w:numPr>
          <w:ilvl w:val="0"/>
          <w:numId w:val="3"/>
        </w:numPr>
        <w:tabs>
          <w:tab w:pos="1535" w:val="left" w:leader="none"/>
        </w:tabs>
        <w:spacing w:line="240" w:lineRule="auto" w:before="3" w:after="0"/>
        <w:ind w:left="1534" w:right="0" w:hanging="202"/>
        <w:jc w:val="left"/>
        <w:rPr>
          <w:sz w:val="20"/>
        </w:rPr>
      </w:pPr>
      <w:r>
        <w:rPr>
          <w:w w:val="95"/>
          <w:sz w:val="20"/>
        </w:rPr>
        <w:t>邊緣性卵巢癌。</w:t>
      </w:r>
    </w:p>
    <w:p>
      <w:pPr>
        <w:spacing w:after="0" w:line="240" w:lineRule="auto"/>
        <w:jc w:val="left"/>
        <w:rPr>
          <w:sz w:val="20"/>
        </w:rPr>
        <w:sectPr>
          <w:footerReference w:type="default" r:id="rId5"/>
          <w:type w:val="continuous"/>
          <w:pgSz w:w="11910" w:h="16840"/>
          <w:pgMar w:footer="855" w:top="1380" w:bottom="1040" w:left="1000" w:right="960"/>
          <w:pgNumType w:start="1"/>
        </w:sectPr>
      </w:pPr>
    </w:p>
    <w:p>
      <w:pPr>
        <w:pStyle w:val="ListParagraph"/>
        <w:numPr>
          <w:ilvl w:val="0"/>
          <w:numId w:val="3"/>
        </w:numPr>
        <w:tabs>
          <w:tab w:pos="1535" w:val="left" w:leader="none"/>
        </w:tabs>
        <w:spacing w:line="240" w:lineRule="auto" w:before="29" w:after="0"/>
        <w:ind w:left="1534" w:right="0" w:hanging="202"/>
        <w:jc w:val="left"/>
        <w:rPr>
          <w:sz w:val="20"/>
        </w:rPr>
      </w:pPr>
      <w:r>
        <w:rPr>
          <w:w w:val="95"/>
          <w:sz w:val="20"/>
        </w:rPr>
        <w:t>第一期黑色素瘤。</w:t>
      </w:r>
    </w:p>
    <w:p>
      <w:pPr>
        <w:pStyle w:val="ListParagraph"/>
        <w:numPr>
          <w:ilvl w:val="0"/>
          <w:numId w:val="3"/>
        </w:numPr>
        <w:tabs>
          <w:tab w:pos="1535" w:val="left" w:leader="none"/>
        </w:tabs>
        <w:spacing w:line="240" w:lineRule="auto" w:before="4" w:after="0"/>
        <w:ind w:left="1534" w:right="0" w:hanging="202"/>
        <w:jc w:val="left"/>
        <w:rPr>
          <w:sz w:val="20"/>
        </w:rPr>
      </w:pPr>
      <w:r>
        <w:rPr>
          <w:w w:val="95"/>
          <w:sz w:val="20"/>
        </w:rPr>
        <w:t>第一期乳癌。</w:t>
      </w:r>
    </w:p>
    <w:p>
      <w:pPr>
        <w:pStyle w:val="ListParagraph"/>
        <w:numPr>
          <w:ilvl w:val="0"/>
          <w:numId w:val="3"/>
        </w:numPr>
        <w:tabs>
          <w:tab w:pos="1535" w:val="left" w:leader="none"/>
        </w:tabs>
        <w:spacing w:line="240" w:lineRule="auto" w:before="5" w:after="0"/>
        <w:ind w:left="1534" w:right="0" w:hanging="202"/>
        <w:jc w:val="left"/>
        <w:rPr>
          <w:sz w:val="20"/>
        </w:rPr>
      </w:pPr>
      <w:r>
        <w:rPr>
          <w:w w:val="95"/>
          <w:sz w:val="20"/>
        </w:rPr>
        <w:t>第一期子宮頸癌。</w:t>
      </w:r>
    </w:p>
    <w:p>
      <w:pPr>
        <w:pStyle w:val="ListParagraph"/>
        <w:numPr>
          <w:ilvl w:val="0"/>
          <w:numId w:val="3"/>
        </w:numPr>
        <w:tabs>
          <w:tab w:pos="1636" w:val="left" w:leader="none"/>
        </w:tabs>
        <w:spacing w:line="240" w:lineRule="auto" w:before="3" w:after="0"/>
        <w:ind w:left="1635" w:right="0" w:hanging="303"/>
        <w:jc w:val="left"/>
        <w:rPr>
          <w:sz w:val="20"/>
        </w:rPr>
      </w:pPr>
      <w:r>
        <w:rPr>
          <w:sz w:val="20"/>
        </w:rPr>
        <w:t>第一期大腸直腸癌。</w:t>
      </w:r>
    </w:p>
    <w:p>
      <w:pPr>
        <w:pStyle w:val="ListParagraph"/>
        <w:numPr>
          <w:ilvl w:val="0"/>
          <w:numId w:val="3"/>
        </w:numPr>
        <w:tabs>
          <w:tab w:pos="1636" w:val="left" w:leader="none"/>
        </w:tabs>
        <w:spacing w:line="240" w:lineRule="auto" w:before="3" w:after="0"/>
        <w:ind w:left="1635" w:right="0" w:hanging="303"/>
        <w:jc w:val="left"/>
        <w:rPr>
          <w:sz w:val="20"/>
        </w:rPr>
      </w:pPr>
      <w:r>
        <w:rPr>
          <w:w w:val="95"/>
          <w:sz w:val="20"/>
        </w:rPr>
        <w:t>原位癌或零期癌。</w:t>
      </w:r>
    </w:p>
    <w:p>
      <w:pPr>
        <w:pStyle w:val="ListParagraph"/>
        <w:numPr>
          <w:ilvl w:val="0"/>
          <w:numId w:val="3"/>
        </w:numPr>
        <w:tabs>
          <w:tab w:pos="1636" w:val="left" w:leader="none"/>
        </w:tabs>
        <w:spacing w:line="240" w:lineRule="auto" w:before="5" w:after="0"/>
        <w:ind w:left="1635" w:right="0" w:hanging="303"/>
        <w:jc w:val="left"/>
        <w:rPr>
          <w:sz w:val="20"/>
        </w:rPr>
      </w:pPr>
      <w:r>
        <w:rPr>
          <w:w w:val="95"/>
          <w:sz w:val="20"/>
        </w:rPr>
        <w:t>第一期惡性類癌。</w:t>
      </w:r>
    </w:p>
    <w:p>
      <w:pPr>
        <w:pStyle w:val="ListParagraph"/>
        <w:numPr>
          <w:ilvl w:val="0"/>
          <w:numId w:val="3"/>
        </w:numPr>
        <w:tabs>
          <w:tab w:pos="1636" w:val="left" w:leader="none"/>
        </w:tabs>
        <w:spacing w:line="244" w:lineRule="auto" w:before="3" w:after="0"/>
        <w:ind w:left="932" w:right="1112" w:firstLine="400"/>
        <w:jc w:val="left"/>
        <w:rPr>
          <w:sz w:val="20"/>
        </w:rPr>
      </w:pPr>
      <w:r>
        <w:rPr>
          <w:w w:val="95"/>
          <w:sz w:val="20"/>
        </w:rPr>
        <w:t>第二期（含）以下且非惡性黑色素瘤之皮膚癌(包括皮膚附屬器癌及皮纖維肉瘤)。</w:t>
      </w:r>
      <w:r>
        <w:rPr>
          <w:spacing w:val="164"/>
          <w:sz w:val="20"/>
        </w:rPr>
        <w:t> </w:t>
      </w:r>
      <w:r>
        <w:rPr>
          <w:sz w:val="20"/>
        </w:rPr>
        <w:t>(四)急性心肌梗塞(重度)</w:t>
      </w:r>
    </w:p>
    <w:p>
      <w:pPr>
        <w:pStyle w:val="BodyText"/>
        <w:spacing w:line="242" w:lineRule="auto"/>
        <w:ind w:left="1333" w:right="171"/>
      </w:pPr>
      <w:r>
        <w:rPr>
          <w:w w:val="95"/>
        </w:rPr>
        <w:t>係指因冠狀動脈阻塞而導致部分心肌壞死，其診斷除了發病90日(含)後，經心臟影像檢查證實左</w:t>
      </w:r>
      <w:r>
        <w:rPr>
          <w:spacing w:val="167"/>
        </w:rPr>
        <w:t> </w:t>
      </w:r>
      <w:r>
        <w:rPr/>
        <w:t>心室功能射出分率低於50%(含)者之外，且同時具備下列至少二個條件：</w:t>
      </w:r>
    </w:p>
    <w:p>
      <w:pPr>
        <w:pStyle w:val="ListParagraph"/>
        <w:numPr>
          <w:ilvl w:val="0"/>
          <w:numId w:val="4"/>
        </w:numPr>
        <w:tabs>
          <w:tab w:pos="1535" w:val="left" w:leader="none"/>
        </w:tabs>
        <w:spacing w:line="240" w:lineRule="auto" w:before="1" w:after="0"/>
        <w:ind w:left="1534" w:right="0" w:hanging="202"/>
        <w:jc w:val="left"/>
        <w:rPr>
          <w:sz w:val="20"/>
        </w:rPr>
      </w:pPr>
      <w:r>
        <w:rPr>
          <w:w w:val="95"/>
          <w:sz w:val="20"/>
        </w:rPr>
        <w:t>典型之胸痛症狀。</w:t>
      </w:r>
    </w:p>
    <w:p>
      <w:pPr>
        <w:pStyle w:val="ListParagraph"/>
        <w:numPr>
          <w:ilvl w:val="0"/>
          <w:numId w:val="4"/>
        </w:numPr>
        <w:tabs>
          <w:tab w:pos="1535" w:val="left" w:leader="none"/>
        </w:tabs>
        <w:spacing w:line="240" w:lineRule="auto" w:before="3" w:after="0"/>
        <w:ind w:left="1534" w:right="0" w:hanging="202"/>
        <w:jc w:val="left"/>
        <w:rPr>
          <w:sz w:val="20"/>
        </w:rPr>
      </w:pPr>
      <w:r>
        <w:rPr>
          <w:w w:val="95"/>
          <w:sz w:val="20"/>
        </w:rPr>
        <w:t>最近心電圖的異常變化，顯示有心肌梗塞者。</w:t>
      </w:r>
    </w:p>
    <w:p>
      <w:pPr>
        <w:pStyle w:val="ListParagraph"/>
        <w:numPr>
          <w:ilvl w:val="0"/>
          <w:numId w:val="4"/>
        </w:numPr>
        <w:tabs>
          <w:tab w:pos="1535" w:val="left" w:leader="none"/>
        </w:tabs>
        <w:spacing w:line="242" w:lineRule="auto" w:before="6" w:after="0"/>
        <w:ind w:left="932" w:right="1710" w:firstLine="400"/>
        <w:jc w:val="left"/>
        <w:rPr>
          <w:sz w:val="20"/>
        </w:rPr>
      </w:pPr>
      <w:r>
        <w:rPr/>
        <w:drawing>
          <wp:anchor distT="0" distB="0" distL="0" distR="0" allowOverlap="1" layoutInCell="1" locked="0" behindDoc="1" simplePos="0" relativeHeight="487332864">
            <wp:simplePos x="0" y="0"/>
            <wp:positionH relativeFrom="page">
              <wp:posOffset>2872135</wp:posOffset>
            </wp:positionH>
            <wp:positionV relativeFrom="paragraph">
              <wp:posOffset>263667</wp:posOffset>
            </wp:positionV>
            <wp:extent cx="1837644" cy="4428464"/>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837644" cy="4428464"/>
                    </a:xfrm>
                    <a:prstGeom prst="rect">
                      <a:avLst/>
                    </a:prstGeom>
                  </pic:spPr>
                </pic:pic>
              </a:graphicData>
            </a:graphic>
          </wp:anchor>
        </w:drawing>
      </w:r>
      <w:r>
        <w:rPr>
          <w:w w:val="95"/>
          <w:sz w:val="20"/>
        </w:rPr>
        <w:t>心肌酶CK-MB有異常增高，或肌鈣蛋白T&gt;1.0ng/ml，或肌鈣蛋白I&gt;0.5ng/ml。</w:t>
      </w:r>
      <w:r>
        <w:rPr>
          <w:spacing w:val="142"/>
          <w:sz w:val="20"/>
        </w:rPr>
        <w:t> </w:t>
      </w:r>
      <w:r>
        <w:rPr>
          <w:sz w:val="20"/>
        </w:rPr>
        <w:t>(五)冠狀動脈繞道手術</w:t>
      </w:r>
    </w:p>
    <w:p>
      <w:pPr>
        <w:pStyle w:val="BodyText"/>
        <w:spacing w:line="244" w:lineRule="auto"/>
        <w:ind w:left="1333" w:right="176"/>
      </w:pPr>
      <w:r>
        <w:rPr>
          <w:w w:val="95"/>
        </w:rPr>
        <w:t>係指因冠狀動脈疾病而有持續性心肌缺氧造成心絞痛或心臟衰竭，並接受冠狀動脈繞道手術者。</w:t>
      </w:r>
      <w:r>
        <w:rPr>
          <w:spacing w:val="162"/>
        </w:rPr>
        <w:t> </w:t>
      </w:r>
      <w:r>
        <w:rPr/>
        <w:t>其他手術不包括在內。</w:t>
      </w:r>
    </w:p>
    <w:p>
      <w:pPr>
        <w:pStyle w:val="BodyText"/>
        <w:spacing w:line="255" w:lineRule="exact"/>
        <w:ind w:left="932"/>
      </w:pPr>
      <w:r>
        <w:rPr/>
        <w:t>(六)末期腎病變</w:t>
      </w:r>
    </w:p>
    <w:p>
      <w:pPr>
        <w:pStyle w:val="BodyText"/>
        <w:spacing w:line="242" w:lineRule="auto" w:before="6"/>
        <w:ind w:left="932" w:right="2013" w:firstLine="400"/>
      </w:pPr>
      <w:r>
        <w:rPr>
          <w:w w:val="95"/>
        </w:rPr>
        <w:t>指腎臟因慢性及不可復原的衰竭，已經開始接受長期且規則之透析治療者。</w:t>
      </w:r>
      <w:r>
        <w:rPr>
          <w:spacing w:val="136"/>
        </w:rPr>
        <w:t> </w:t>
      </w:r>
      <w:r>
        <w:rPr/>
        <w:t>(七)重大器官移植或造血幹細胞移植</w:t>
      </w:r>
    </w:p>
    <w:p>
      <w:pPr>
        <w:pStyle w:val="BodyText"/>
        <w:spacing w:line="244" w:lineRule="auto" w:before="1"/>
        <w:ind w:left="1333" w:right="172"/>
        <w:jc w:val="both"/>
      </w:pPr>
      <w:r>
        <w:rPr>
          <w:w w:val="95"/>
        </w:rPr>
        <w:t>重大器官移植，係指因相對應器官功能衰竭，已經接受心臟、肺臟、肝臟、胰臟、腎臟（以上均</w:t>
      </w:r>
      <w:r>
        <w:rPr>
          <w:spacing w:val="176"/>
        </w:rPr>
        <w:t> </w:t>
      </w:r>
      <w:r>
        <w:rPr>
          <w:w w:val="95"/>
        </w:rPr>
        <w:t>不含幹細胞移植）的異體移植;造血幹細胞移植，係指因造血功能損害或造血系統惡性腫瘤，已</w:t>
      </w:r>
      <w:r>
        <w:rPr>
          <w:spacing w:val="271"/>
        </w:rPr>
        <w:t> </w:t>
      </w:r>
      <w:r>
        <w:rPr>
          <w:w w:val="95"/>
        </w:rPr>
        <w:t>經接受造血幹細胞（包括骨髓造血幹細胞、周邊血造血幹細胞和臍帶血造血幹細胞）的異體移</w:t>
      </w:r>
      <w:r>
        <w:rPr>
          <w:spacing w:val="127"/>
        </w:rPr>
        <w:t> </w:t>
      </w:r>
      <w:r>
        <w:rPr>
          <w:spacing w:val="128"/>
        </w:rPr>
        <w:t> </w:t>
      </w:r>
      <w:r>
        <w:rPr/>
        <w:t>植。</w:t>
      </w:r>
    </w:p>
    <w:p>
      <w:pPr>
        <w:pStyle w:val="BodyText"/>
        <w:spacing w:line="244" w:lineRule="auto"/>
        <w:ind w:left="1333" w:right="172" w:hanging="600"/>
        <w:jc w:val="both"/>
      </w:pPr>
      <w:r>
        <w:rPr>
          <w:w w:val="95"/>
        </w:rPr>
        <w:t>三、「等待期間」：指自本契約生效日起持續有效三十日之期間。但屬「癌症（重度）」之範圍者，則</w:t>
      </w:r>
      <w:r>
        <w:rPr>
          <w:spacing w:val="206"/>
        </w:rPr>
        <w:t> </w:t>
      </w:r>
      <w:r>
        <w:rPr>
          <w:w w:val="95"/>
        </w:rPr>
        <w:t>指自本契約生效日起持續有效九十日之期間。被保險人因遭遇意外傷害事故致成本款第二目癱瘓</w:t>
      </w:r>
      <w:r>
        <w:rPr>
          <w:spacing w:val="266"/>
        </w:rPr>
        <w:t> </w:t>
      </w:r>
      <w:r>
        <w:rPr/>
        <w:t>(重度)及第七目重大器官移植或造血幹細胞移植情形之一者，不受本契約等待期間之限制。</w:t>
      </w:r>
    </w:p>
    <w:p>
      <w:pPr>
        <w:pStyle w:val="BodyText"/>
        <w:spacing w:line="244" w:lineRule="auto"/>
        <w:ind w:right="610"/>
        <w:jc w:val="both"/>
      </w:pPr>
      <w:r>
        <w:rPr>
          <w:w w:val="95"/>
        </w:rPr>
        <w:t>四、「醫院」：指依照醫療法規定領有開業執照並設有病房收治病人之公、私立及醫療法人醫院。</w:t>
      </w:r>
      <w:r>
        <w:rPr>
          <w:spacing w:val="138"/>
        </w:rPr>
        <w:t> </w:t>
      </w:r>
      <w:r>
        <w:rPr>
          <w:spacing w:val="-1"/>
        </w:rPr>
        <w:t>五、「醫師」: 指領有醫師證書及執業證書，合法執業者。</w:t>
      </w:r>
    </w:p>
    <w:p>
      <w:pPr>
        <w:pStyle w:val="BodyText"/>
        <w:spacing w:line="242" w:lineRule="auto"/>
        <w:ind w:left="1333" w:right="180" w:hanging="600"/>
      </w:pPr>
      <w:r>
        <w:rPr>
          <w:w w:val="95"/>
        </w:rPr>
        <w:t>六、「專科醫師」:</w:t>
      </w:r>
      <w:r>
        <w:rPr>
          <w:spacing w:val="136"/>
        </w:rPr>
        <w:t>  </w:t>
      </w:r>
      <w:r>
        <w:rPr>
          <w:w w:val="95"/>
        </w:rPr>
        <w:t>指經醫師考試及格完成專科醫師訓練，並經衛生福利部甄審合格，領有專科醫師證</w:t>
      </w:r>
      <w:r>
        <w:rPr/>
        <w:t>書者。</w:t>
      </w:r>
    </w:p>
    <w:p>
      <w:pPr>
        <w:pStyle w:val="BodyText"/>
        <w:spacing w:line="242" w:lineRule="auto"/>
        <w:ind w:left="1333" w:right="181" w:hanging="600"/>
      </w:pPr>
      <w:r>
        <w:rPr>
          <w:w w:val="95"/>
        </w:rPr>
        <w:t>七、「保險年齡」：按被保險人投保本契約時之足歲計算，但未滿一歲的零數超過六個月者加算一歲，</w:t>
      </w:r>
      <w:r>
        <w:rPr>
          <w:spacing w:val="187"/>
        </w:rPr>
        <w:t> </w:t>
      </w:r>
      <w:r>
        <w:rPr/>
        <w:t>之後須每經過一個保險單年度始加計一歲。</w:t>
      </w:r>
    </w:p>
    <w:p>
      <w:pPr>
        <w:pStyle w:val="BodyText"/>
        <w:spacing w:before="10"/>
        <w:ind w:left="0"/>
        <w:rPr>
          <w:sz w:val="14"/>
        </w:rPr>
      </w:pPr>
    </w:p>
    <w:p>
      <w:pPr>
        <w:pStyle w:val="Heading1"/>
        <w:tabs>
          <w:tab w:pos="934" w:val="left" w:leader="none"/>
        </w:tabs>
      </w:pPr>
      <w:r>
        <w:rPr/>
        <w:t>第三條</w:t>
        <w:tab/>
        <w:t>保險責任的開始及交付保險費</w:t>
      </w:r>
    </w:p>
    <w:p>
      <w:pPr>
        <w:pStyle w:val="BodyText"/>
        <w:spacing w:line="235" w:lineRule="exact"/>
      </w:pPr>
      <w:r>
        <w:rPr/>
        <w:t>本公司應自同意承保並收取保險費後負保險責任，並應發給保險單作為承保的憑證。</w:t>
      </w:r>
    </w:p>
    <w:p>
      <w:pPr>
        <w:pStyle w:val="BodyText"/>
        <w:spacing w:line="242" w:lineRule="auto" w:before="6"/>
        <w:ind w:right="181"/>
      </w:pPr>
      <w:r>
        <w:rPr>
          <w:w w:val="95"/>
        </w:rPr>
        <w:t>本公司如於同意承保前，預收相當於保險費之金額時，其應負之保險責任，以同意承保時溯自預收相當</w:t>
      </w:r>
      <w:r>
        <w:rPr>
          <w:spacing w:val="187"/>
        </w:rPr>
        <w:t> </w:t>
      </w:r>
      <w:r>
        <w:rPr/>
        <w:t>於保險費金額時開始。</w:t>
      </w:r>
    </w:p>
    <w:p>
      <w:pPr>
        <w:pStyle w:val="BodyText"/>
        <w:spacing w:before="3"/>
      </w:pPr>
      <w:r>
        <w:rPr/>
        <w:t>前項情形，在本公司為同意承保與否之意思表示前發生應予給付之保險事故時，本公司仍負保險責任。</w:t>
      </w:r>
    </w:p>
    <w:p>
      <w:pPr>
        <w:pStyle w:val="BodyText"/>
        <w:spacing w:before="3"/>
        <w:ind w:left="0"/>
        <w:rPr>
          <w:sz w:val="15"/>
        </w:rPr>
      </w:pPr>
    </w:p>
    <w:p>
      <w:pPr>
        <w:pStyle w:val="Heading1"/>
        <w:tabs>
          <w:tab w:pos="934" w:val="left" w:leader="none"/>
        </w:tabs>
        <w:spacing w:line="348" w:lineRule="exact" w:before="1"/>
      </w:pPr>
      <w:r>
        <w:rPr/>
        <w:t>第四條</w:t>
        <w:tab/>
        <w:t>保險範圍</w:t>
      </w:r>
    </w:p>
    <w:p>
      <w:pPr>
        <w:pStyle w:val="BodyText"/>
        <w:spacing w:line="236" w:lineRule="exact"/>
      </w:pPr>
      <w:r>
        <w:rPr>
          <w:w w:val="95"/>
        </w:rPr>
        <w:t>被保險人於本契約有效期間內罹患第二條約定之「重大疾病」時，本公司按保險單上所記載之保險金額</w:t>
      </w:r>
    </w:p>
    <w:p>
      <w:pPr>
        <w:pStyle w:val="BodyText"/>
        <w:spacing w:before="3"/>
      </w:pPr>
      <w:r>
        <w:rPr/>
        <w:t>為準，依照本契約約定給付保險金。</w:t>
      </w:r>
    </w:p>
    <w:p>
      <w:pPr>
        <w:pStyle w:val="BodyText"/>
        <w:spacing w:before="9"/>
        <w:ind w:left="0"/>
      </w:pPr>
    </w:p>
    <w:p>
      <w:pPr>
        <w:pStyle w:val="Heading1"/>
        <w:tabs>
          <w:tab w:pos="934" w:val="left" w:leader="none"/>
        </w:tabs>
        <w:spacing w:line="343" w:lineRule="exact"/>
      </w:pPr>
      <w:r>
        <w:rPr/>
        <w:t>第五條</w:t>
        <w:tab/>
        <w:t>契約有效期間及保證續保</w:t>
      </w:r>
    </w:p>
    <w:p>
      <w:pPr>
        <w:pStyle w:val="BodyText"/>
        <w:spacing w:line="232" w:lineRule="exact"/>
      </w:pPr>
      <w:r>
        <w:rPr>
          <w:w w:val="95"/>
        </w:rPr>
        <w:t>本契約保險期間為一年，以本契約保險單上所載期間為準。保險期間屆滿時，要保人得交付續保保險</w:t>
      </w:r>
    </w:p>
    <w:p>
      <w:pPr>
        <w:pStyle w:val="BodyText"/>
        <w:spacing w:line="242" w:lineRule="auto" w:before="5"/>
        <w:ind w:right="181"/>
      </w:pPr>
      <w:r>
        <w:rPr>
          <w:w w:val="95"/>
        </w:rPr>
        <w:t>費，以逐年使本契約繼續有效，本公司不得拒絕續保。續保的始期以原契約屆滿日之翌日為準；但續保</w:t>
      </w:r>
      <w:r>
        <w:rPr>
          <w:spacing w:val="187"/>
        </w:rPr>
        <w:t> </w:t>
      </w:r>
      <w:r>
        <w:rPr/>
        <w:t>時被保險人之保險年齡最高為八十歲。</w:t>
      </w:r>
    </w:p>
    <w:p>
      <w:pPr>
        <w:pStyle w:val="BodyText"/>
        <w:spacing w:line="226" w:lineRule="exact" w:before="1"/>
      </w:pPr>
      <w:r>
        <w:rPr/>
        <w:t>本公司得陳報主管機關調整本契約費率。</w:t>
      </w:r>
    </w:p>
    <w:p>
      <w:pPr>
        <w:pStyle w:val="Heading1"/>
        <w:spacing w:line="168" w:lineRule="auto" w:before="50"/>
        <w:ind w:left="733" w:right="182"/>
      </w:pPr>
      <w:r>
        <w:rPr>
          <w:w w:val="95"/>
        </w:rPr>
        <w:t>本契約續保時，按續保生效當時已陳報主管機關之費率及被保險人續保當時之保險年齡重新計算保險</w:t>
      </w:r>
      <w:r>
        <w:rPr>
          <w:spacing w:val="45"/>
        </w:rPr>
        <w:t>    </w:t>
      </w:r>
      <w:r>
        <w:rPr>
          <w:spacing w:val="46"/>
        </w:rPr>
        <w:t> </w:t>
      </w:r>
      <w:r>
        <w:rPr/>
        <w:t>費，但不得針對個別被保險人身體狀況調整之。</w:t>
      </w:r>
    </w:p>
    <w:p>
      <w:pPr>
        <w:spacing w:after="0" w:line="168" w:lineRule="auto"/>
        <w:sectPr>
          <w:pgSz w:w="11910" w:h="16840"/>
          <w:pgMar w:header="0" w:footer="855" w:top="1360" w:bottom="1040" w:left="1000" w:right="960"/>
        </w:sectPr>
      </w:pPr>
    </w:p>
    <w:p>
      <w:pPr>
        <w:tabs>
          <w:tab w:pos="934" w:val="left" w:leader="none"/>
        </w:tabs>
        <w:spacing w:line="310" w:lineRule="exact" w:before="0"/>
        <w:ind w:left="132" w:right="0" w:firstLine="0"/>
        <w:jc w:val="left"/>
        <w:rPr>
          <w:rFonts w:ascii="Microsoft JhengHei" w:eastAsia="Microsoft JhengHei" w:hint="eastAsia"/>
          <w:b/>
          <w:sz w:val="20"/>
        </w:rPr>
      </w:pPr>
      <w:r>
        <w:rPr>
          <w:rFonts w:ascii="Microsoft JhengHei" w:eastAsia="Microsoft JhengHei" w:hint="eastAsia"/>
          <w:b/>
          <w:sz w:val="20"/>
        </w:rPr>
        <w:t>第六條</w:t>
        <w:tab/>
        <w:t>續保保險費的交付、寬限期間及契約效力的停止</w:t>
      </w:r>
    </w:p>
    <w:p>
      <w:pPr>
        <w:pStyle w:val="BodyText"/>
        <w:spacing w:line="235" w:lineRule="exact"/>
      </w:pPr>
      <w:r>
        <w:rPr>
          <w:w w:val="95"/>
        </w:rPr>
        <w:t>續保保險費應照本契約所載交付方法及日期，向本公司所在地或指定地點交付，本公司將交付開發之憑</w:t>
      </w:r>
    </w:p>
    <w:p>
      <w:pPr>
        <w:pStyle w:val="BodyText"/>
        <w:spacing w:before="5"/>
      </w:pPr>
      <w:r>
        <w:rPr/>
        <w:t>證。續保保險費到期未交付時，自催告到達翌日起三十日內為寬限期間。</w:t>
      </w:r>
    </w:p>
    <w:p>
      <w:pPr>
        <w:pStyle w:val="BodyText"/>
        <w:spacing w:line="242" w:lineRule="auto" w:before="3"/>
        <w:ind w:right="181"/>
      </w:pPr>
      <w:r>
        <w:rPr>
          <w:w w:val="95"/>
        </w:rPr>
        <w:t>約定以金融機構轉帳或其他方式交付續保保險費者，本公司於知悉未能依此項約定受領保險費時，應催</w:t>
      </w:r>
      <w:r>
        <w:rPr>
          <w:spacing w:val="187"/>
        </w:rPr>
        <w:t> </w:t>
      </w:r>
      <w:r>
        <w:rPr/>
        <w:t>告要保人交付保險費，自催告到達翌日起三十日內為寬限期間。</w:t>
      </w:r>
    </w:p>
    <w:p>
      <w:pPr>
        <w:pStyle w:val="BodyText"/>
        <w:spacing w:line="242" w:lineRule="auto" w:before="3"/>
        <w:ind w:right="181"/>
      </w:pPr>
      <w:r>
        <w:rPr>
          <w:w w:val="95"/>
        </w:rPr>
        <w:t>前二項對要保人之催告，本公司另應通知被保險人以確保其權益。對被保險人之通知，依最後留存於本</w:t>
      </w:r>
      <w:r>
        <w:rPr>
          <w:spacing w:val="187"/>
        </w:rPr>
        <w:t> </w:t>
      </w:r>
      <w:r>
        <w:rPr/>
        <w:t>公司之聯絡資料，以書面、電子郵件、簡訊或其他約定方式擇一發出通知者，視為已完成。</w:t>
      </w:r>
    </w:p>
    <w:p>
      <w:pPr>
        <w:pStyle w:val="BodyText"/>
        <w:spacing w:line="242" w:lineRule="auto" w:before="3"/>
        <w:ind w:right="181"/>
      </w:pPr>
      <w:r>
        <w:rPr>
          <w:w w:val="95"/>
        </w:rPr>
        <w:t>逾寬限期間仍未交付者，本契約自寬限期間終了翌日起停止效力。如在寬限期間內發生保險事故時，本</w:t>
      </w:r>
      <w:r>
        <w:rPr>
          <w:spacing w:val="187"/>
        </w:rPr>
        <w:t> </w:t>
      </w:r>
      <w:r>
        <w:rPr/>
        <w:t>公司仍負保險責任。</w:t>
      </w:r>
    </w:p>
    <w:p>
      <w:pPr>
        <w:pStyle w:val="BodyText"/>
        <w:spacing w:before="4"/>
        <w:ind w:left="0"/>
        <w:rPr>
          <w:sz w:val="15"/>
        </w:rPr>
      </w:pPr>
    </w:p>
    <w:p>
      <w:pPr>
        <w:pStyle w:val="Heading1"/>
        <w:tabs>
          <w:tab w:pos="934" w:val="left" w:leader="none"/>
        </w:tabs>
        <w:spacing w:before="1"/>
      </w:pPr>
      <w:r>
        <w:rPr/>
        <w:t>第七條</w:t>
        <w:tab/>
      </w:r>
      <w:r>
        <w:rPr>
          <w:w w:val="95"/>
        </w:rPr>
        <w:t>本契約效力的恢復</w:t>
      </w:r>
    </w:p>
    <w:p>
      <w:pPr>
        <w:pStyle w:val="BodyText"/>
        <w:spacing w:line="235" w:lineRule="exact"/>
      </w:pPr>
      <w:r>
        <w:rPr>
          <w:w w:val="95"/>
        </w:rPr>
        <w:t>本契約停止效力後，要保人得在停效日起二年內，申請復效。但申請復效當時被保險人之保險年齡高於</w:t>
      </w:r>
    </w:p>
    <w:p>
      <w:pPr>
        <w:pStyle w:val="BodyText"/>
        <w:spacing w:before="5"/>
      </w:pPr>
      <w:r>
        <w:rPr/>
        <w:t>本契約最高續保年齡者，本公司不予復效。</w:t>
      </w:r>
    </w:p>
    <w:p>
      <w:pPr>
        <w:pStyle w:val="BodyText"/>
        <w:spacing w:line="242" w:lineRule="auto" w:before="3"/>
        <w:ind w:right="175"/>
      </w:pPr>
      <w:r>
        <w:rPr/>
        <w:drawing>
          <wp:anchor distT="0" distB="0" distL="0" distR="0" allowOverlap="1" layoutInCell="1" locked="0" behindDoc="1" simplePos="0" relativeHeight="487333376">
            <wp:simplePos x="0" y="0"/>
            <wp:positionH relativeFrom="page">
              <wp:posOffset>2872135</wp:posOffset>
            </wp:positionH>
            <wp:positionV relativeFrom="paragraph">
              <wp:posOffset>97169</wp:posOffset>
            </wp:positionV>
            <wp:extent cx="1837644" cy="4428464"/>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837644" cy="4428464"/>
                    </a:xfrm>
                    <a:prstGeom prst="rect">
                      <a:avLst/>
                    </a:prstGeom>
                  </pic:spPr>
                </pic:pic>
              </a:graphicData>
            </a:graphic>
          </wp:anchor>
        </w:drawing>
      </w:r>
      <w:r>
        <w:rPr>
          <w:w w:val="95"/>
        </w:rPr>
        <w:t>要保人於停止效力之日起六個月內提出前項復效申請，並經要保人清償按附表短期費率表所載短期費率</w:t>
      </w:r>
      <w:r>
        <w:rPr>
          <w:spacing w:val="193"/>
        </w:rPr>
        <w:t> </w:t>
      </w:r>
      <w:r>
        <w:rPr/>
        <w:t>計算之欠繳保險費後，自翌日上午零時起，開始恢復其效力。</w:t>
      </w:r>
    </w:p>
    <w:p>
      <w:pPr>
        <w:pStyle w:val="BodyText"/>
        <w:spacing w:line="244" w:lineRule="auto" w:before="3"/>
        <w:ind w:right="181"/>
        <w:jc w:val="both"/>
      </w:pPr>
      <w:r>
        <w:rPr>
          <w:w w:val="95"/>
        </w:rPr>
        <w:t>要保人於停止效力之日起六個月後提出第一項之復效申請者，本公司得於要保人之復效申請送達本公司</w:t>
      </w:r>
      <w:r>
        <w:rPr>
          <w:spacing w:val="197"/>
        </w:rPr>
        <w:t> </w:t>
      </w:r>
      <w:r>
        <w:rPr>
          <w:w w:val="95"/>
        </w:rPr>
        <w:t>之日起五日內要求要保人提供被保險人之可保證明。要保人如未於十日內交齊本公司要求提供之可保證</w:t>
      </w:r>
      <w:r>
        <w:rPr>
          <w:spacing w:val="187"/>
        </w:rPr>
        <w:t> </w:t>
      </w:r>
      <w:r>
        <w:rPr/>
        <w:t>明者，本公司得退回該次復效之申請。</w:t>
      </w:r>
    </w:p>
    <w:p>
      <w:pPr>
        <w:pStyle w:val="BodyText"/>
        <w:spacing w:line="253" w:lineRule="exact"/>
      </w:pPr>
      <w:r>
        <w:rPr/>
        <w:t>被保險人之危險程度有重大變更已達拒絕承保程度者，本公司得拒絕其復效。</w:t>
      </w:r>
    </w:p>
    <w:p>
      <w:pPr>
        <w:pStyle w:val="BodyText"/>
        <w:spacing w:line="244" w:lineRule="auto" w:before="3"/>
        <w:ind w:right="181"/>
      </w:pPr>
      <w:r>
        <w:rPr>
          <w:w w:val="95"/>
        </w:rPr>
        <w:t>本公司未於第三項約定期限內要求要保人提供可保證明，或於收齊可保證明後十五日內不為拒絕者，視</w:t>
      </w:r>
      <w:r>
        <w:rPr>
          <w:spacing w:val="187"/>
        </w:rPr>
        <w:t> </w:t>
      </w:r>
      <w:r>
        <w:rPr/>
        <w:t>為同意復效，並經要保人清償第二項所約定之金額後，自翌日上午零時起，開始恢復其效力。</w:t>
      </w:r>
    </w:p>
    <w:p>
      <w:pPr>
        <w:pStyle w:val="BodyText"/>
        <w:spacing w:line="244" w:lineRule="auto"/>
        <w:ind w:right="181"/>
      </w:pPr>
      <w:r>
        <w:rPr>
          <w:w w:val="95"/>
        </w:rPr>
        <w:t>要保人依第三項提出申請復效者，除有同項後段或第四項之情形外，於交齊可保證明，並清償第二項所</w:t>
      </w:r>
      <w:r>
        <w:rPr>
          <w:spacing w:val="187"/>
        </w:rPr>
        <w:t> </w:t>
      </w:r>
      <w:r>
        <w:rPr/>
        <w:t>約定之金額後，自翌日上午零時起，開始恢復其效力。</w:t>
      </w:r>
    </w:p>
    <w:p>
      <w:pPr>
        <w:pStyle w:val="BodyText"/>
        <w:spacing w:line="242" w:lineRule="auto"/>
        <w:ind w:right="169"/>
        <w:jc w:val="both"/>
      </w:pPr>
      <w:r>
        <w:rPr/>
        <w:t>基於保戶服務，本公司於保險契約停止效力後至得申請復效之期限屆滿前三個月，將以書面、電子郵</w:t>
      </w:r>
      <w:r>
        <w:rPr>
          <w:spacing w:val="1"/>
        </w:rPr>
        <w:t> </w:t>
      </w:r>
      <w:r>
        <w:rPr>
          <w:w w:val="95"/>
        </w:rPr>
        <w:t>件、簡訊或其他約定方式擇一通知要保人有行使第一項申請復效之權利，並載明要保人未於第一項約定</w:t>
      </w:r>
      <w:r>
        <w:rPr>
          <w:spacing w:val="199"/>
        </w:rPr>
        <w:t> </w:t>
      </w:r>
      <w:r>
        <w:rPr/>
        <w:t>期限屆滿前恢復保單效力者，契約效力將自第一項約定期限屆滿之日翌日上午零時起終止 ，以提醒要保人注意。</w:t>
      </w:r>
    </w:p>
    <w:p>
      <w:pPr>
        <w:pStyle w:val="BodyText"/>
        <w:spacing w:line="242" w:lineRule="auto" w:before="2"/>
        <w:ind w:right="1613"/>
      </w:pPr>
      <w:r>
        <w:rPr>
          <w:w w:val="95"/>
        </w:rPr>
        <w:t>本公司已依要保人最後留於本公司之前項聯絡資料發出通知，視為已完成前項之通知。</w:t>
      </w:r>
      <w:r>
        <w:rPr>
          <w:spacing w:val="90"/>
          <w:w w:val="95"/>
        </w:rPr>
        <w:t> </w:t>
      </w:r>
      <w:r>
        <w:rPr/>
        <w:t>第一項約定期限屆滿時，本契約效力即行終止。</w:t>
      </w:r>
    </w:p>
    <w:p>
      <w:pPr>
        <w:pStyle w:val="BodyText"/>
        <w:spacing w:before="8"/>
        <w:ind w:left="0"/>
      </w:pPr>
    </w:p>
    <w:p>
      <w:pPr>
        <w:pStyle w:val="Heading1"/>
        <w:tabs>
          <w:tab w:pos="934" w:val="left" w:leader="none"/>
        </w:tabs>
        <w:spacing w:line="343" w:lineRule="exact"/>
      </w:pPr>
      <w:r>
        <w:rPr/>
        <w:t>第八條</w:t>
        <w:tab/>
        <w:t>告知義務與本契約的解除</w:t>
      </w:r>
    </w:p>
    <w:p>
      <w:pPr>
        <w:pStyle w:val="BodyText"/>
        <w:spacing w:line="231" w:lineRule="exact"/>
      </w:pPr>
      <w:r>
        <w:rPr>
          <w:w w:val="95"/>
        </w:rPr>
        <w:t>要保人或被保險人在訂立本契約時，對於本公司要保書書面詢問的告知事項應據實說明，如有為隱匿或</w:t>
      </w:r>
    </w:p>
    <w:p>
      <w:pPr>
        <w:pStyle w:val="BodyText"/>
        <w:spacing w:line="242" w:lineRule="auto" w:before="5"/>
        <w:ind w:right="181"/>
      </w:pPr>
      <w:r>
        <w:rPr>
          <w:w w:val="95"/>
        </w:rPr>
        <w:t>遺漏不為說明，或為不實的說明，足以變更或減少本公司對於危險的估計者，本公司得解除契約，其保</w:t>
      </w:r>
      <w:r>
        <w:rPr>
          <w:spacing w:val="187"/>
        </w:rPr>
        <w:t> </w:t>
      </w:r>
      <w:r>
        <w:rPr/>
        <w:t>險事故發生後亦同。但危險的發生未基於其說明或未說明的事實時，不在此限。</w:t>
      </w:r>
    </w:p>
    <w:p>
      <w:pPr>
        <w:pStyle w:val="BodyText"/>
        <w:spacing w:line="244" w:lineRule="auto" w:before="1"/>
        <w:ind w:right="179"/>
      </w:pPr>
      <w:r>
        <w:rPr>
          <w:w w:val="95"/>
        </w:rPr>
        <w:t>前項解除契約權，自本公司知有解除之原因後，經過一個月不行使而消滅；或自契約訂立後，經過二年</w:t>
      </w:r>
      <w:r>
        <w:rPr>
          <w:spacing w:val="189"/>
        </w:rPr>
        <w:t> </w:t>
      </w:r>
      <w:r>
        <w:rPr/>
        <w:t>不行使而消滅。</w:t>
      </w:r>
    </w:p>
    <w:p>
      <w:pPr>
        <w:pStyle w:val="BodyText"/>
        <w:spacing w:before="1"/>
        <w:ind w:left="0"/>
        <w:rPr>
          <w:sz w:val="15"/>
        </w:rPr>
      </w:pPr>
    </w:p>
    <w:p>
      <w:pPr>
        <w:pStyle w:val="Heading1"/>
        <w:tabs>
          <w:tab w:pos="934" w:val="left" w:leader="none"/>
        </w:tabs>
        <w:spacing w:before="1"/>
      </w:pPr>
      <w:r>
        <w:rPr/>
        <w:t>第九條</w:t>
        <w:tab/>
        <w:t>契約的終止（一）</w:t>
      </w:r>
    </w:p>
    <w:p>
      <w:pPr>
        <w:pStyle w:val="BodyText"/>
        <w:spacing w:line="235" w:lineRule="exact"/>
      </w:pPr>
      <w:r>
        <w:rPr/>
        <w:t>要保人得隨時終止本契約。</w:t>
      </w:r>
    </w:p>
    <w:p>
      <w:pPr>
        <w:pStyle w:val="BodyText"/>
        <w:spacing w:before="3"/>
      </w:pPr>
      <w:r>
        <w:rPr/>
        <w:t>前項契約之終止，自本公司收到要保人書面或其他約定方式通知時，開始生效。</w:t>
      </w:r>
    </w:p>
    <w:p>
      <w:pPr>
        <w:pStyle w:val="BodyText"/>
        <w:spacing w:line="242" w:lineRule="auto" w:before="5"/>
        <w:ind w:right="181"/>
      </w:pPr>
      <w:r>
        <w:rPr>
          <w:w w:val="95"/>
        </w:rPr>
        <w:t>要保人依第一項約定終止本契約時，如有未到期保險費者，本公司應從當期已繳保險費扣除按短期費率</w:t>
      </w:r>
      <w:r>
        <w:rPr>
          <w:spacing w:val="187"/>
        </w:rPr>
        <w:t> </w:t>
      </w:r>
      <w:r>
        <w:rPr/>
        <w:t>計算已經過期間之保險費後，將其未到期保險費無息退還要保人。短期費率表如附表。</w:t>
      </w:r>
    </w:p>
    <w:p>
      <w:pPr>
        <w:pStyle w:val="BodyText"/>
        <w:spacing w:before="4"/>
        <w:ind w:left="0"/>
        <w:rPr>
          <w:sz w:val="15"/>
        </w:rPr>
      </w:pPr>
    </w:p>
    <w:p>
      <w:pPr>
        <w:pStyle w:val="Heading1"/>
        <w:tabs>
          <w:tab w:pos="934" w:val="left" w:leader="none"/>
        </w:tabs>
        <w:spacing w:line="347" w:lineRule="exact"/>
      </w:pPr>
      <w:r>
        <w:rPr/>
        <w:t>第十條</w:t>
        <w:tab/>
        <w:t>契約的終止（二）</w:t>
      </w:r>
    </w:p>
    <w:p>
      <w:pPr>
        <w:pStyle w:val="BodyText"/>
        <w:spacing w:line="235" w:lineRule="exact"/>
      </w:pPr>
      <w:r>
        <w:rPr/>
        <w:t>本契約有下列情形之一時，其效力即行終止：</w:t>
      </w:r>
    </w:p>
    <w:p>
      <w:pPr>
        <w:pStyle w:val="BodyText"/>
        <w:spacing w:before="5"/>
      </w:pPr>
      <w:r>
        <w:rPr/>
        <w:t>一、被保險人身故。</w:t>
      </w:r>
    </w:p>
    <w:p>
      <w:pPr>
        <w:pStyle w:val="BodyText"/>
        <w:spacing w:line="242" w:lineRule="auto" w:before="3"/>
        <w:ind w:right="1611"/>
      </w:pPr>
      <w:r>
        <w:rPr>
          <w:w w:val="95"/>
        </w:rPr>
        <w:t>二、被保險人重大疾病診斷確定日(本公司按第十一條約定給付「重大疾病保險金」)。</w:t>
      </w:r>
      <w:r>
        <w:rPr>
          <w:spacing w:val="92"/>
          <w:w w:val="95"/>
        </w:rPr>
        <w:t> </w:t>
      </w:r>
      <w:r>
        <w:rPr/>
        <w:t>三、保險單上所載保險期間屆滿。</w:t>
      </w:r>
    </w:p>
    <w:p>
      <w:pPr>
        <w:pStyle w:val="BodyText"/>
        <w:spacing w:line="242" w:lineRule="auto" w:before="4"/>
        <w:ind w:right="181"/>
      </w:pPr>
      <w:r>
        <w:rPr>
          <w:w w:val="95"/>
        </w:rPr>
        <w:t>本契約因前項第一款情形終止後如有未到期保險費者，本公司應從當期已繳保險費扣除按日數比例計算</w:t>
      </w:r>
      <w:r>
        <w:rPr>
          <w:spacing w:val="187"/>
        </w:rPr>
        <w:t> </w:t>
      </w:r>
      <w:r>
        <w:rPr/>
        <w:t>已經過期間之保險費後，將其未到期保險費無息退還要保人。</w:t>
      </w:r>
    </w:p>
    <w:p>
      <w:pPr>
        <w:spacing w:after="0" w:line="242" w:lineRule="auto"/>
        <w:sectPr>
          <w:pgSz w:w="11910" w:h="16840"/>
          <w:pgMar w:header="0" w:footer="855" w:top="1360" w:bottom="1040" w:left="1000" w:right="960"/>
        </w:sectPr>
      </w:pPr>
    </w:p>
    <w:p>
      <w:pPr>
        <w:pStyle w:val="Heading1"/>
        <w:tabs>
          <w:tab w:pos="1136" w:val="left" w:leader="none"/>
        </w:tabs>
        <w:spacing w:line="310" w:lineRule="exact"/>
      </w:pPr>
      <w:r>
        <w:rPr/>
        <w:t>第十一條</w:t>
        <w:tab/>
        <w:t>重大疾病保險金的給付</w:t>
      </w:r>
    </w:p>
    <w:p>
      <w:pPr>
        <w:pStyle w:val="BodyText"/>
        <w:spacing w:line="235" w:lineRule="exact"/>
        <w:ind w:left="932"/>
      </w:pPr>
      <w:r>
        <w:rPr>
          <w:w w:val="95"/>
        </w:rPr>
        <w:t>被保險人於本契約等待期間屆滿翌日、復效日或續保日起的契約有效期間內，經醫院醫師初次診斷確</w:t>
      </w:r>
    </w:p>
    <w:p>
      <w:pPr>
        <w:pStyle w:val="BodyText"/>
        <w:spacing w:line="242" w:lineRule="auto" w:before="5"/>
        <w:ind w:left="932" w:right="181"/>
      </w:pPr>
      <w:r>
        <w:rPr>
          <w:w w:val="95"/>
        </w:rPr>
        <w:t>定罹患第二條約定之「重大疾病」時，本公司按「重大疾病」診斷確定日之保險單年度，以下列方式</w:t>
      </w:r>
      <w:r>
        <w:rPr>
          <w:spacing w:val="178"/>
        </w:rPr>
        <w:t> </w:t>
      </w:r>
      <w:r>
        <w:rPr/>
        <w:t>計算之金額給付「重大疾病保險金」且當期已繳付之未到期保險費將不予退還：</w:t>
      </w:r>
    </w:p>
    <w:p>
      <w:pPr>
        <w:pStyle w:val="BodyText"/>
        <w:spacing w:line="244" w:lineRule="auto" w:before="1"/>
        <w:ind w:left="932" w:right="3013"/>
      </w:pPr>
      <w:r>
        <w:rPr>
          <w:w w:val="95"/>
        </w:rPr>
        <w:t>一、於投保之保險單年度內初次診斷確定者：保險金額的百分之十。</w:t>
      </w:r>
      <w:r>
        <w:rPr>
          <w:spacing w:val="11"/>
          <w:w w:val="95"/>
        </w:rPr>
        <w:t> </w:t>
      </w:r>
      <w:r>
        <w:rPr/>
        <w:t>二、於續保之保險單年度內初次診斷確定者：保險金額。</w:t>
      </w:r>
    </w:p>
    <w:p>
      <w:pPr>
        <w:pStyle w:val="BodyText"/>
        <w:spacing w:line="254" w:lineRule="exact"/>
        <w:ind w:left="932"/>
      </w:pPr>
      <w:r>
        <w:rPr>
          <w:spacing w:val="-3"/>
        </w:rPr>
        <w:t>被保險人同時或先後罹患二項以上之「重大疾病」時，本公司只給付一項「重大疾病保險金」。</w:t>
      </w:r>
    </w:p>
    <w:p>
      <w:pPr>
        <w:pStyle w:val="BodyText"/>
        <w:spacing w:before="6"/>
        <w:ind w:left="0"/>
        <w:rPr>
          <w:sz w:val="15"/>
        </w:rPr>
      </w:pPr>
    </w:p>
    <w:p>
      <w:pPr>
        <w:pStyle w:val="Heading1"/>
        <w:tabs>
          <w:tab w:pos="1136" w:val="left" w:leader="none"/>
        </w:tabs>
      </w:pPr>
      <w:r>
        <w:rPr/>
        <w:t>第十二條</w:t>
        <w:tab/>
        <w:t>保險事故的通知與保險金的申請時間</w:t>
      </w:r>
    </w:p>
    <w:p>
      <w:pPr>
        <w:pStyle w:val="BodyText"/>
        <w:spacing w:line="235" w:lineRule="exact"/>
        <w:ind w:left="932"/>
      </w:pPr>
      <w:r>
        <w:rPr>
          <w:w w:val="95"/>
        </w:rPr>
        <w:t>要保人或受益人應於知悉本公司應負保險責任之事故後十日內通知本公司，並於通知後儘速檢具所需</w:t>
      </w:r>
    </w:p>
    <w:p>
      <w:pPr>
        <w:pStyle w:val="BodyText"/>
        <w:spacing w:before="6"/>
        <w:ind w:left="932"/>
      </w:pPr>
      <w:r>
        <w:rPr/>
        <w:t>文件向本公司申請給付保險金。</w:t>
      </w:r>
    </w:p>
    <w:p>
      <w:pPr>
        <w:pStyle w:val="BodyText"/>
        <w:spacing w:line="244" w:lineRule="auto" w:before="2"/>
        <w:ind w:left="932" w:right="181"/>
      </w:pPr>
      <w:r>
        <w:rPr>
          <w:w w:val="95"/>
        </w:rPr>
        <w:t>本公司應於收齊前項文件後十五日內給付之。但因可歸責於本公司之事由致未在前述約定期限內為給</w:t>
      </w:r>
      <w:r>
        <w:rPr>
          <w:spacing w:val="178"/>
        </w:rPr>
        <w:t> </w:t>
      </w:r>
      <w:r>
        <w:rPr/>
        <w:t>付者，應按年利一分加計利息給付。</w:t>
      </w:r>
    </w:p>
    <w:p>
      <w:pPr>
        <w:pStyle w:val="BodyText"/>
        <w:spacing w:before="12"/>
        <w:ind w:left="0"/>
        <w:rPr>
          <w:sz w:val="14"/>
        </w:rPr>
      </w:pPr>
    </w:p>
    <w:p>
      <w:pPr>
        <w:pStyle w:val="Heading1"/>
        <w:tabs>
          <w:tab w:pos="1136" w:val="left" w:leader="none"/>
        </w:tabs>
        <w:spacing w:line="348" w:lineRule="exact"/>
      </w:pPr>
      <w:r>
        <w:rPr/>
        <w:drawing>
          <wp:anchor distT="0" distB="0" distL="0" distR="0" allowOverlap="1" layoutInCell="1" locked="0" behindDoc="1" simplePos="0" relativeHeight="487333888">
            <wp:simplePos x="0" y="0"/>
            <wp:positionH relativeFrom="page">
              <wp:posOffset>2872135</wp:posOffset>
            </wp:positionH>
            <wp:positionV relativeFrom="paragraph">
              <wp:posOffset>-27406</wp:posOffset>
            </wp:positionV>
            <wp:extent cx="1837644" cy="4428464"/>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837644" cy="4428464"/>
                    </a:xfrm>
                    <a:prstGeom prst="rect">
                      <a:avLst/>
                    </a:prstGeom>
                  </pic:spPr>
                </pic:pic>
              </a:graphicData>
            </a:graphic>
          </wp:anchor>
        </w:drawing>
      </w:r>
      <w:r>
        <w:rPr/>
        <w:t>第十三條</w:t>
        <w:tab/>
        <w:t>重大疾病保險金的申領</w:t>
      </w:r>
    </w:p>
    <w:p>
      <w:pPr>
        <w:pStyle w:val="BodyText"/>
        <w:spacing w:line="236" w:lineRule="exact"/>
        <w:ind w:left="932"/>
      </w:pPr>
      <w:r>
        <w:rPr/>
        <w:t>受益人依第十一條約定申領「重大疾病保險金」時，應檢具下列文件：</w:t>
      </w:r>
    </w:p>
    <w:p>
      <w:pPr>
        <w:pStyle w:val="BodyText"/>
        <w:spacing w:line="244" w:lineRule="auto" w:before="4"/>
        <w:ind w:left="932" w:right="7013"/>
      </w:pPr>
      <w:r>
        <w:rPr>
          <w:spacing w:val="-1"/>
        </w:rPr>
        <w:t>一、保險單或其謄本。</w:t>
      </w:r>
      <w:r>
        <w:rPr/>
        <w:t>二、保險金申請書。</w:t>
      </w:r>
    </w:p>
    <w:p>
      <w:pPr>
        <w:pStyle w:val="BodyText"/>
        <w:spacing w:line="254" w:lineRule="exact"/>
        <w:ind w:left="932"/>
      </w:pPr>
      <w:r>
        <w:rPr>
          <w:spacing w:val="6"/>
          <w:w w:val="95"/>
        </w:rPr>
        <w:t>三、醫療診斷書及相關疾病診斷證明或病理檢驗報告</w:t>
      </w:r>
      <w:r>
        <w:rPr>
          <w:spacing w:val="11"/>
          <w:w w:val="95"/>
        </w:rPr>
        <w:t>（</w:t>
      </w:r>
      <w:r>
        <w:rPr>
          <w:spacing w:val="7"/>
          <w:w w:val="95"/>
        </w:rPr>
        <w:t>例如癌細胞組織切片報告</w:t>
      </w:r>
      <w:r>
        <w:rPr>
          <w:spacing w:val="11"/>
          <w:w w:val="95"/>
        </w:rPr>
        <w:t>），</w:t>
      </w:r>
      <w:r>
        <w:rPr>
          <w:spacing w:val="6"/>
          <w:w w:val="95"/>
        </w:rPr>
        <w:t>但液體活檢</w:t>
      </w:r>
    </w:p>
    <w:p>
      <w:pPr>
        <w:pStyle w:val="BodyText"/>
        <w:spacing w:line="244" w:lineRule="auto" w:before="3"/>
        <w:ind w:left="1333" w:right="163"/>
        <w:jc w:val="both"/>
      </w:pPr>
      <w:r>
        <w:rPr/>
        <w:t>（liquid</w:t>
      </w:r>
      <w:r>
        <w:rPr>
          <w:spacing w:val="23"/>
        </w:rPr>
        <w:t> </w:t>
      </w:r>
      <w:r>
        <w:rPr/>
        <w:t>biopsy）報告不得作為病理檢驗確認癌症之依據。(但要保人或被保險人為醫師時，不</w:t>
      </w:r>
      <w:r>
        <w:rPr>
          <w:spacing w:val="12"/>
          <w:w w:val="95"/>
        </w:rPr>
        <w:t>得為被保險人出具診斷證明書及相關疾病診斷證明或病理檢驗報告（</w:t>
      </w:r>
      <w:r>
        <w:rPr>
          <w:spacing w:val="10"/>
          <w:w w:val="95"/>
        </w:rPr>
        <w:t>例如癌細胞組織切片報</w:t>
      </w:r>
      <w:r>
        <w:rPr>
          <w:spacing w:val="92"/>
          <w:w w:val="95"/>
        </w:rPr>
        <w:t> </w:t>
      </w:r>
      <w:r>
        <w:rPr/>
        <w:t>告)。）</w:t>
      </w:r>
    </w:p>
    <w:p>
      <w:pPr>
        <w:pStyle w:val="BodyText"/>
        <w:spacing w:line="255" w:lineRule="exact"/>
        <w:ind w:left="932"/>
      </w:pPr>
      <w:r>
        <w:rPr/>
        <w:t>四、受益人的身分證明。</w:t>
      </w:r>
    </w:p>
    <w:p>
      <w:pPr>
        <w:pStyle w:val="BodyText"/>
        <w:spacing w:line="244" w:lineRule="auto" w:before="3"/>
        <w:ind w:left="932" w:right="178"/>
        <w:jc w:val="both"/>
      </w:pPr>
      <w:r>
        <w:rPr>
          <w:w w:val="95"/>
        </w:rPr>
        <w:t>受益人申領「重大疾病保險金」時，本公司基於審核保險金之需要，得徵詢其他醫師之醫學專業意</w:t>
      </w:r>
      <w:r>
        <w:rPr>
          <w:spacing w:val="140"/>
        </w:rPr>
        <w:t> </w:t>
      </w:r>
      <w:r>
        <w:rPr>
          <w:spacing w:val="141"/>
        </w:rPr>
        <w:t> </w:t>
      </w:r>
      <w:r>
        <w:rPr>
          <w:w w:val="95"/>
        </w:rPr>
        <w:t>見，並得經受益人同意調閱被保險人之就醫相關資料。因此所生之費用由本公司負擔。但不因此延展</w:t>
      </w:r>
      <w:r>
        <w:rPr>
          <w:spacing w:val="181"/>
        </w:rPr>
        <w:t> </w:t>
      </w:r>
      <w:r>
        <w:rPr/>
        <w:t>本公司依第十二條第二項約定應給付之期限。</w:t>
      </w:r>
    </w:p>
    <w:p>
      <w:pPr>
        <w:pStyle w:val="BodyText"/>
        <w:spacing w:before="12"/>
        <w:ind w:left="0"/>
        <w:rPr>
          <w:sz w:val="14"/>
        </w:rPr>
      </w:pPr>
    </w:p>
    <w:p>
      <w:pPr>
        <w:pStyle w:val="Heading1"/>
        <w:tabs>
          <w:tab w:pos="1136" w:val="left" w:leader="none"/>
        </w:tabs>
      </w:pPr>
      <w:r>
        <w:rPr/>
        <w:t>第十四條</w:t>
        <w:tab/>
        <w:t>除外責任</w:t>
      </w:r>
    </w:p>
    <w:p>
      <w:pPr>
        <w:pStyle w:val="BodyText"/>
        <w:spacing w:line="235" w:lineRule="exact"/>
        <w:ind w:left="932"/>
      </w:pPr>
      <w:r>
        <w:rPr/>
        <w:t>被保險人因下列原因所致之「重大疾病」者，本公司不負給付「重大疾病保險金」的責任：</w:t>
      </w:r>
    </w:p>
    <w:p>
      <w:pPr>
        <w:pStyle w:val="BodyText"/>
        <w:spacing w:line="244" w:lineRule="auto" w:before="3"/>
        <w:ind w:left="932" w:right="4412"/>
      </w:pPr>
      <w:r>
        <w:rPr>
          <w:w w:val="95"/>
        </w:rPr>
        <w:t>一、被保險人之故意行為（包括自殺及自殺未遂）。</w:t>
      </w:r>
      <w:r>
        <w:rPr>
          <w:spacing w:val="1"/>
          <w:w w:val="95"/>
        </w:rPr>
        <w:t> </w:t>
      </w:r>
      <w:r>
        <w:rPr/>
        <w:t>二、被保險人之犯罪行為。</w:t>
      </w:r>
    </w:p>
    <w:p>
      <w:pPr>
        <w:pStyle w:val="BodyText"/>
        <w:spacing w:line="255" w:lineRule="exact"/>
        <w:ind w:left="932"/>
      </w:pPr>
      <w:r>
        <w:rPr/>
        <w:t>三、被保險人非法施用防制毒品相關法令所稱之毒品。</w:t>
      </w:r>
    </w:p>
    <w:p>
      <w:pPr>
        <w:pStyle w:val="BodyText"/>
        <w:spacing w:before="6"/>
        <w:ind w:left="0"/>
        <w:rPr>
          <w:sz w:val="15"/>
        </w:rPr>
      </w:pPr>
    </w:p>
    <w:p>
      <w:pPr>
        <w:pStyle w:val="Heading1"/>
        <w:tabs>
          <w:tab w:pos="1136" w:val="left" w:leader="none"/>
        </w:tabs>
      </w:pPr>
      <w:r>
        <w:rPr/>
        <w:t>第十五條</w:t>
        <w:tab/>
        <w:t>欠繳保險費的扣除</w:t>
      </w:r>
    </w:p>
    <w:p>
      <w:pPr>
        <w:pStyle w:val="BodyText"/>
        <w:spacing w:line="235" w:lineRule="exact"/>
        <w:ind w:left="932"/>
      </w:pPr>
      <w:r>
        <w:rPr/>
        <w:t>本公司給付保險金時，如要保人有欠繳保險費者，本公司得先抵銷上述欠繳保險費後給付其餘額。</w:t>
      </w:r>
    </w:p>
    <w:p>
      <w:pPr>
        <w:pStyle w:val="BodyText"/>
        <w:spacing w:before="6"/>
        <w:ind w:left="0"/>
        <w:rPr>
          <w:sz w:val="15"/>
        </w:rPr>
      </w:pPr>
    </w:p>
    <w:p>
      <w:pPr>
        <w:pStyle w:val="Heading1"/>
        <w:tabs>
          <w:tab w:pos="1136" w:val="left" w:leader="none"/>
        </w:tabs>
        <w:spacing w:line="348" w:lineRule="exact" w:before="1"/>
      </w:pPr>
      <w:r>
        <w:rPr/>
        <w:t>第十六條</w:t>
        <w:tab/>
        <w:t>保險金額之減少</w:t>
      </w:r>
    </w:p>
    <w:p>
      <w:pPr>
        <w:pStyle w:val="BodyText"/>
        <w:spacing w:line="236" w:lineRule="exact"/>
        <w:ind w:left="932"/>
      </w:pPr>
      <w:r>
        <w:rPr>
          <w:w w:val="95"/>
        </w:rPr>
        <w:t>要保人在本契約有效期間內，得申請減少保險金額，但是減額後的保險金額，不得低於本保險最低承</w:t>
      </w:r>
    </w:p>
    <w:p>
      <w:pPr>
        <w:pStyle w:val="BodyText"/>
        <w:spacing w:before="2"/>
        <w:ind w:left="932"/>
      </w:pPr>
      <w:r>
        <w:rPr/>
        <w:t>保金額，其減少部分依第九條契約終止之約定處理。</w:t>
      </w:r>
    </w:p>
    <w:p>
      <w:pPr>
        <w:pStyle w:val="BodyText"/>
        <w:spacing w:before="7"/>
        <w:ind w:left="0"/>
        <w:rPr>
          <w:sz w:val="15"/>
        </w:rPr>
      </w:pPr>
    </w:p>
    <w:p>
      <w:pPr>
        <w:pStyle w:val="Heading1"/>
        <w:tabs>
          <w:tab w:pos="1136" w:val="left" w:leader="none"/>
        </w:tabs>
      </w:pPr>
      <w:r>
        <w:rPr/>
        <w:t>第十七條</w:t>
        <w:tab/>
        <w:t>投保年齡的計算及錯誤的處理</w:t>
      </w:r>
    </w:p>
    <w:p>
      <w:pPr>
        <w:pStyle w:val="BodyText"/>
        <w:spacing w:line="235" w:lineRule="exact"/>
        <w:ind w:left="932"/>
      </w:pPr>
      <w:r>
        <w:rPr>
          <w:w w:val="95"/>
        </w:rPr>
        <w:t>要保人在申請投保時，應將被保險人出生年月日在要保書填明。被保險人的投保年齡，以足歲計算，</w:t>
      </w:r>
    </w:p>
    <w:p>
      <w:pPr>
        <w:pStyle w:val="BodyText"/>
        <w:spacing w:before="5"/>
        <w:ind w:left="932"/>
      </w:pPr>
      <w:r>
        <w:rPr/>
        <w:t>但是未滿一歲的零數超過六個月者，加算一歲。</w:t>
      </w:r>
    </w:p>
    <w:p>
      <w:pPr>
        <w:pStyle w:val="BodyText"/>
        <w:spacing w:before="3"/>
        <w:ind w:left="932"/>
      </w:pPr>
      <w:r>
        <w:rPr/>
        <w:t>被保險人的投保年齡發生錯誤時，依下列規定辦理：</w:t>
      </w:r>
    </w:p>
    <w:p>
      <w:pPr>
        <w:pStyle w:val="BodyText"/>
        <w:spacing w:line="244" w:lineRule="auto" w:before="3"/>
        <w:ind w:left="1333" w:right="181" w:hanging="401"/>
      </w:pPr>
      <w:r>
        <w:rPr>
          <w:w w:val="95"/>
        </w:rPr>
        <w:t>一、真實投保年齡較本公司保險費率表所載最高年齡為大者，本契約無效，其已繳保險費無息退還要</w:t>
      </w:r>
      <w:r>
        <w:rPr>
          <w:spacing w:val="178"/>
        </w:rPr>
        <w:t> </w:t>
      </w:r>
      <w:r>
        <w:rPr/>
        <w:t>保人。</w:t>
      </w:r>
    </w:p>
    <w:p>
      <w:pPr>
        <w:pStyle w:val="BodyText"/>
        <w:spacing w:line="244" w:lineRule="auto"/>
        <w:ind w:left="1333" w:right="176" w:hanging="401"/>
        <w:jc w:val="both"/>
      </w:pPr>
      <w:r>
        <w:rPr>
          <w:w w:val="95"/>
        </w:rPr>
        <w:t>二、因投保年齡的錯誤，而致溢繳保險費者，本公司無息退還溢繳部份的保險費。但在發生保險事故</w:t>
      </w:r>
      <w:r>
        <w:rPr>
          <w:spacing w:val="193"/>
        </w:rPr>
        <w:t> </w:t>
      </w:r>
      <w:r>
        <w:rPr>
          <w:w w:val="95"/>
        </w:rPr>
        <w:t>後始發覺且其錯誤發生在本公司者，本公司按原繳保險費與應繳保險費的比例提高保險金額，而</w:t>
      </w:r>
      <w:r>
        <w:rPr>
          <w:spacing w:val="162"/>
        </w:rPr>
        <w:t> </w:t>
      </w:r>
      <w:r>
        <w:rPr/>
        <w:t>不退還溢繳部分的保險費。</w:t>
      </w:r>
    </w:p>
    <w:p>
      <w:pPr>
        <w:pStyle w:val="BodyText"/>
        <w:spacing w:line="244" w:lineRule="auto"/>
        <w:ind w:left="1333" w:right="176" w:hanging="401"/>
        <w:jc w:val="both"/>
      </w:pPr>
      <w:r>
        <w:rPr>
          <w:w w:val="95"/>
        </w:rPr>
        <w:t>三、因投保年齡的錯誤，而致短繳保險費者，要保人得補繳短繳的保險費或按照所付的保險費與被保</w:t>
      </w:r>
      <w:r>
        <w:rPr>
          <w:spacing w:val="193"/>
        </w:rPr>
        <w:t> </w:t>
      </w:r>
      <w:r>
        <w:rPr>
          <w:w w:val="95"/>
        </w:rPr>
        <w:t>險人的真實年齡比例減少保險金額。但在發生保險事故後始發覺且其錯誤不可歸責於本公司者，</w:t>
      </w:r>
      <w:r>
        <w:rPr>
          <w:spacing w:val="162"/>
        </w:rPr>
        <w:t> </w:t>
      </w:r>
      <w:r>
        <w:rPr/>
        <w:t>要保人不得要求補繳短繳的保險費。</w:t>
      </w:r>
    </w:p>
    <w:p>
      <w:pPr>
        <w:spacing w:after="0" w:line="244" w:lineRule="auto"/>
        <w:jc w:val="both"/>
        <w:sectPr>
          <w:pgSz w:w="11910" w:h="16840"/>
          <w:pgMar w:header="0" w:footer="855" w:top="1360" w:bottom="1040" w:left="1000" w:right="960"/>
        </w:sectPr>
      </w:pPr>
    </w:p>
    <w:p>
      <w:pPr>
        <w:pStyle w:val="BodyText"/>
        <w:spacing w:line="242" w:lineRule="auto" w:before="29"/>
        <w:ind w:left="932" w:right="181"/>
      </w:pPr>
      <w:r>
        <w:rPr>
          <w:w w:val="95"/>
        </w:rPr>
        <w:t>前項第一款、第二款前段情形，其錯誤原因歸責於本公司者，應加計利息退還保險費，其利息按民法</w:t>
      </w:r>
      <w:r>
        <w:rPr>
          <w:spacing w:val="178"/>
        </w:rPr>
        <w:t> </w:t>
      </w:r>
      <w:r>
        <w:rPr/>
        <w:t>第二百零三條法定週年利率計算。</w:t>
      </w:r>
    </w:p>
    <w:p>
      <w:pPr>
        <w:pStyle w:val="BodyText"/>
        <w:spacing w:before="5"/>
        <w:ind w:left="0"/>
        <w:rPr>
          <w:sz w:val="15"/>
        </w:rPr>
      </w:pPr>
    </w:p>
    <w:p>
      <w:pPr>
        <w:pStyle w:val="Heading1"/>
        <w:tabs>
          <w:tab w:pos="1136" w:val="left" w:leader="none"/>
        </w:tabs>
      </w:pPr>
      <w:r>
        <w:rPr/>
        <w:t>第十八條</w:t>
        <w:tab/>
        <w:t>受益人</w:t>
      </w:r>
    </w:p>
    <w:p>
      <w:pPr>
        <w:pStyle w:val="BodyText"/>
        <w:spacing w:line="235" w:lineRule="exact"/>
        <w:ind w:left="932"/>
      </w:pPr>
      <w:r>
        <w:rPr/>
        <w:t>本契約保險金之受益人為被保險人本人，本公司不受理其指定及變更。</w:t>
      </w:r>
    </w:p>
    <w:p>
      <w:pPr>
        <w:pStyle w:val="BodyText"/>
        <w:spacing w:line="242" w:lineRule="auto" w:before="5"/>
        <w:ind w:left="932" w:right="181"/>
      </w:pPr>
      <w:r>
        <w:rPr>
          <w:w w:val="95"/>
        </w:rPr>
        <w:t>被保險人身故時，如本契約保險金尚未給付或未完全給付，則以被保險人身故時之法定繼承人為該部</w:t>
      </w:r>
      <w:r>
        <w:rPr>
          <w:spacing w:val="178"/>
        </w:rPr>
        <w:t> </w:t>
      </w:r>
      <w:r>
        <w:rPr/>
        <w:t>分保險金之受益人。</w:t>
      </w:r>
    </w:p>
    <w:p>
      <w:pPr>
        <w:pStyle w:val="BodyText"/>
        <w:spacing w:before="3"/>
        <w:ind w:left="932"/>
      </w:pPr>
      <w:r>
        <w:rPr/>
        <w:t>本契約受益人為法定繼承人時，其受益順序及應得比例適用民法繼承編相關規定。</w:t>
      </w:r>
    </w:p>
    <w:p>
      <w:pPr>
        <w:pStyle w:val="BodyText"/>
        <w:spacing w:before="4"/>
        <w:ind w:left="0"/>
        <w:rPr>
          <w:sz w:val="15"/>
        </w:rPr>
      </w:pPr>
    </w:p>
    <w:p>
      <w:pPr>
        <w:pStyle w:val="Heading1"/>
        <w:tabs>
          <w:tab w:pos="1136" w:val="left" w:leader="none"/>
        </w:tabs>
        <w:spacing w:line="348" w:lineRule="exact"/>
      </w:pPr>
      <w:r>
        <w:rPr/>
        <w:t>第十九條</w:t>
        <w:tab/>
        <w:t>變更住所</w:t>
      </w:r>
    </w:p>
    <w:p>
      <w:pPr>
        <w:pStyle w:val="BodyText"/>
        <w:spacing w:line="236" w:lineRule="exact"/>
        <w:ind w:left="932"/>
      </w:pPr>
      <w:r>
        <w:rPr/>
        <w:t>要保人的住所有變更時，應即以書面或其他約定方式通知本公司。</w:t>
      </w:r>
    </w:p>
    <w:p>
      <w:pPr>
        <w:pStyle w:val="BodyText"/>
        <w:spacing w:before="3"/>
        <w:ind w:left="932"/>
      </w:pPr>
      <w:r>
        <w:rPr/>
        <w:t>要保人不為前項通知者，本公司之各項通知，得以本契約所載要保人之最後住所發送之。</w:t>
      </w:r>
    </w:p>
    <w:p>
      <w:pPr>
        <w:pStyle w:val="BodyText"/>
        <w:spacing w:before="6"/>
        <w:ind w:left="0"/>
        <w:rPr>
          <w:sz w:val="15"/>
        </w:rPr>
      </w:pPr>
    </w:p>
    <w:p>
      <w:pPr>
        <w:pStyle w:val="Heading1"/>
        <w:tabs>
          <w:tab w:pos="1136" w:val="left" w:leader="none"/>
        </w:tabs>
        <w:spacing w:before="1"/>
      </w:pPr>
      <w:r>
        <w:rPr/>
        <w:drawing>
          <wp:anchor distT="0" distB="0" distL="0" distR="0" allowOverlap="1" layoutInCell="1" locked="0" behindDoc="1" simplePos="0" relativeHeight="487334400">
            <wp:simplePos x="0" y="0"/>
            <wp:positionH relativeFrom="page">
              <wp:posOffset>2872135</wp:posOffset>
            </wp:positionH>
            <wp:positionV relativeFrom="paragraph">
              <wp:posOffset>137819</wp:posOffset>
            </wp:positionV>
            <wp:extent cx="1837644" cy="4428464"/>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837644" cy="4428464"/>
                    </a:xfrm>
                    <a:prstGeom prst="rect">
                      <a:avLst/>
                    </a:prstGeom>
                  </pic:spPr>
                </pic:pic>
              </a:graphicData>
            </a:graphic>
          </wp:anchor>
        </w:drawing>
      </w:r>
      <w:r>
        <w:rPr/>
        <w:t>第二十條</w:t>
        <w:tab/>
        <w:t>時效</w:t>
      </w:r>
    </w:p>
    <w:p>
      <w:pPr>
        <w:pStyle w:val="BodyText"/>
        <w:spacing w:line="235" w:lineRule="exact"/>
        <w:ind w:left="932"/>
      </w:pPr>
      <w:r>
        <w:rPr/>
        <w:t>由本契約所生的權利，自得為請求之日起，經過兩年不行使而消滅。</w:t>
      </w:r>
    </w:p>
    <w:p>
      <w:pPr>
        <w:pStyle w:val="BodyText"/>
        <w:spacing w:before="6"/>
        <w:ind w:left="0"/>
        <w:rPr>
          <w:sz w:val="15"/>
        </w:rPr>
      </w:pPr>
    </w:p>
    <w:p>
      <w:pPr>
        <w:pStyle w:val="Heading1"/>
        <w:tabs>
          <w:tab w:pos="1335" w:val="left" w:leader="none"/>
        </w:tabs>
        <w:spacing w:line="348" w:lineRule="exact" w:before="1"/>
      </w:pPr>
      <w:r>
        <w:rPr/>
        <w:t>第二十一條</w:t>
        <w:tab/>
        <w:t>批註</w:t>
      </w:r>
    </w:p>
    <w:p>
      <w:pPr>
        <w:pStyle w:val="BodyText"/>
        <w:spacing w:line="236" w:lineRule="exact"/>
        <w:ind w:left="1138"/>
      </w:pPr>
      <w:r>
        <w:rPr>
          <w:w w:val="95"/>
        </w:rPr>
        <w:t>本契約內容的變更，或記載事項的增刪，應經要保人與本公司雙方書面或其他約定方式同意，並由</w:t>
      </w:r>
    </w:p>
    <w:p>
      <w:pPr>
        <w:pStyle w:val="BodyText"/>
        <w:spacing w:before="3"/>
        <w:ind w:left="1141"/>
      </w:pPr>
      <w:r>
        <w:rPr/>
        <w:t>本公司即予批註或發給批註書。</w:t>
      </w:r>
    </w:p>
    <w:p>
      <w:pPr>
        <w:pStyle w:val="BodyText"/>
        <w:spacing w:before="6"/>
        <w:ind w:left="0"/>
        <w:rPr>
          <w:sz w:val="15"/>
        </w:rPr>
      </w:pPr>
    </w:p>
    <w:p>
      <w:pPr>
        <w:pStyle w:val="Heading1"/>
        <w:tabs>
          <w:tab w:pos="1335" w:val="left" w:leader="none"/>
        </w:tabs>
      </w:pPr>
      <w:r>
        <w:rPr/>
        <w:t>第二十二條</w:t>
        <w:tab/>
        <w:t>管轄法院</w:t>
      </w:r>
    </w:p>
    <w:p>
      <w:pPr>
        <w:pStyle w:val="BodyText"/>
        <w:spacing w:line="235" w:lineRule="exact"/>
        <w:ind w:left="1138"/>
      </w:pPr>
      <w:r>
        <w:rPr>
          <w:w w:val="95"/>
        </w:rPr>
        <w:t>因本契約涉訟者，同意以要保人住所地地方法院為第一審管轄法院，要保人的住所在中華民國境外</w:t>
      </w:r>
    </w:p>
    <w:p>
      <w:pPr>
        <w:pStyle w:val="BodyText"/>
        <w:spacing w:line="242" w:lineRule="auto" w:before="5"/>
        <w:ind w:left="1141" w:right="176"/>
      </w:pPr>
      <w:r>
        <w:rPr>
          <w:w w:val="95"/>
        </w:rPr>
        <w:t>時，以本公司總公司所在地地方法院為第一審管轄法院。但不得排除消費者保護法第四十七條及民</w:t>
      </w:r>
      <w:r>
        <w:rPr>
          <w:spacing w:val="164"/>
        </w:rPr>
        <w:t> </w:t>
      </w:r>
      <w:r>
        <w:rPr/>
        <w:t>事訴訟法第四百三十六條之九小額訴訟管轄法院之適用。</w:t>
      </w:r>
    </w:p>
    <w:p>
      <w:pPr>
        <w:pStyle w:val="BodyText"/>
        <w:spacing w:before="7"/>
        <w:ind w:left="0"/>
        <w:rPr>
          <w:sz w:val="15"/>
        </w:rPr>
      </w:pPr>
    </w:p>
    <w:p>
      <w:pPr>
        <w:pStyle w:val="Heading1"/>
        <w:spacing w:line="336" w:lineRule="exact"/>
      </w:pPr>
      <w:r>
        <w:rPr/>
        <w:t>附表：短期費率表</w:t>
      </w:r>
    </w:p>
    <w:p>
      <w:pPr>
        <w:pStyle w:val="BodyText"/>
        <w:spacing w:line="224" w:lineRule="exact" w:after="13"/>
        <w:ind w:left="132"/>
      </w:pPr>
      <w:r>
        <w:rPr>
          <w:w w:val="95"/>
        </w:rPr>
        <w:t>一、一個月以上短期費率</w:t>
      </w: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20"/>
        <w:gridCol w:w="672"/>
        <w:gridCol w:w="670"/>
        <w:gridCol w:w="672"/>
        <w:gridCol w:w="670"/>
        <w:gridCol w:w="672"/>
        <w:gridCol w:w="672"/>
        <w:gridCol w:w="669"/>
        <w:gridCol w:w="671"/>
        <w:gridCol w:w="669"/>
        <w:gridCol w:w="672"/>
        <w:gridCol w:w="669"/>
        <w:gridCol w:w="671"/>
      </w:tblGrid>
      <w:tr>
        <w:trPr>
          <w:trHeight w:val="347" w:hRule="atLeast"/>
        </w:trPr>
        <w:tc>
          <w:tcPr>
            <w:tcW w:w="1620" w:type="dxa"/>
            <w:tcBorders>
              <w:bottom w:val="single" w:sz="4" w:space="0" w:color="000000"/>
              <w:right w:val="single" w:sz="4" w:space="0" w:color="000000"/>
            </w:tcBorders>
          </w:tcPr>
          <w:p>
            <w:pPr>
              <w:pStyle w:val="TableParagraph"/>
              <w:spacing w:before="34"/>
              <w:ind w:left="35" w:right="13"/>
              <w:rPr>
                <w:rFonts w:ascii="SimSun" w:eastAsia="SimSun" w:hint="eastAsia"/>
                <w:sz w:val="20"/>
              </w:rPr>
            </w:pPr>
            <w:r>
              <w:rPr>
                <w:rFonts w:ascii="SimSun" w:eastAsia="SimSun" w:hint="eastAsia"/>
                <w:w w:val="95"/>
                <w:sz w:val="20"/>
              </w:rPr>
              <w:t>月數</w:t>
            </w:r>
          </w:p>
        </w:tc>
        <w:tc>
          <w:tcPr>
            <w:tcW w:w="672" w:type="dxa"/>
            <w:tcBorders>
              <w:left w:val="single" w:sz="4" w:space="0" w:color="000000"/>
              <w:bottom w:val="single" w:sz="4" w:space="0" w:color="000000"/>
              <w:right w:val="single" w:sz="4" w:space="0" w:color="000000"/>
            </w:tcBorders>
          </w:tcPr>
          <w:p>
            <w:pPr>
              <w:pStyle w:val="TableParagraph"/>
              <w:spacing w:before="59"/>
              <w:ind w:left="290"/>
              <w:jc w:val="left"/>
              <w:rPr>
                <w:sz w:val="20"/>
              </w:rPr>
            </w:pPr>
            <w:r>
              <w:rPr>
                <w:w w:val="99"/>
                <w:sz w:val="20"/>
              </w:rPr>
              <w:t>1</w:t>
            </w:r>
          </w:p>
        </w:tc>
        <w:tc>
          <w:tcPr>
            <w:tcW w:w="670" w:type="dxa"/>
            <w:tcBorders>
              <w:left w:val="single" w:sz="4" w:space="0" w:color="000000"/>
              <w:bottom w:val="single" w:sz="4" w:space="0" w:color="000000"/>
              <w:right w:val="single" w:sz="4" w:space="0" w:color="000000"/>
            </w:tcBorders>
          </w:tcPr>
          <w:p>
            <w:pPr>
              <w:pStyle w:val="TableParagraph"/>
              <w:spacing w:before="59"/>
              <w:ind w:left="31"/>
              <w:rPr>
                <w:sz w:val="20"/>
              </w:rPr>
            </w:pPr>
            <w:r>
              <w:rPr>
                <w:w w:val="99"/>
                <w:sz w:val="20"/>
              </w:rPr>
              <w:t>2</w:t>
            </w:r>
          </w:p>
        </w:tc>
        <w:tc>
          <w:tcPr>
            <w:tcW w:w="672" w:type="dxa"/>
            <w:tcBorders>
              <w:left w:val="single" w:sz="4" w:space="0" w:color="000000"/>
              <w:bottom w:val="single" w:sz="4" w:space="0" w:color="000000"/>
              <w:right w:val="single" w:sz="4" w:space="0" w:color="000000"/>
            </w:tcBorders>
          </w:tcPr>
          <w:p>
            <w:pPr>
              <w:pStyle w:val="TableParagraph"/>
              <w:spacing w:before="59"/>
              <w:ind w:right="258"/>
              <w:jc w:val="right"/>
              <w:rPr>
                <w:sz w:val="20"/>
              </w:rPr>
            </w:pPr>
            <w:r>
              <w:rPr>
                <w:w w:val="99"/>
                <w:sz w:val="20"/>
              </w:rPr>
              <w:t>3</w:t>
            </w:r>
          </w:p>
        </w:tc>
        <w:tc>
          <w:tcPr>
            <w:tcW w:w="670" w:type="dxa"/>
            <w:tcBorders>
              <w:left w:val="single" w:sz="4" w:space="0" w:color="000000"/>
              <w:bottom w:val="single" w:sz="4" w:space="0" w:color="000000"/>
              <w:right w:val="single" w:sz="4" w:space="0" w:color="000000"/>
            </w:tcBorders>
          </w:tcPr>
          <w:p>
            <w:pPr>
              <w:pStyle w:val="TableParagraph"/>
              <w:spacing w:before="59"/>
              <w:ind w:left="32"/>
              <w:rPr>
                <w:sz w:val="20"/>
              </w:rPr>
            </w:pPr>
            <w:r>
              <w:rPr>
                <w:w w:val="99"/>
                <w:sz w:val="20"/>
              </w:rPr>
              <w:t>4</w:t>
            </w:r>
          </w:p>
        </w:tc>
        <w:tc>
          <w:tcPr>
            <w:tcW w:w="672" w:type="dxa"/>
            <w:tcBorders>
              <w:left w:val="single" w:sz="4" w:space="0" w:color="000000"/>
              <w:bottom w:val="single" w:sz="4" w:space="0" w:color="000000"/>
              <w:right w:val="single" w:sz="4" w:space="0" w:color="000000"/>
            </w:tcBorders>
          </w:tcPr>
          <w:p>
            <w:pPr>
              <w:pStyle w:val="TableParagraph"/>
              <w:spacing w:before="59"/>
              <w:ind w:left="290"/>
              <w:jc w:val="left"/>
              <w:rPr>
                <w:sz w:val="20"/>
              </w:rPr>
            </w:pPr>
            <w:r>
              <w:rPr>
                <w:w w:val="99"/>
                <w:sz w:val="20"/>
              </w:rPr>
              <w:t>5</w:t>
            </w:r>
          </w:p>
        </w:tc>
        <w:tc>
          <w:tcPr>
            <w:tcW w:w="672" w:type="dxa"/>
            <w:tcBorders>
              <w:left w:val="single" w:sz="4" w:space="0" w:color="000000"/>
              <w:bottom w:val="single" w:sz="4" w:space="0" w:color="000000"/>
              <w:right w:val="single" w:sz="4" w:space="0" w:color="000000"/>
            </w:tcBorders>
          </w:tcPr>
          <w:p>
            <w:pPr>
              <w:pStyle w:val="TableParagraph"/>
              <w:spacing w:before="59"/>
              <w:ind w:left="290"/>
              <w:jc w:val="left"/>
              <w:rPr>
                <w:sz w:val="20"/>
              </w:rPr>
            </w:pPr>
            <w:r>
              <w:rPr>
                <w:w w:val="99"/>
                <w:sz w:val="20"/>
              </w:rPr>
              <w:t>6</w:t>
            </w:r>
          </w:p>
        </w:tc>
        <w:tc>
          <w:tcPr>
            <w:tcW w:w="669" w:type="dxa"/>
            <w:tcBorders>
              <w:left w:val="single" w:sz="4" w:space="0" w:color="000000"/>
              <w:bottom w:val="single" w:sz="4" w:space="0" w:color="000000"/>
              <w:right w:val="single" w:sz="4" w:space="0" w:color="000000"/>
            </w:tcBorders>
          </w:tcPr>
          <w:p>
            <w:pPr>
              <w:pStyle w:val="TableParagraph"/>
              <w:spacing w:before="59"/>
              <w:ind w:left="33"/>
              <w:rPr>
                <w:sz w:val="20"/>
              </w:rPr>
            </w:pPr>
            <w:r>
              <w:rPr>
                <w:w w:val="99"/>
                <w:sz w:val="20"/>
              </w:rPr>
              <w:t>7</w:t>
            </w:r>
          </w:p>
        </w:tc>
        <w:tc>
          <w:tcPr>
            <w:tcW w:w="671" w:type="dxa"/>
            <w:tcBorders>
              <w:left w:val="single" w:sz="4" w:space="0" w:color="000000"/>
              <w:bottom w:val="single" w:sz="4" w:space="0" w:color="000000"/>
              <w:right w:val="single" w:sz="4" w:space="0" w:color="000000"/>
            </w:tcBorders>
          </w:tcPr>
          <w:p>
            <w:pPr>
              <w:pStyle w:val="TableParagraph"/>
              <w:spacing w:before="59"/>
              <w:ind w:right="256"/>
              <w:jc w:val="right"/>
              <w:rPr>
                <w:sz w:val="20"/>
              </w:rPr>
            </w:pPr>
            <w:r>
              <w:rPr>
                <w:w w:val="99"/>
                <w:sz w:val="20"/>
              </w:rPr>
              <w:t>8</w:t>
            </w:r>
          </w:p>
        </w:tc>
        <w:tc>
          <w:tcPr>
            <w:tcW w:w="669" w:type="dxa"/>
            <w:tcBorders>
              <w:left w:val="single" w:sz="4" w:space="0" w:color="000000"/>
              <w:bottom w:val="single" w:sz="4" w:space="0" w:color="000000"/>
              <w:right w:val="single" w:sz="4" w:space="0" w:color="000000"/>
            </w:tcBorders>
          </w:tcPr>
          <w:p>
            <w:pPr>
              <w:pStyle w:val="TableParagraph"/>
              <w:spacing w:before="59"/>
              <w:ind w:left="36"/>
              <w:rPr>
                <w:sz w:val="20"/>
              </w:rPr>
            </w:pPr>
            <w:r>
              <w:rPr>
                <w:w w:val="99"/>
                <w:sz w:val="20"/>
              </w:rPr>
              <w:t>9</w:t>
            </w:r>
          </w:p>
        </w:tc>
        <w:tc>
          <w:tcPr>
            <w:tcW w:w="672" w:type="dxa"/>
            <w:tcBorders>
              <w:left w:val="single" w:sz="4" w:space="0" w:color="000000"/>
              <w:bottom w:val="single" w:sz="4" w:space="0" w:color="000000"/>
              <w:right w:val="single" w:sz="4" w:space="0" w:color="000000"/>
            </w:tcBorders>
          </w:tcPr>
          <w:p>
            <w:pPr>
              <w:pStyle w:val="TableParagraph"/>
              <w:spacing w:before="59"/>
              <w:ind w:left="214" w:right="185"/>
              <w:rPr>
                <w:sz w:val="20"/>
              </w:rPr>
            </w:pPr>
            <w:r>
              <w:rPr>
                <w:sz w:val="20"/>
              </w:rPr>
              <w:t>10</w:t>
            </w:r>
          </w:p>
        </w:tc>
        <w:tc>
          <w:tcPr>
            <w:tcW w:w="669" w:type="dxa"/>
            <w:tcBorders>
              <w:left w:val="single" w:sz="4" w:space="0" w:color="000000"/>
              <w:bottom w:val="single" w:sz="4" w:space="0" w:color="000000"/>
              <w:right w:val="single" w:sz="4" w:space="0" w:color="000000"/>
            </w:tcBorders>
          </w:tcPr>
          <w:p>
            <w:pPr>
              <w:pStyle w:val="TableParagraph"/>
              <w:spacing w:before="59"/>
              <w:ind w:left="212" w:right="179"/>
              <w:rPr>
                <w:sz w:val="20"/>
              </w:rPr>
            </w:pPr>
            <w:r>
              <w:rPr>
                <w:sz w:val="20"/>
              </w:rPr>
              <w:t>11</w:t>
            </w:r>
          </w:p>
        </w:tc>
        <w:tc>
          <w:tcPr>
            <w:tcW w:w="671" w:type="dxa"/>
            <w:tcBorders>
              <w:left w:val="single" w:sz="4" w:space="0" w:color="000000"/>
              <w:bottom w:val="single" w:sz="4" w:space="0" w:color="000000"/>
            </w:tcBorders>
          </w:tcPr>
          <w:p>
            <w:pPr>
              <w:pStyle w:val="TableParagraph"/>
              <w:spacing w:before="59"/>
              <w:ind w:right="186"/>
              <w:jc w:val="right"/>
              <w:rPr>
                <w:sz w:val="20"/>
              </w:rPr>
            </w:pPr>
            <w:r>
              <w:rPr>
                <w:sz w:val="20"/>
              </w:rPr>
              <w:t>12</w:t>
            </w:r>
          </w:p>
        </w:tc>
      </w:tr>
      <w:tr>
        <w:trPr>
          <w:trHeight w:val="325" w:hRule="atLeast"/>
        </w:trPr>
        <w:tc>
          <w:tcPr>
            <w:tcW w:w="1620" w:type="dxa"/>
            <w:tcBorders>
              <w:top w:val="single" w:sz="4" w:space="0" w:color="000000"/>
              <w:right w:val="single" w:sz="4" w:space="0" w:color="000000"/>
            </w:tcBorders>
          </w:tcPr>
          <w:p>
            <w:pPr>
              <w:pStyle w:val="TableParagraph"/>
              <w:spacing w:before="23"/>
              <w:ind w:left="35" w:right="13"/>
              <w:rPr>
                <w:sz w:val="20"/>
              </w:rPr>
            </w:pPr>
            <w:r>
              <w:rPr>
                <w:rFonts w:ascii="SimSun" w:eastAsia="SimSun" w:hint="eastAsia"/>
                <w:sz w:val="20"/>
              </w:rPr>
              <w:t>對年繳保費比</w:t>
            </w:r>
            <w:r>
              <w:rPr>
                <w:sz w:val="20"/>
              </w:rPr>
              <w:t>(%)</w:t>
            </w:r>
          </w:p>
        </w:tc>
        <w:tc>
          <w:tcPr>
            <w:tcW w:w="672" w:type="dxa"/>
            <w:tcBorders>
              <w:top w:val="single" w:sz="4" w:space="0" w:color="000000"/>
              <w:left w:val="single" w:sz="4" w:space="0" w:color="000000"/>
              <w:right w:val="single" w:sz="4" w:space="0" w:color="000000"/>
            </w:tcBorders>
          </w:tcPr>
          <w:p>
            <w:pPr>
              <w:pStyle w:val="TableParagraph"/>
              <w:spacing w:before="47"/>
              <w:ind w:left="232"/>
              <w:jc w:val="left"/>
              <w:rPr>
                <w:sz w:val="20"/>
              </w:rPr>
            </w:pPr>
            <w:r>
              <w:rPr>
                <w:sz w:val="20"/>
              </w:rPr>
              <w:t>15</w:t>
            </w:r>
          </w:p>
        </w:tc>
        <w:tc>
          <w:tcPr>
            <w:tcW w:w="670" w:type="dxa"/>
            <w:tcBorders>
              <w:top w:val="single" w:sz="4" w:space="0" w:color="000000"/>
              <w:left w:val="single" w:sz="4" w:space="0" w:color="000000"/>
              <w:right w:val="single" w:sz="4" w:space="0" w:color="000000"/>
            </w:tcBorders>
          </w:tcPr>
          <w:p>
            <w:pPr>
              <w:pStyle w:val="TableParagraph"/>
              <w:spacing w:before="47"/>
              <w:ind w:left="211" w:right="185"/>
              <w:rPr>
                <w:sz w:val="20"/>
              </w:rPr>
            </w:pPr>
            <w:r>
              <w:rPr>
                <w:sz w:val="20"/>
              </w:rPr>
              <w:t>25</w:t>
            </w:r>
          </w:p>
        </w:tc>
        <w:tc>
          <w:tcPr>
            <w:tcW w:w="672" w:type="dxa"/>
            <w:tcBorders>
              <w:top w:val="single" w:sz="4" w:space="0" w:color="000000"/>
              <w:left w:val="single" w:sz="4" w:space="0" w:color="000000"/>
              <w:right w:val="single" w:sz="4" w:space="0" w:color="000000"/>
            </w:tcBorders>
          </w:tcPr>
          <w:p>
            <w:pPr>
              <w:pStyle w:val="TableParagraph"/>
              <w:spacing w:before="47"/>
              <w:ind w:right="206"/>
              <w:jc w:val="right"/>
              <w:rPr>
                <w:sz w:val="20"/>
              </w:rPr>
            </w:pPr>
            <w:r>
              <w:rPr>
                <w:sz w:val="20"/>
              </w:rPr>
              <w:t>35</w:t>
            </w:r>
          </w:p>
        </w:tc>
        <w:tc>
          <w:tcPr>
            <w:tcW w:w="670" w:type="dxa"/>
            <w:tcBorders>
              <w:top w:val="single" w:sz="4" w:space="0" w:color="000000"/>
              <w:left w:val="single" w:sz="4" w:space="0" w:color="000000"/>
              <w:right w:val="single" w:sz="4" w:space="0" w:color="000000"/>
            </w:tcBorders>
          </w:tcPr>
          <w:p>
            <w:pPr>
              <w:pStyle w:val="TableParagraph"/>
              <w:spacing w:before="47"/>
              <w:ind w:left="211" w:right="184"/>
              <w:rPr>
                <w:sz w:val="20"/>
              </w:rPr>
            </w:pPr>
            <w:r>
              <w:rPr>
                <w:sz w:val="20"/>
              </w:rPr>
              <w:t>45</w:t>
            </w:r>
          </w:p>
        </w:tc>
        <w:tc>
          <w:tcPr>
            <w:tcW w:w="672" w:type="dxa"/>
            <w:tcBorders>
              <w:top w:val="single" w:sz="4" w:space="0" w:color="000000"/>
              <w:left w:val="single" w:sz="4" w:space="0" w:color="000000"/>
              <w:right w:val="single" w:sz="4" w:space="0" w:color="000000"/>
            </w:tcBorders>
          </w:tcPr>
          <w:p>
            <w:pPr>
              <w:pStyle w:val="TableParagraph"/>
              <w:spacing w:before="47"/>
              <w:ind w:left="232"/>
              <w:jc w:val="left"/>
              <w:rPr>
                <w:sz w:val="20"/>
              </w:rPr>
            </w:pPr>
            <w:r>
              <w:rPr>
                <w:sz w:val="20"/>
              </w:rPr>
              <w:t>55</w:t>
            </w:r>
          </w:p>
        </w:tc>
        <w:tc>
          <w:tcPr>
            <w:tcW w:w="672" w:type="dxa"/>
            <w:tcBorders>
              <w:top w:val="single" w:sz="4" w:space="0" w:color="000000"/>
              <w:left w:val="single" w:sz="4" w:space="0" w:color="000000"/>
              <w:right w:val="single" w:sz="4" w:space="0" w:color="000000"/>
            </w:tcBorders>
          </w:tcPr>
          <w:p>
            <w:pPr>
              <w:pStyle w:val="TableParagraph"/>
              <w:spacing w:before="47"/>
              <w:ind w:left="232"/>
              <w:jc w:val="left"/>
              <w:rPr>
                <w:sz w:val="20"/>
              </w:rPr>
            </w:pPr>
            <w:r>
              <w:rPr>
                <w:sz w:val="20"/>
              </w:rPr>
              <w:t>65</w:t>
            </w:r>
          </w:p>
        </w:tc>
        <w:tc>
          <w:tcPr>
            <w:tcW w:w="669" w:type="dxa"/>
            <w:tcBorders>
              <w:top w:val="single" w:sz="4" w:space="0" w:color="000000"/>
              <w:left w:val="single" w:sz="4" w:space="0" w:color="000000"/>
              <w:right w:val="single" w:sz="4" w:space="0" w:color="000000"/>
            </w:tcBorders>
          </w:tcPr>
          <w:p>
            <w:pPr>
              <w:pStyle w:val="TableParagraph"/>
              <w:spacing w:before="47"/>
              <w:ind w:left="209" w:right="181"/>
              <w:rPr>
                <w:sz w:val="20"/>
              </w:rPr>
            </w:pPr>
            <w:r>
              <w:rPr>
                <w:sz w:val="20"/>
              </w:rPr>
              <w:t>75</w:t>
            </w:r>
          </w:p>
        </w:tc>
        <w:tc>
          <w:tcPr>
            <w:tcW w:w="671" w:type="dxa"/>
            <w:tcBorders>
              <w:top w:val="single" w:sz="4" w:space="0" w:color="000000"/>
              <w:left w:val="single" w:sz="4" w:space="0" w:color="000000"/>
              <w:right w:val="single" w:sz="4" w:space="0" w:color="000000"/>
            </w:tcBorders>
          </w:tcPr>
          <w:p>
            <w:pPr>
              <w:pStyle w:val="TableParagraph"/>
              <w:spacing w:before="47"/>
              <w:ind w:right="204"/>
              <w:jc w:val="right"/>
              <w:rPr>
                <w:sz w:val="20"/>
              </w:rPr>
            </w:pPr>
            <w:r>
              <w:rPr>
                <w:sz w:val="20"/>
              </w:rPr>
              <w:t>80</w:t>
            </w:r>
          </w:p>
        </w:tc>
        <w:tc>
          <w:tcPr>
            <w:tcW w:w="669" w:type="dxa"/>
            <w:tcBorders>
              <w:top w:val="single" w:sz="4" w:space="0" w:color="000000"/>
              <w:left w:val="single" w:sz="4" w:space="0" w:color="000000"/>
              <w:right w:val="single" w:sz="4" w:space="0" w:color="000000"/>
            </w:tcBorders>
          </w:tcPr>
          <w:p>
            <w:pPr>
              <w:pStyle w:val="TableParagraph"/>
              <w:spacing w:before="47"/>
              <w:ind w:left="212" w:right="181"/>
              <w:rPr>
                <w:sz w:val="20"/>
              </w:rPr>
            </w:pPr>
            <w:r>
              <w:rPr>
                <w:sz w:val="20"/>
              </w:rPr>
              <w:t>85</w:t>
            </w:r>
          </w:p>
        </w:tc>
        <w:tc>
          <w:tcPr>
            <w:tcW w:w="672" w:type="dxa"/>
            <w:tcBorders>
              <w:top w:val="single" w:sz="4" w:space="0" w:color="000000"/>
              <w:left w:val="single" w:sz="4" w:space="0" w:color="000000"/>
              <w:right w:val="single" w:sz="4" w:space="0" w:color="000000"/>
            </w:tcBorders>
          </w:tcPr>
          <w:p>
            <w:pPr>
              <w:pStyle w:val="TableParagraph"/>
              <w:spacing w:before="47"/>
              <w:ind w:left="214" w:right="185"/>
              <w:rPr>
                <w:sz w:val="20"/>
              </w:rPr>
            </w:pPr>
            <w:r>
              <w:rPr>
                <w:sz w:val="20"/>
              </w:rPr>
              <w:t>90</w:t>
            </w:r>
          </w:p>
        </w:tc>
        <w:tc>
          <w:tcPr>
            <w:tcW w:w="669" w:type="dxa"/>
            <w:tcBorders>
              <w:top w:val="single" w:sz="4" w:space="0" w:color="000000"/>
              <w:left w:val="single" w:sz="4" w:space="0" w:color="000000"/>
              <w:right w:val="single" w:sz="4" w:space="0" w:color="000000"/>
            </w:tcBorders>
          </w:tcPr>
          <w:p>
            <w:pPr>
              <w:pStyle w:val="TableParagraph"/>
              <w:spacing w:before="47"/>
              <w:ind w:left="212" w:right="179"/>
              <w:rPr>
                <w:sz w:val="20"/>
              </w:rPr>
            </w:pPr>
            <w:r>
              <w:rPr>
                <w:sz w:val="20"/>
              </w:rPr>
              <w:t>95</w:t>
            </w:r>
          </w:p>
        </w:tc>
        <w:tc>
          <w:tcPr>
            <w:tcW w:w="671" w:type="dxa"/>
            <w:tcBorders>
              <w:top w:val="single" w:sz="4" w:space="0" w:color="000000"/>
              <w:left w:val="single" w:sz="4" w:space="0" w:color="000000"/>
            </w:tcBorders>
          </w:tcPr>
          <w:p>
            <w:pPr>
              <w:pStyle w:val="TableParagraph"/>
              <w:spacing w:before="47"/>
              <w:ind w:right="131"/>
              <w:jc w:val="right"/>
              <w:rPr>
                <w:sz w:val="20"/>
              </w:rPr>
            </w:pPr>
            <w:r>
              <w:rPr>
                <w:sz w:val="20"/>
              </w:rPr>
              <w:t>100</w:t>
            </w:r>
          </w:p>
        </w:tc>
      </w:tr>
    </w:tbl>
    <w:p>
      <w:pPr>
        <w:pStyle w:val="BodyText"/>
        <w:spacing w:before="4"/>
        <w:ind w:left="0"/>
        <w:rPr>
          <w:sz w:val="17"/>
        </w:rPr>
      </w:pPr>
    </w:p>
    <w:p>
      <w:pPr>
        <w:pStyle w:val="BodyText"/>
        <w:spacing w:before="1" w:after="13"/>
        <w:ind w:left="132"/>
      </w:pPr>
      <w:r>
        <w:rPr>
          <w:w w:val="95"/>
        </w:rPr>
        <w:t>二、未滿一個月短期費率</w:t>
      </w: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20"/>
        <w:gridCol w:w="535"/>
        <w:gridCol w:w="537"/>
        <w:gridCol w:w="538"/>
        <w:gridCol w:w="537"/>
        <w:gridCol w:w="535"/>
        <w:gridCol w:w="537"/>
        <w:gridCol w:w="537"/>
        <w:gridCol w:w="535"/>
        <w:gridCol w:w="537"/>
        <w:gridCol w:w="537"/>
        <w:gridCol w:w="535"/>
        <w:gridCol w:w="537"/>
        <w:gridCol w:w="538"/>
        <w:gridCol w:w="537"/>
        <w:gridCol w:w="535"/>
      </w:tblGrid>
      <w:tr>
        <w:trPr>
          <w:trHeight w:val="344" w:hRule="atLeast"/>
        </w:trPr>
        <w:tc>
          <w:tcPr>
            <w:tcW w:w="1620" w:type="dxa"/>
            <w:tcBorders>
              <w:bottom w:val="single" w:sz="4" w:space="0" w:color="000000"/>
              <w:right w:val="single" w:sz="4" w:space="0" w:color="000000"/>
            </w:tcBorders>
          </w:tcPr>
          <w:p>
            <w:pPr>
              <w:pStyle w:val="TableParagraph"/>
              <w:spacing w:before="32"/>
              <w:ind w:left="35" w:right="13"/>
              <w:rPr>
                <w:rFonts w:ascii="SimSun" w:eastAsia="SimSun" w:hint="eastAsia"/>
                <w:sz w:val="20"/>
              </w:rPr>
            </w:pPr>
            <w:r>
              <w:rPr>
                <w:rFonts w:ascii="SimSun" w:eastAsia="SimSun" w:hint="eastAsia"/>
                <w:w w:val="95"/>
                <w:sz w:val="20"/>
              </w:rPr>
              <w:t>日數</w:t>
            </w:r>
          </w:p>
        </w:tc>
        <w:tc>
          <w:tcPr>
            <w:tcW w:w="535" w:type="dxa"/>
            <w:tcBorders>
              <w:left w:val="single" w:sz="4" w:space="0" w:color="000000"/>
              <w:bottom w:val="single" w:sz="4" w:space="0" w:color="000000"/>
              <w:right w:val="single" w:sz="4" w:space="0" w:color="000000"/>
            </w:tcBorders>
          </w:tcPr>
          <w:p>
            <w:pPr>
              <w:pStyle w:val="TableParagraph"/>
              <w:spacing w:before="56"/>
              <w:ind w:left="32"/>
              <w:rPr>
                <w:sz w:val="20"/>
              </w:rPr>
            </w:pPr>
            <w:r>
              <w:rPr>
                <w:w w:val="99"/>
                <w:sz w:val="20"/>
              </w:rPr>
              <w:t>1</w:t>
            </w:r>
          </w:p>
        </w:tc>
        <w:tc>
          <w:tcPr>
            <w:tcW w:w="537" w:type="dxa"/>
            <w:tcBorders>
              <w:left w:val="single" w:sz="4" w:space="0" w:color="000000"/>
              <w:bottom w:val="single" w:sz="4" w:space="0" w:color="000000"/>
              <w:right w:val="single" w:sz="4" w:space="0" w:color="000000"/>
            </w:tcBorders>
          </w:tcPr>
          <w:p>
            <w:pPr>
              <w:pStyle w:val="TableParagraph"/>
              <w:spacing w:before="56"/>
              <w:ind w:left="30"/>
              <w:rPr>
                <w:sz w:val="20"/>
              </w:rPr>
            </w:pPr>
            <w:r>
              <w:rPr>
                <w:w w:val="99"/>
                <w:sz w:val="20"/>
              </w:rPr>
              <w:t>2</w:t>
            </w:r>
          </w:p>
        </w:tc>
        <w:tc>
          <w:tcPr>
            <w:tcW w:w="538" w:type="dxa"/>
            <w:tcBorders>
              <w:left w:val="single" w:sz="4" w:space="0" w:color="000000"/>
              <w:bottom w:val="single" w:sz="4" w:space="0" w:color="000000"/>
              <w:right w:val="single" w:sz="4" w:space="0" w:color="000000"/>
            </w:tcBorders>
          </w:tcPr>
          <w:p>
            <w:pPr>
              <w:pStyle w:val="TableParagraph"/>
              <w:spacing w:before="56"/>
              <w:ind w:left="32"/>
              <w:rPr>
                <w:sz w:val="20"/>
              </w:rPr>
            </w:pPr>
            <w:r>
              <w:rPr>
                <w:w w:val="99"/>
                <w:sz w:val="20"/>
              </w:rPr>
              <w:t>3</w:t>
            </w:r>
          </w:p>
        </w:tc>
        <w:tc>
          <w:tcPr>
            <w:tcW w:w="537" w:type="dxa"/>
            <w:tcBorders>
              <w:left w:val="single" w:sz="4" w:space="0" w:color="000000"/>
              <w:bottom w:val="single" w:sz="4" w:space="0" w:color="000000"/>
              <w:right w:val="single" w:sz="4" w:space="0" w:color="000000"/>
            </w:tcBorders>
          </w:tcPr>
          <w:p>
            <w:pPr>
              <w:pStyle w:val="TableParagraph"/>
              <w:spacing w:before="56"/>
              <w:ind w:left="32"/>
              <w:rPr>
                <w:sz w:val="20"/>
              </w:rPr>
            </w:pPr>
            <w:r>
              <w:rPr>
                <w:w w:val="99"/>
                <w:sz w:val="20"/>
              </w:rPr>
              <w:t>4</w:t>
            </w:r>
          </w:p>
        </w:tc>
        <w:tc>
          <w:tcPr>
            <w:tcW w:w="535" w:type="dxa"/>
            <w:tcBorders>
              <w:left w:val="single" w:sz="4" w:space="0" w:color="000000"/>
              <w:bottom w:val="single" w:sz="4" w:space="0" w:color="000000"/>
              <w:right w:val="single" w:sz="4" w:space="0" w:color="000000"/>
            </w:tcBorders>
          </w:tcPr>
          <w:p>
            <w:pPr>
              <w:pStyle w:val="TableParagraph"/>
              <w:spacing w:before="56"/>
              <w:ind w:left="35"/>
              <w:rPr>
                <w:sz w:val="20"/>
              </w:rPr>
            </w:pPr>
            <w:r>
              <w:rPr>
                <w:w w:val="99"/>
                <w:sz w:val="20"/>
              </w:rPr>
              <w:t>5</w:t>
            </w:r>
          </w:p>
        </w:tc>
        <w:tc>
          <w:tcPr>
            <w:tcW w:w="537" w:type="dxa"/>
            <w:tcBorders>
              <w:left w:val="single" w:sz="4" w:space="0" w:color="000000"/>
              <w:bottom w:val="single" w:sz="4" w:space="0" w:color="000000"/>
              <w:right w:val="single" w:sz="4" w:space="0" w:color="000000"/>
            </w:tcBorders>
          </w:tcPr>
          <w:p>
            <w:pPr>
              <w:pStyle w:val="TableParagraph"/>
              <w:spacing w:before="56"/>
              <w:ind w:left="34"/>
              <w:rPr>
                <w:sz w:val="20"/>
              </w:rPr>
            </w:pPr>
            <w:r>
              <w:rPr>
                <w:w w:val="99"/>
                <w:sz w:val="20"/>
              </w:rPr>
              <w:t>6</w:t>
            </w:r>
          </w:p>
        </w:tc>
        <w:tc>
          <w:tcPr>
            <w:tcW w:w="537" w:type="dxa"/>
            <w:tcBorders>
              <w:left w:val="single" w:sz="4" w:space="0" w:color="000000"/>
              <w:bottom w:val="single" w:sz="4" w:space="0" w:color="000000"/>
              <w:right w:val="single" w:sz="4" w:space="0" w:color="000000"/>
            </w:tcBorders>
          </w:tcPr>
          <w:p>
            <w:pPr>
              <w:pStyle w:val="TableParagraph"/>
              <w:spacing w:before="56"/>
              <w:ind w:left="35"/>
              <w:rPr>
                <w:sz w:val="20"/>
              </w:rPr>
            </w:pPr>
            <w:r>
              <w:rPr>
                <w:w w:val="99"/>
                <w:sz w:val="20"/>
              </w:rPr>
              <w:t>7</w:t>
            </w:r>
          </w:p>
        </w:tc>
        <w:tc>
          <w:tcPr>
            <w:tcW w:w="535" w:type="dxa"/>
            <w:tcBorders>
              <w:left w:val="single" w:sz="4" w:space="0" w:color="000000"/>
              <w:bottom w:val="single" w:sz="4" w:space="0" w:color="000000"/>
              <w:right w:val="single" w:sz="4" w:space="0" w:color="000000"/>
            </w:tcBorders>
          </w:tcPr>
          <w:p>
            <w:pPr>
              <w:pStyle w:val="TableParagraph"/>
              <w:spacing w:before="56"/>
              <w:ind w:left="39"/>
              <w:rPr>
                <w:sz w:val="20"/>
              </w:rPr>
            </w:pPr>
            <w:r>
              <w:rPr>
                <w:w w:val="99"/>
                <w:sz w:val="20"/>
              </w:rPr>
              <w:t>8</w:t>
            </w:r>
          </w:p>
        </w:tc>
        <w:tc>
          <w:tcPr>
            <w:tcW w:w="537" w:type="dxa"/>
            <w:tcBorders>
              <w:left w:val="single" w:sz="4" w:space="0" w:color="000000"/>
              <w:bottom w:val="single" w:sz="4" w:space="0" w:color="000000"/>
              <w:right w:val="single" w:sz="4" w:space="0" w:color="000000"/>
            </w:tcBorders>
          </w:tcPr>
          <w:p>
            <w:pPr>
              <w:pStyle w:val="TableParagraph"/>
              <w:spacing w:before="56"/>
              <w:ind w:left="37"/>
              <w:rPr>
                <w:sz w:val="20"/>
              </w:rPr>
            </w:pPr>
            <w:r>
              <w:rPr>
                <w:w w:val="99"/>
                <w:sz w:val="20"/>
              </w:rPr>
              <w:t>9</w:t>
            </w:r>
          </w:p>
        </w:tc>
        <w:tc>
          <w:tcPr>
            <w:tcW w:w="537" w:type="dxa"/>
            <w:tcBorders>
              <w:left w:val="single" w:sz="4" w:space="0" w:color="000000"/>
              <w:bottom w:val="single" w:sz="4" w:space="0" w:color="000000"/>
              <w:right w:val="single" w:sz="4" w:space="0" w:color="000000"/>
            </w:tcBorders>
          </w:tcPr>
          <w:p>
            <w:pPr>
              <w:pStyle w:val="TableParagraph"/>
              <w:spacing w:before="56"/>
              <w:ind w:left="60" w:right="27"/>
              <w:rPr>
                <w:sz w:val="20"/>
              </w:rPr>
            </w:pPr>
            <w:r>
              <w:rPr>
                <w:sz w:val="20"/>
              </w:rPr>
              <w:t>10</w:t>
            </w:r>
          </w:p>
        </w:tc>
        <w:tc>
          <w:tcPr>
            <w:tcW w:w="535" w:type="dxa"/>
            <w:tcBorders>
              <w:left w:val="single" w:sz="4" w:space="0" w:color="000000"/>
              <w:bottom w:val="single" w:sz="4" w:space="0" w:color="000000"/>
              <w:right w:val="single" w:sz="4" w:space="0" w:color="000000"/>
            </w:tcBorders>
          </w:tcPr>
          <w:p>
            <w:pPr>
              <w:pStyle w:val="TableParagraph"/>
              <w:spacing w:before="56"/>
              <w:ind w:left="62" w:right="26"/>
              <w:rPr>
                <w:sz w:val="20"/>
              </w:rPr>
            </w:pPr>
            <w:r>
              <w:rPr>
                <w:sz w:val="20"/>
              </w:rPr>
              <w:t>11</w:t>
            </w:r>
          </w:p>
        </w:tc>
        <w:tc>
          <w:tcPr>
            <w:tcW w:w="537" w:type="dxa"/>
            <w:tcBorders>
              <w:left w:val="single" w:sz="4" w:space="0" w:color="000000"/>
              <w:bottom w:val="single" w:sz="4" w:space="0" w:color="000000"/>
              <w:right w:val="single" w:sz="4" w:space="0" w:color="000000"/>
            </w:tcBorders>
          </w:tcPr>
          <w:p>
            <w:pPr>
              <w:pStyle w:val="TableParagraph"/>
              <w:spacing w:before="56"/>
              <w:ind w:left="64" w:right="24"/>
              <w:rPr>
                <w:sz w:val="20"/>
              </w:rPr>
            </w:pPr>
            <w:r>
              <w:rPr>
                <w:sz w:val="20"/>
              </w:rPr>
              <w:t>12</w:t>
            </w:r>
          </w:p>
        </w:tc>
        <w:tc>
          <w:tcPr>
            <w:tcW w:w="538" w:type="dxa"/>
            <w:tcBorders>
              <w:left w:val="single" w:sz="4" w:space="0" w:color="000000"/>
              <w:bottom w:val="single" w:sz="4" w:space="0" w:color="000000"/>
              <w:right w:val="single" w:sz="4" w:space="0" w:color="000000"/>
            </w:tcBorders>
          </w:tcPr>
          <w:p>
            <w:pPr>
              <w:pStyle w:val="TableParagraph"/>
              <w:spacing w:before="56"/>
              <w:ind w:right="133"/>
              <w:jc w:val="right"/>
              <w:rPr>
                <w:sz w:val="20"/>
              </w:rPr>
            </w:pPr>
            <w:r>
              <w:rPr>
                <w:sz w:val="20"/>
              </w:rPr>
              <w:t>13</w:t>
            </w:r>
          </w:p>
        </w:tc>
        <w:tc>
          <w:tcPr>
            <w:tcW w:w="537" w:type="dxa"/>
            <w:tcBorders>
              <w:left w:val="single" w:sz="4" w:space="0" w:color="000000"/>
              <w:bottom w:val="single" w:sz="4" w:space="0" w:color="000000"/>
              <w:right w:val="single" w:sz="4" w:space="0" w:color="000000"/>
            </w:tcBorders>
          </w:tcPr>
          <w:p>
            <w:pPr>
              <w:pStyle w:val="TableParagraph"/>
              <w:spacing w:before="56"/>
              <w:ind w:left="63" w:right="27"/>
              <w:rPr>
                <w:sz w:val="20"/>
              </w:rPr>
            </w:pPr>
            <w:r>
              <w:rPr>
                <w:sz w:val="20"/>
              </w:rPr>
              <w:t>14</w:t>
            </w:r>
          </w:p>
        </w:tc>
        <w:tc>
          <w:tcPr>
            <w:tcW w:w="535" w:type="dxa"/>
            <w:tcBorders>
              <w:left w:val="single" w:sz="4" w:space="0" w:color="000000"/>
              <w:bottom w:val="single" w:sz="4" w:space="0" w:color="000000"/>
            </w:tcBorders>
          </w:tcPr>
          <w:p>
            <w:pPr>
              <w:pStyle w:val="TableParagraph"/>
              <w:spacing w:before="56"/>
              <w:ind w:left="66" w:right="16"/>
              <w:rPr>
                <w:sz w:val="20"/>
              </w:rPr>
            </w:pPr>
            <w:r>
              <w:rPr>
                <w:sz w:val="20"/>
              </w:rPr>
              <w:t>15</w:t>
            </w:r>
          </w:p>
        </w:tc>
      </w:tr>
      <w:tr>
        <w:trPr>
          <w:trHeight w:val="345" w:hRule="atLeast"/>
        </w:trPr>
        <w:tc>
          <w:tcPr>
            <w:tcW w:w="1620" w:type="dxa"/>
            <w:tcBorders>
              <w:top w:val="single" w:sz="4" w:space="0" w:color="000000"/>
              <w:bottom w:val="single" w:sz="4" w:space="0" w:color="000000"/>
              <w:right w:val="single" w:sz="4" w:space="0" w:color="000000"/>
            </w:tcBorders>
          </w:tcPr>
          <w:p>
            <w:pPr>
              <w:pStyle w:val="TableParagraph"/>
              <w:spacing w:before="32"/>
              <w:ind w:left="35" w:right="13"/>
              <w:rPr>
                <w:sz w:val="20"/>
              </w:rPr>
            </w:pPr>
            <w:r>
              <w:rPr>
                <w:rFonts w:ascii="SimSun" w:eastAsia="SimSun" w:hint="eastAsia"/>
                <w:sz w:val="20"/>
              </w:rPr>
              <w:t>對年繳保費比</w:t>
            </w:r>
            <w:r>
              <w:rPr>
                <w:sz w:val="20"/>
              </w:rPr>
              <w:t>(%)</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57" w:right="28"/>
              <w:rPr>
                <w:sz w:val="20"/>
              </w:rPr>
            </w:pPr>
            <w:r>
              <w:rPr>
                <w:sz w:val="20"/>
              </w:rPr>
              <w:t>5.0</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09"/>
              <w:jc w:val="right"/>
              <w:rPr>
                <w:sz w:val="20"/>
              </w:rPr>
            </w:pPr>
            <w:r>
              <w:rPr>
                <w:sz w:val="20"/>
              </w:rPr>
              <w:t>5.3</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left="63" w:right="34"/>
              <w:rPr>
                <w:sz w:val="20"/>
              </w:rPr>
            </w:pPr>
            <w:r>
              <w:rPr>
                <w:sz w:val="20"/>
              </w:rPr>
              <w:t>5.7</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08"/>
              <w:jc w:val="right"/>
              <w:rPr>
                <w:sz w:val="20"/>
              </w:rPr>
            </w:pPr>
            <w:r>
              <w:rPr>
                <w:sz w:val="20"/>
              </w:rPr>
              <w:t>6.0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60" w:right="28"/>
              <w:rPr>
                <w:sz w:val="20"/>
              </w:rPr>
            </w:pPr>
            <w:r>
              <w:rPr>
                <w:sz w:val="20"/>
              </w:rPr>
              <w:t>6.4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07"/>
              <w:jc w:val="right"/>
              <w:rPr>
                <w:sz w:val="20"/>
              </w:rPr>
            </w:pPr>
            <w:r>
              <w:rPr>
                <w:sz w:val="20"/>
              </w:rPr>
              <w:t>6.7</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59" w:right="27"/>
              <w:rPr>
                <w:sz w:val="20"/>
              </w:rPr>
            </w:pPr>
            <w:r>
              <w:rPr>
                <w:sz w:val="20"/>
              </w:rPr>
              <w:t>7.1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62" w:right="26"/>
              <w:rPr>
                <w:sz w:val="20"/>
              </w:rPr>
            </w:pPr>
            <w:r>
              <w:rPr>
                <w:sz w:val="20"/>
              </w:rPr>
              <w:t>7.4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06"/>
              <w:jc w:val="right"/>
              <w:rPr>
                <w:sz w:val="20"/>
              </w:rPr>
            </w:pPr>
            <w:r>
              <w:rPr>
                <w:sz w:val="20"/>
              </w:rPr>
              <w:t>7.8</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63" w:right="27"/>
              <w:rPr>
                <w:sz w:val="20"/>
              </w:rPr>
            </w:pPr>
            <w:r>
              <w:rPr>
                <w:sz w:val="20"/>
              </w:rPr>
              <w:t>8.1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62" w:right="23"/>
              <w:rPr>
                <w:sz w:val="20"/>
              </w:rPr>
            </w:pPr>
            <w:r>
              <w:rPr>
                <w:sz w:val="20"/>
              </w:rPr>
              <w:t>8.4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64" w:right="22"/>
              <w:rPr>
                <w:sz w:val="20"/>
              </w:rPr>
            </w:pPr>
            <w:r>
              <w:rPr>
                <w:sz w:val="20"/>
              </w:rPr>
              <w:t>8.8</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right="104"/>
              <w:jc w:val="right"/>
              <w:rPr>
                <w:sz w:val="20"/>
              </w:rPr>
            </w:pPr>
            <w:r>
              <w:rPr>
                <w:sz w:val="20"/>
              </w:rPr>
              <w:t>9.1</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64" w:right="25"/>
              <w:rPr>
                <w:sz w:val="20"/>
              </w:rPr>
            </w:pPr>
            <w:r>
              <w:rPr>
                <w:sz w:val="20"/>
              </w:rPr>
              <w:t>9.5</w:t>
            </w:r>
          </w:p>
        </w:tc>
        <w:tc>
          <w:tcPr>
            <w:tcW w:w="535" w:type="dxa"/>
            <w:tcBorders>
              <w:top w:val="single" w:sz="4" w:space="0" w:color="000000"/>
              <w:left w:val="single" w:sz="4" w:space="0" w:color="000000"/>
              <w:bottom w:val="single" w:sz="4" w:space="0" w:color="000000"/>
            </w:tcBorders>
          </w:tcPr>
          <w:p>
            <w:pPr>
              <w:pStyle w:val="TableParagraph"/>
              <w:ind w:left="68" w:right="16"/>
              <w:rPr>
                <w:sz w:val="20"/>
              </w:rPr>
            </w:pPr>
            <w:r>
              <w:rPr>
                <w:sz w:val="20"/>
              </w:rPr>
              <w:t>9.8</w:t>
            </w:r>
          </w:p>
        </w:tc>
      </w:tr>
      <w:tr>
        <w:trPr>
          <w:trHeight w:val="345" w:hRule="atLeast"/>
        </w:trPr>
        <w:tc>
          <w:tcPr>
            <w:tcW w:w="1620" w:type="dxa"/>
            <w:tcBorders>
              <w:top w:val="single" w:sz="4" w:space="0" w:color="000000"/>
              <w:bottom w:val="single" w:sz="4" w:space="0" w:color="000000"/>
              <w:right w:val="single" w:sz="4" w:space="0" w:color="000000"/>
            </w:tcBorders>
          </w:tcPr>
          <w:p>
            <w:pPr>
              <w:pStyle w:val="TableParagraph"/>
              <w:spacing w:before="32"/>
              <w:ind w:left="35" w:right="13"/>
              <w:rPr>
                <w:rFonts w:ascii="SimSun" w:eastAsia="SimSun" w:hint="eastAsia"/>
                <w:sz w:val="20"/>
              </w:rPr>
            </w:pPr>
            <w:r>
              <w:rPr>
                <w:rFonts w:ascii="SimSun" w:eastAsia="SimSun" w:hint="eastAsia"/>
                <w:w w:val="95"/>
                <w:sz w:val="20"/>
              </w:rPr>
              <w:t>日數</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55" w:right="28"/>
              <w:rPr>
                <w:sz w:val="20"/>
              </w:rPr>
            </w:pPr>
            <w:r>
              <w:rPr>
                <w:sz w:val="20"/>
              </w:rPr>
              <w:t>16</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38"/>
              <w:jc w:val="right"/>
              <w:rPr>
                <w:sz w:val="20"/>
              </w:rPr>
            </w:pPr>
            <w:r>
              <w:rPr>
                <w:sz w:val="20"/>
              </w:rPr>
              <w:t>17</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left="62" w:right="35"/>
              <w:rPr>
                <w:sz w:val="20"/>
              </w:rPr>
            </w:pPr>
            <w:r>
              <w:rPr>
                <w:sz w:val="20"/>
              </w:rPr>
              <w:t>18</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166"/>
              <w:jc w:val="left"/>
              <w:rPr>
                <w:sz w:val="20"/>
              </w:rPr>
            </w:pPr>
            <w:r>
              <w:rPr>
                <w:sz w:val="20"/>
              </w:rPr>
              <w:t>19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58" w:right="28"/>
              <w:rPr>
                <w:sz w:val="20"/>
              </w:rPr>
            </w:pPr>
            <w:r>
              <w:rPr>
                <w:sz w:val="20"/>
              </w:rPr>
              <w:t>20</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36"/>
              <w:jc w:val="right"/>
              <w:rPr>
                <w:sz w:val="20"/>
              </w:rPr>
            </w:pPr>
            <w:r>
              <w:rPr>
                <w:sz w:val="20"/>
              </w:rPr>
              <w:t>21</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57" w:right="27"/>
              <w:rPr>
                <w:sz w:val="20"/>
              </w:rPr>
            </w:pPr>
            <w:r>
              <w:rPr>
                <w:sz w:val="20"/>
              </w:rPr>
              <w:t>22</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62" w:right="28"/>
              <w:rPr>
                <w:sz w:val="20"/>
              </w:rPr>
            </w:pPr>
            <w:r>
              <w:rPr>
                <w:sz w:val="20"/>
              </w:rPr>
              <w:t>23</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34"/>
              <w:jc w:val="right"/>
              <w:rPr>
                <w:sz w:val="20"/>
              </w:rPr>
            </w:pPr>
            <w:r>
              <w:rPr>
                <w:sz w:val="20"/>
              </w:rPr>
              <w:t>24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60" w:right="27"/>
              <w:rPr>
                <w:sz w:val="20"/>
              </w:rPr>
            </w:pPr>
            <w:r>
              <w:rPr>
                <w:sz w:val="20"/>
              </w:rPr>
              <w:t>25</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62" w:right="26"/>
              <w:rPr>
                <w:sz w:val="20"/>
              </w:rPr>
            </w:pPr>
            <w:r>
              <w:rPr>
                <w:sz w:val="20"/>
              </w:rPr>
              <w:t>26</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64" w:right="24"/>
              <w:rPr>
                <w:sz w:val="20"/>
              </w:rPr>
            </w:pPr>
            <w:r>
              <w:rPr>
                <w:sz w:val="20"/>
              </w:rPr>
              <w:t>27</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right="133"/>
              <w:jc w:val="right"/>
              <w:rPr>
                <w:sz w:val="20"/>
              </w:rPr>
            </w:pPr>
            <w:r>
              <w:rPr>
                <w:sz w:val="20"/>
              </w:rPr>
              <w:t>28</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63" w:right="27"/>
              <w:rPr>
                <w:sz w:val="20"/>
              </w:rPr>
            </w:pPr>
            <w:r>
              <w:rPr>
                <w:sz w:val="20"/>
              </w:rPr>
              <w:t>29</w:t>
            </w:r>
          </w:p>
        </w:tc>
        <w:tc>
          <w:tcPr>
            <w:tcW w:w="535" w:type="dxa"/>
            <w:tcBorders>
              <w:top w:val="single" w:sz="4" w:space="0" w:color="000000"/>
              <w:left w:val="single" w:sz="4" w:space="0" w:color="000000"/>
              <w:bottom w:val="single" w:sz="4" w:space="0" w:color="000000"/>
            </w:tcBorders>
          </w:tcPr>
          <w:p>
            <w:pPr>
              <w:pStyle w:val="TableParagraph"/>
              <w:ind w:left="66" w:right="16"/>
              <w:rPr>
                <w:sz w:val="20"/>
              </w:rPr>
            </w:pPr>
            <w:r>
              <w:rPr>
                <w:sz w:val="20"/>
              </w:rPr>
              <w:t>30</w:t>
            </w:r>
          </w:p>
        </w:tc>
      </w:tr>
      <w:tr>
        <w:trPr>
          <w:trHeight w:val="344" w:hRule="atLeast"/>
        </w:trPr>
        <w:tc>
          <w:tcPr>
            <w:tcW w:w="1620" w:type="dxa"/>
            <w:tcBorders>
              <w:top w:val="single" w:sz="4" w:space="0" w:color="000000"/>
              <w:right w:val="single" w:sz="4" w:space="0" w:color="000000"/>
            </w:tcBorders>
          </w:tcPr>
          <w:p>
            <w:pPr>
              <w:pStyle w:val="TableParagraph"/>
              <w:spacing w:before="32"/>
              <w:ind w:left="35" w:right="13"/>
              <w:rPr>
                <w:sz w:val="20"/>
              </w:rPr>
            </w:pPr>
            <w:r>
              <w:rPr>
                <w:rFonts w:ascii="SimSun" w:eastAsia="SimSun" w:hint="eastAsia"/>
                <w:sz w:val="20"/>
              </w:rPr>
              <w:t>對年繳保費比</w:t>
            </w:r>
            <w:r>
              <w:rPr>
                <w:sz w:val="20"/>
              </w:rPr>
              <w:t>(%)</w:t>
            </w:r>
          </w:p>
        </w:tc>
        <w:tc>
          <w:tcPr>
            <w:tcW w:w="535" w:type="dxa"/>
            <w:tcBorders>
              <w:top w:val="single" w:sz="4" w:space="0" w:color="000000"/>
              <w:left w:val="single" w:sz="4" w:space="0" w:color="000000"/>
              <w:right w:val="single" w:sz="4" w:space="0" w:color="000000"/>
            </w:tcBorders>
          </w:tcPr>
          <w:p>
            <w:pPr>
              <w:pStyle w:val="TableParagraph"/>
              <w:ind w:left="57" w:right="28"/>
              <w:rPr>
                <w:sz w:val="20"/>
              </w:rPr>
            </w:pPr>
            <w:r>
              <w:rPr>
                <w:sz w:val="20"/>
              </w:rPr>
              <w:t>10.2</w:t>
            </w:r>
          </w:p>
        </w:tc>
        <w:tc>
          <w:tcPr>
            <w:tcW w:w="537" w:type="dxa"/>
            <w:tcBorders>
              <w:top w:val="single" w:sz="4" w:space="0" w:color="000000"/>
              <w:left w:val="single" w:sz="4" w:space="0" w:color="000000"/>
              <w:right w:val="single" w:sz="4" w:space="0" w:color="000000"/>
            </w:tcBorders>
          </w:tcPr>
          <w:p>
            <w:pPr>
              <w:pStyle w:val="TableParagraph"/>
              <w:ind w:right="54"/>
              <w:jc w:val="right"/>
              <w:rPr>
                <w:sz w:val="20"/>
              </w:rPr>
            </w:pPr>
            <w:r>
              <w:rPr>
                <w:sz w:val="20"/>
              </w:rPr>
              <w:t>10.5</w:t>
            </w:r>
          </w:p>
        </w:tc>
        <w:tc>
          <w:tcPr>
            <w:tcW w:w="538" w:type="dxa"/>
            <w:tcBorders>
              <w:top w:val="single" w:sz="4" w:space="0" w:color="000000"/>
              <w:left w:val="single" w:sz="4" w:space="0" w:color="000000"/>
              <w:right w:val="single" w:sz="4" w:space="0" w:color="000000"/>
            </w:tcBorders>
          </w:tcPr>
          <w:p>
            <w:pPr>
              <w:pStyle w:val="TableParagraph"/>
              <w:ind w:left="63" w:right="35"/>
              <w:rPr>
                <w:sz w:val="20"/>
              </w:rPr>
            </w:pPr>
            <w:r>
              <w:rPr>
                <w:sz w:val="20"/>
              </w:rPr>
              <w:t>10.9</w:t>
            </w:r>
          </w:p>
        </w:tc>
        <w:tc>
          <w:tcPr>
            <w:tcW w:w="537" w:type="dxa"/>
            <w:tcBorders>
              <w:top w:val="single" w:sz="4" w:space="0" w:color="000000"/>
              <w:left w:val="single" w:sz="4" w:space="0" w:color="000000"/>
              <w:right w:val="single" w:sz="4" w:space="0" w:color="000000"/>
            </w:tcBorders>
          </w:tcPr>
          <w:p>
            <w:pPr>
              <w:pStyle w:val="TableParagraph"/>
              <w:ind w:right="53"/>
              <w:jc w:val="right"/>
              <w:rPr>
                <w:sz w:val="20"/>
              </w:rPr>
            </w:pPr>
            <w:r>
              <w:rPr>
                <w:sz w:val="20"/>
              </w:rPr>
              <w:t>11.2</w:t>
            </w:r>
          </w:p>
        </w:tc>
        <w:tc>
          <w:tcPr>
            <w:tcW w:w="535" w:type="dxa"/>
            <w:tcBorders>
              <w:top w:val="single" w:sz="4" w:space="0" w:color="000000"/>
              <w:left w:val="single" w:sz="4" w:space="0" w:color="000000"/>
              <w:right w:val="single" w:sz="4" w:space="0" w:color="000000"/>
            </w:tcBorders>
          </w:tcPr>
          <w:p>
            <w:pPr>
              <w:pStyle w:val="TableParagraph"/>
              <w:ind w:left="60" w:right="28"/>
              <w:rPr>
                <w:sz w:val="20"/>
              </w:rPr>
            </w:pPr>
            <w:r>
              <w:rPr>
                <w:sz w:val="20"/>
              </w:rPr>
              <w:t>11.6</w:t>
            </w:r>
          </w:p>
        </w:tc>
        <w:tc>
          <w:tcPr>
            <w:tcW w:w="537" w:type="dxa"/>
            <w:tcBorders>
              <w:top w:val="single" w:sz="4" w:space="0" w:color="000000"/>
              <w:left w:val="single" w:sz="4" w:space="0" w:color="000000"/>
              <w:right w:val="single" w:sz="4" w:space="0" w:color="000000"/>
            </w:tcBorders>
          </w:tcPr>
          <w:p>
            <w:pPr>
              <w:pStyle w:val="TableParagraph"/>
              <w:ind w:right="52"/>
              <w:jc w:val="right"/>
              <w:rPr>
                <w:sz w:val="20"/>
              </w:rPr>
            </w:pPr>
            <w:r>
              <w:rPr>
                <w:sz w:val="20"/>
              </w:rPr>
              <w:t>11.9</w:t>
            </w:r>
          </w:p>
        </w:tc>
        <w:tc>
          <w:tcPr>
            <w:tcW w:w="537" w:type="dxa"/>
            <w:tcBorders>
              <w:top w:val="single" w:sz="4" w:space="0" w:color="000000"/>
              <w:left w:val="single" w:sz="4" w:space="0" w:color="000000"/>
              <w:right w:val="single" w:sz="4" w:space="0" w:color="000000"/>
            </w:tcBorders>
          </w:tcPr>
          <w:p>
            <w:pPr>
              <w:pStyle w:val="TableParagraph"/>
              <w:ind w:left="59" w:right="27"/>
              <w:rPr>
                <w:sz w:val="20"/>
              </w:rPr>
            </w:pPr>
            <w:r>
              <w:rPr>
                <w:sz w:val="20"/>
              </w:rPr>
              <w:t>12.2</w:t>
            </w:r>
          </w:p>
        </w:tc>
        <w:tc>
          <w:tcPr>
            <w:tcW w:w="535" w:type="dxa"/>
            <w:tcBorders>
              <w:top w:val="single" w:sz="4" w:space="0" w:color="000000"/>
              <w:left w:val="single" w:sz="4" w:space="0" w:color="000000"/>
              <w:right w:val="single" w:sz="4" w:space="0" w:color="000000"/>
            </w:tcBorders>
          </w:tcPr>
          <w:p>
            <w:pPr>
              <w:pStyle w:val="TableParagraph"/>
              <w:ind w:left="62" w:right="27"/>
              <w:rPr>
                <w:sz w:val="20"/>
              </w:rPr>
            </w:pPr>
            <w:r>
              <w:rPr>
                <w:sz w:val="20"/>
              </w:rPr>
              <w:t>12.6</w:t>
            </w:r>
          </w:p>
        </w:tc>
        <w:tc>
          <w:tcPr>
            <w:tcW w:w="537" w:type="dxa"/>
            <w:tcBorders>
              <w:top w:val="single" w:sz="4" w:space="0" w:color="000000"/>
              <w:left w:val="single" w:sz="4" w:space="0" w:color="000000"/>
              <w:right w:val="single" w:sz="4" w:space="0" w:color="000000"/>
            </w:tcBorders>
          </w:tcPr>
          <w:p>
            <w:pPr>
              <w:pStyle w:val="TableParagraph"/>
              <w:ind w:right="50"/>
              <w:jc w:val="right"/>
              <w:rPr>
                <w:sz w:val="20"/>
              </w:rPr>
            </w:pPr>
            <w:r>
              <w:rPr>
                <w:sz w:val="20"/>
              </w:rPr>
              <w:t>12.9</w:t>
            </w:r>
          </w:p>
        </w:tc>
        <w:tc>
          <w:tcPr>
            <w:tcW w:w="537" w:type="dxa"/>
            <w:tcBorders>
              <w:top w:val="single" w:sz="4" w:space="0" w:color="000000"/>
              <w:left w:val="single" w:sz="4" w:space="0" w:color="000000"/>
              <w:right w:val="single" w:sz="4" w:space="0" w:color="000000"/>
            </w:tcBorders>
          </w:tcPr>
          <w:p>
            <w:pPr>
              <w:pStyle w:val="TableParagraph"/>
              <w:ind w:left="63" w:right="27"/>
              <w:rPr>
                <w:sz w:val="20"/>
              </w:rPr>
            </w:pPr>
            <w:r>
              <w:rPr>
                <w:sz w:val="20"/>
              </w:rPr>
              <w:t>13.3</w:t>
            </w:r>
          </w:p>
        </w:tc>
        <w:tc>
          <w:tcPr>
            <w:tcW w:w="535" w:type="dxa"/>
            <w:tcBorders>
              <w:top w:val="single" w:sz="4" w:space="0" w:color="000000"/>
              <w:left w:val="single" w:sz="4" w:space="0" w:color="000000"/>
              <w:right w:val="single" w:sz="4" w:space="0" w:color="000000"/>
            </w:tcBorders>
          </w:tcPr>
          <w:p>
            <w:pPr>
              <w:pStyle w:val="TableParagraph"/>
              <w:ind w:left="62" w:right="23"/>
              <w:rPr>
                <w:sz w:val="20"/>
              </w:rPr>
            </w:pPr>
            <w:r>
              <w:rPr>
                <w:sz w:val="20"/>
              </w:rPr>
              <w:t>13.6</w:t>
            </w:r>
          </w:p>
        </w:tc>
        <w:tc>
          <w:tcPr>
            <w:tcW w:w="537" w:type="dxa"/>
            <w:tcBorders>
              <w:top w:val="single" w:sz="4" w:space="0" w:color="000000"/>
              <w:left w:val="single" w:sz="4" w:space="0" w:color="000000"/>
              <w:right w:val="single" w:sz="4" w:space="0" w:color="000000"/>
            </w:tcBorders>
          </w:tcPr>
          <w:p>
            <w:pPr>
              <w:pStyle w:val="TableParagraph"/>
              <w:ind w:left="64" w:right="22"/>
              <w:rPr>
                <w:sz w:val="20"/>
              </w:rPr>
            </w:pPr>
            <w:r>
              <w:rPr>
                <w:sz w:val="20"/>
              </w:rPr>
              <w:t>14.0</w:t>
            </w:r>
          </w:p>
        </w:tc>
        <w:tc>
          <w:tcPr>
            <w:tcW w:w="538" w:type="dxa"/>
            <w:tcBorders>
              <w:top w:val="single" w:sz="4" w:space="0" w:color="000000"/>
              <w:left w:val="single" w:sz="4" w:space="0" w:color="000000"/>
              <w:right w:val="single" w:sz="4" w:space="0" w:color="000000"/>
            </w:tcBorders>
          </w:tcPr>
          <w:p>
            <w:pPr>
              <w:pStyle w:val="TableParagraph"/>
              <w:ind w:right="49"/>
              <w:jc w:val="right"/>
              <w:rPr>
                <w:sz w:val="20"/>
              </w:rPr>
            </w:pPr>
            <w:r>
              <w:rPr>
                <w:sz w:val="20"/>
              </w:rPr>
              <w:t>14.3</w:t>
            </w:r>
          </w:p>
        </w:tc>
        <w:tc>
          <w:tcPr>
            <w:tcW w:w="537" w:type="dxa"/>
            <w:tcBorders>
              <w:top w:val="single" w:sz="4" w:space="0" w:color="000000"/>
              <w:left w:val="single" w:sz="4" w:space="0" w:color="000000"/>
              <w:right w:val="single" w:sz="4" w:space="0" w:color="000000"/>
            </w:tcBorders>
          </w:tcPr>
          <w:p>
            <w:pPr>
              <w:pStyle w:val="TableParagraph"/>
              <w:ind w:left="64" w:right="25"/>
              <w:rPr>
                <w:sz w:val="20"/>
              </w:rPr>
            </w:pPr>
            <w:r>
              <w:rPr>
                <w:sz w:val="20"/>
              </w:rPr>
              <w:t>14.7</w:t>
            </w:r>
          </w:p>
        </w:tc>
        <w:tc>
          <w:tcPr>
            <w:tcW w:w="535" w:type="dxa"/>
            <w:tcBorders>
              <w:top w:val="single" w:sz="4" w:space="0" w:color="000000"/>
              <w:left w:val="single" w:sz="4" w:space="0" w:color="000000"/>
            </w:tcBorders>
          </w:tcPr>
          <w:p>
            <w:pPr>
              <w:pStyle w:val="TableParagraph"/>
              <w:ind w:left="68" w:right="16"/>
              <w:rPr>
                <w:sz w:val="20"/>
              </w:rPr>
            </w:pPr>
            <w:r>
              <w:rPr>
                <w:sz w:val="20"/>
              </w:rPr>
              <w:t>15.0</w:t>
            </w:r>
          </w:p>
        </w:tc>
      </w:tr>
    </w:tbl>
    <w:sectPr>
      <w:pgSz w:w="11910" w:h="16840"/>
      <w:pgMar w:header="0" w:footer="855" w:top="1360" w:bottom="1040" w:left="10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66.529999pt;margin-top:788.160217pt;width:65.1500pt;height:12pt;mso-position-horizontal-relative:page;mso-position-vertical-relative:page;z-index:-15984128"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z w:val="20"/>
                  </w:rPr>
                  <w:t>第</w:t>
                </w:r>
                <w:r>
                  <w:rPr/>
                  <w:fldChar w:fldCharType="begin"/>
                </w:r>
                <w:r>
                  <w:rPr>
                    <w:rFonts w:ascii="Microsoft JhengHei" w:eastAsia="Microsoft JhengHei" w:hint="eastAsia"/>
                    <w:b/>
                    <w:sz w:val="20"/>
                  </w:rPr>
                  <w:instrText> PAGE </w:instrText>
                </w:r>
                <w:r>
                  <w:rPr/>
                  <w:fldChar w:fldCharType="separate"/>
                </w:r>
                <w:r>
                  <w:rPr/>
                  <w:t>1</w:t>
                </w:r>
                <w:r>
                  <w:rPr/>
                  <w:fldChar w:fldCharType="end"/>
                </w:r>
                <w:r>
                  <w:rPr>
                    <w:rFonts w:ascii="Microsoft JhengHei" w:eastAsia="Microsoft JhengHei" w:hint="eastAsia"/>
                    <w:b/>
                    <w:sz w:val="20"/>
                  </w:rPr>
                  <w:t>頁，共5頁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534"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380" w:hanging="202"/>
      </w:pPr>
      <w:rPr>
        <w:rFonts w:hint="default"/>
        <w:lang w:val="en-US" w:eastAsia="zh-TW" w:bidi="ar-SA"/>
      </w:rPr>
    </w:lvl>
    <w:lvl w:ilvl="2">
      <w:start w:val="0"/>
      <w:numFmt w:val="bullet"/>
      <w:lvlText w:val="•"/>
      <w:lvlJc w:val="left"/>
      <w:pPr>
        <w:ind w:left="3221" w:hanging="202"/>
      </w:pPr>
      <w:rPr>
        <w:rFonts w:hint="default"/>
        <w:lang w:val="en-US" w:eastAsia="zh-TW" w:bidi="ar-SA"/>
      </w:rPr>
    </w:lvl>
    <w:lvl w:ilvl="3">
      <w:start w:val="0"/>
      <w:numFmt w:val="bullet"/>
      <w:lvlText w:val="•"/>
      <w:lvlJc w:val="left"/>
      <w:pPr>
        <w:ind w:left="4061" w:hanging="202"/>
      </w:pPr>
      <w:rPr>
        <w:rFonts w:hint="default"/>
        <w:lang w:val="en-US" w:eastAsia="zh-TW" w:bidi="ar-SA"/>
      </w:rPr>
    </w:lvl>
    <w:lvl w:ilvl="4">
      <w:start w:val="0"/>
      <w:numFmt w:val="bullet"/>
      <w:lvlText w:val="•"/>
      <w:lvlJc w:val="left"/>
      <w:pPr>
        <w:ind w:left="4902" w:hanging="202"/>
      </w:pPr>
      <w:rPr>
        <w:rFonts w:hint="default"/>
        <w:lang w:val="en-US" w:eastAsia="zh-TW" w:bidi="ar-SA"/>
      </w:rPr>
    </w:lvl>
    <w:lvl w:ilvl="5">
      <w:start w:val="0"/>
      <w:numFmt w:val="bullet"/>
      <w:lvlText w:val="•"/>
      <w:lvlJc w:val="left"/>
      <w:pPr>
        <w:ind w:left="5743" w:hanging="202"/>
      </w:pPr>
      <w:rPr>
        <w:rFonts w:hint="default"/>
        <w:lang w:val="en-US" w:eastAsia="zh-TW" w:bidi="ar-SA"/>
      </w:rPr>
    </w:lvl>
    <w:lvl w:ilvl="6">
      <w:start w:val="0"/>
      <w:numFmt w:val="bullet"/>
      <w:lvlText w:val="•"/>
      <w:lvlJc w:val="left"/>
      <w:pPr>
        <w:ind w:left="6583" w:hanging="202"/>
      </w:pPr>
      <w:rPr>
        <w:rFonts w:hint="default"/>
        <w:lang w:val="en-US" w:eastAsia="zh-TW" w:bidi="ar-SA"/>
      </w:rPr>
    </w:lvl>
    <w:lvl w:ilvl="7">
      <w:start w:val="0"/>
      <w:numFmt w:val="bullet"/>
      <w:lvlText w:val="•"/>
      <w:lvlJc w:val="left"/>
      <w:pPr>
        <w:ind w:left="7424" w:hanging="202"/>
      </w:pPr>
      <w:rPr>
        <w:rFonts w:hint="default"/>
        <w:lang w:val="en-US" w:eastAsia="zh-TW" w:bidi="ar-SA"/>
      </w:rPr>
    </w:lvl>
    <w:lvl w:ilvl="8">
      <w:start w:val="0"/>
      <w:numFmt w:val="bullet"/>
      <w:lvlText w:val="•"/>
      <w:lvlJc w:val="left"/>
      <w:pPr>
        <w:ind w:left="8265" w:hanging="202"/>
      </w:pPr>
      <w:rPr>
        <w:rFonts w:hint="default"/>
        <w:lang w:val="en-US" w:eastAsia="zh-TW" w:bidi="ar-SA"/>
      </w:rPr>
    </w:lvl>
  </w:abstractNum>
  <w:abstractNum w:abstractNumId="2">
    <w:multiLevelType w:val="hybridMultilevel"/>
    <w:lvl w:ilvl="0">
      <w:start w:val="3"/>
      <w:numFmt w:val="decimal"/>
      <w:lvlText w:val="%1."/>
      <w:lvlJc w:val="left"/>
      <w:pPr>
        <w:ind w:left="1534"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380" w:hanging="202"/>
      </w:pPr>
      <w:rPr>
        <w:rFonts w:hint="default"/>
        <w:lang w:val="en-US" w:eastAsia="zh-TW" w:bidi="ar-SA"/>
      </w:rPr>
    </w:lvl>
    <w:lvl w:ilvl="2">
      <w:start w:val="0"/>
      <w:numFmt w:val="bullet"/>
      <w:lvlText w:val="•"/>
      <w:lvlJc w:val="left"/>
      <w:pPr>
        <w:ind w:left="3221" w:hanging="202"/>
      </w:pPr>
      <w:rPr>
        <w:rFonts w:hint="default"/>
        <w:lang w:val="en-US" w:eastAsia="zh-TW" w:bidi="ar-SA"/>
      </w:rPr>
    </w:lvl>
    <w:lvl w:ilvl="3">
      <w:start w:val="0"/>
      <w:numFmt w:val="bullet"/>
      <w:lvlText w:val="•"/>
      <w:lvlJc w:val="left"/>
      <w:pPr>
        <w:ind w:left="4061" w:hanging="202"/>
      </w:pPr>
      <w:rPr>
        <w:rFonts w:hint="default"/>
        <w:lang w:val="en-US" w:eastAsia="zh-TW" w:bidi="ar-SA"/>
      </w:rPr>
    </w:lvl>
    <w:lvl w:ilvl="4">
      <w:start w:val="0"/>
      <w:numFmt w:val="bullet"/>
      <w:lvlText w:val="•"/>
      <w:lvlJc w:val="left"/>
      <w:pPr>
        <w:ind w:left="4902" w:hanging="202"/>
      </w:pPr>
      <w:rPr>
        <w:rFonts w:hint="default"/>
        <w:lang w:val="en-US" w:eastAsia="zh-TW" w:bidi="ar-SA"/>
      </w:rPr>
    </w:lvl>
    <w:lvl w:ilvl="5">
      <w:start w:val="0"/>
      <w:numFmt w:val="bullet"/>
      <w:lvlText w:val="•"/>
      <w:lvlJc w:val="left"/>
      <w:pPr>
        <w:ind w:left="5743" w:hanging="202"/>
      </w:pPr>
      <w:rPr>
        <w:rFonts w:hint="default"/>
        <w:lang w:val="en-US" w:eastAsia="zh-TW" w:bidi="ar-SA"/>
      </w:rPr>
    </w:lvl>
    <w:lvl w:ilvl="6">
      <w:start w:val="0"/>
      <w:numFmt w:val="bullet"/>
      <w:lvlText w:val="•"/>
      <w:lvlJc w:val="left"/>
      <w:pPr>
        <w:ind w:left="6583" w:hanging="202"/>
      </w:pPr>
      <w:rPr>
        <w:rFonts w:hint="default"/>
        <w:lang w:val="en-US" w:eastAsia="zh-TW" w:bidi="ar-SA"/>
      </w:rPr>
    </w:lvl>
    <w:lvl w:ilvl="7">
      <w:start w:val="0"/>
      <w:numFmt w:val="bullet"/>
      <w:lvlText w:val="•"/>
      <w:lvlJc w:val="left"/>
      <w:pPr>
        <w:ind w:left="7424" w:hanging="202"/>
      </w:pPr>
      <w:rPr>
        <w:rFonts w:hint="default"/>
        <w:lang w:val="en-US" w:eastAsia="zh-TW" w:bidi="ar-SA"/>
      </w:rPr>
    </w:lvl>
    <w:lvl w:ilvl="8">
      <w:start w:val="0"/>
      <w:numFmt w:val="bullet"/>
      <w:lvlText w:val="•"/>
      <w:lvlJc w:val="left"/>
      <w:pPr>
        <w:ind w:left="8265" w:hanging="202"/>
      </w:pPr>
      <w:rPr>
        <w:rFonts w:hint="default"/>
        <w:lang w:val="en-US" w:eastAsia="zh-TW" w:bidi="ar-SA"/>
      </w:rPr>
    </w:lvl>
  </w:abstractNum>
  <w:abstractNum w:abstractNumId="1">
    <w:multiLevelType w:val="hybridMultilevel"/>
    <w:lvl w:ilvl="0">
      <w:start w:val="1"/>
      <w:numFmt w:val="decimal"/>
      <w:lvlText w:val="%1."/>
      <w:lvlJc w:val="left"/>
      <w:pPr>
        <w:ind w:left="1534"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380" w:hanging="202"/>
      </w:pPr>
      <w:rPr>
        <w:rFonts w:hint="default"/>
        <w:lang w:val="en-US" w:eastAsia="zh-TW" w:bidi="ar-SA"/>
      </w:rPr>
    </w:lvl>
    <w:lvl w:ilvl="2">
      <w:start w:val="0"/>
      <w:numFmt w:val="bullet"/>
      <w:lvlText w:val="•"/>
      <w:lvlJc w:val="left"/>
      <w:pPr>
        <w:ind w:left="3221" w:hanging="202"/>
      </w:pPr>
      <w:rPr>
        <w:rFonts w:hint="default"/>
        <w:lang w:val="en-US" w:eastAsia="zh-TW" w:bidi="ar-SA"/>
      </w:rPr>
    </w:lvl>
    <w:lvl w:ilvl="3">
      <w:start w:val="0"/>
      <w:numFmt w:val="bullet"/>
      <w:lvlText w:val="•"/>
      <w:lvlJc w:val="left"/>
      <w:pPr>
        <w:ind w:left="4061" w:hanging="202"/>
      </w:pPr>
      <w:rPr>
        <w:rFonts w:hint="default"/>
        <w:lang w:val="en-US" w:eastAsia="zh-TW" w:bidi="ar-SA"/>
      </w:rPr>
    </w:lvl>
    <w:lvl w:ilvl="4">
      <w:start w:val="0"/>
      <w:numFmt w:val="bullet"/>
      <w:lvlText w:val="•"/>
      <w:lvlJc w:val="left"/>
      <w:pPr>
        <w:ind w:left="4902" w:hanging="202"/>
      </w:pPr>
      <w:rPr>
        <w:rFonts w:hint="default"/>
        <w:lang w:val="en-US" w:eastAsia="zh-TW" w:bidi="ar-SA"/>
      </w:rPr>
    </w:lvl>
    <w:lvl w:ilvl="5">
      <w:start w:val="0"/>
      <w:numFmt w:val="bullet"/>
      <w:lvlText w:val="•"/>
      <w:lvlJc w:val="left"/>
      <w:pPr>
        <w:ind w:left="5743" w:hanging="202"/>
      </w:pPr>
      <w:rPr>
        <w:rFonts w:hint="default"/>
        <w:lang w:val="en-US" w:eastAsia="zh-TW" w:bidi="ar-SA"/>
      </w:rPr>
    </w:lvl>
    <w:lvl w:ilvl="6">
      <w:start w:val="0"/>
      <w:numFmt w:val="bullet"/>
      <w:lvlText w:val="•"/>
      <w:lvlJc w:val="left"/>
      <w:pPr>
        <w:ind w:left="6583" w:hanging="202"/>
      </w:pPr>
      <w:rPr>
        <w:rFonts w:hint="default"/>
        <w:lang w:val="en-US" w:eastAsia="zh-TW" w:bidi="ar-SA"/>
      </w:rPr>
    </w:lvl>
    <w:lvl w:ilvl="7">
      <w:start w:val="0"/>
      <w:numFmt w:val="bullet"/>
      <w:lvlText w:val="•"/>
      <w:lvlJc w:val="left"/>
      <w:pPr>
        <w:ind w:left="7424" w:hanging="202"/>
      </w:pPr>
      <w:rPr>
        <w:rFonts w:hint="default"/>
        <w:lang w:val="en-US" w:eastAsia="zh-TW" w:bidi="ar-SA"/>
      </w:rPr>
    </w:lvl>
    <w:lvl w:ilvl="8">
      <w:start w:val="0"/>
      <w:numFmt w:val="bullet"/>
      <w:lvlText w:val="•"/>
      <w:lvlJc w:val="left"/>
      <w:pPr>
        <w:ind w:left="8265" w:hanging="202"/>
      </w:pPr>
      <w:rPr>
        <w:rFonts w:hint="default"/>
        <w:lang w:val="en-US" w:eastAsia="zh-TW" w:bidi="ar-SA"/>
      </w:rPr>
    </w:lvl>
  </w:abstractNum>
  <w:abstractNum w:abstractNumId="0">
    <w:multiLevelType w:val="hybridMultilevel"/>
    <w:lvl w:ilvl="0">
      <w:start w:val="1"/>
      <w:numFmt w:val="decimal"/>
      <w:lvlText w:val="%1."/>
      <w:lvlJc w:val="left"/>
      <w:pPr>
        <w:ind w:left="1534"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40" w:hanging="202"/>
      </w:pPr>
      <w:rPr>
        <w:rFonts w:hint="default"/>
        <w:lang w:val="en-US" w:eastAsia="zh-TW" w:bidi="ar-SA"/>
      </w:rPr>
    </w:lvl>
    <w:lvl w:ilvl="2">
      <w:start w:val="0"/>
      <w:numFmt w:val="bullet"/>
      <w:lvlText w:val="•"/>
      <w:lvlJc w:val="left"/>
      <w:pPr>
        <w:ind w:left="2474" w:hanging="202"/>
      </w:pPr>
      <w:rPr>
        <w:rFonts w:hint="default"/>
        <w:lang w:val="en-US" w:eastAsia="zh-TW" w:bidi="ar-SA"/>
      </w:rPr>
    </w:lvl>
    <w:lvl w:ilvl="3">
      <w:start w:val="0"/>
      <w:numFmt w:val="bullet"/>
      <w:lvlText w:val="•"/>
      <w:lvlJc w:val="left"/>
      <w:pPr>
        <w:ind w:left="3408" w:hanging="202"/>
      </w:pPr>
      <w:rPr>
        <w:rFonts w:hint="default"/>
        <w:lang w:val="en-US" w:eastAsia="zh-TW" w:bidi="ar-SA"/>
      </w:rPr>
    </w:lvl>
    <w:lvl w:ilvl="4">
      <w:start w:val="0"/>
      <w:numFmt w:val="bullet"/>
      <w:lvlText w:val="•"/>
      <w:lvlJc w:val="left"/>
      <w:pPr>
        <w:ind w:left="4342" w:hanging="202"/>
      </w:pPr>
      <w:rPr>
        <w:rFonts w:hint="default"/>
        <w:lang w:val="en-US" w:eastAsia="zh-TW" w:bidi="ar-SA"/>
      </w:rPr>
    </w:lvl>
    <w:lvl w:ilvl="5">
      <w:start w:val="0"/>
      <w:numFmt w:val="bullet"/>
      <w:lvlText w:val="•"/>
      <w:lvlJc w:val="left"/>
      <w:pPr>
        <w:ind w:left="5276" w:hanging="202"/>
      </w:pPr>
      <w:rPr>
        <w:rFonts w:hint="default"/>
        <w:lang w:val="en-US" w:eastAsia="zh-TW" w:bidi="ar-SA"/>
      </w:rPr>
    </w:lvl>
    <w:lvl w:ilvl="6">
      <w:start w:val="0"/>
      <w:numFmt w:val="bullet"/>
      <w:lvlText w:val="•"/>
      <w:lvlJc w:val="left"/>
      <w:pPr>
        <w:ind w:left="6210" w:hanging="202"/>
      </w:pPr>
      <w:rPr>
        <w:rFonts w:hint="default"/>
        <w:lang w:val="en-US" w:eastAsia="zh-TW" w:bidi="ar-SA"/>
      </w:rPr>
    </w:lvl>
    <w:lvl w:ilvl="7">
      <w:start w:val="0"/>
      <w:numFmt w:val="bullet"/>
      <w:lvlText w:val="•"/>
      <w:lvlJc w:val="left"/>
      <w:pPr>
        <w:ind w:left="7144" w:hanging="202"/>
      </w:pPr>
      <w:rPr>
        <w:rFonts w:hint="default"/>
        <w:lang w:val="en-US" w:eastAsia="zh-TW" w:bidi="ar-SA"/>
      </w:rPr>
    </w:lvl>
    <w:lvl w:ilvl="8">
      <w:start w:val="0"/>
      <w:numFmt w:val="bullet"/>
      <w:lvlText w:val="•"/>
      <w:lvlJc w:val="left"/>
      <w:pPr>
        <w:ind w:left="8078" w:hanging="202"/>
      </w:pPr>
      <w:rPr>
        <w:rFonts w:hint="default"/>
        <w:lang w:val="en-US" w:eastAsia="zh-TW"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733"/>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3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77" w:lineRule="exact"/>
      <w:ind w:left="132"/>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spacing w:before="3"/>
      <w:ind w:left="1534" w:hanging="202"/>
    </w:pPr>
    <w:rPr>
      <w:rFonts w:ascii="SimSun" w:hAnsi="SimSun" w:eastAsia="SimSun" w:cs="SimSun"/>
      <w:lang w:val="en-US" w:eastAsia="zh-TW" w:bidi="ar-SA"/>
    </w:rPr>
  </w:style>
  <w:style w:styleId="TableParagraph" w:type="paragraph">
    <w:name w:val="Table Paragraph"/>
    <w:basedOn w:val="Normal"/>
    <w:uiPriority w:val="1"/>
    <w:qFormat/>
    <w:pPr>
      <w:spacing w:before="57"/>
      <w:jc w:val="center"/>
    </w:pPr>
    <w:rPr>
      <w:rFonts w:ascii="Arial MT" w:hAnsi="Arial MT" w:eastAsia="Arial MT" w:cs="Arial MT"/>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2023-11-01T02:10:11Z</dcterms:created>
  <dcterms:modified xsi:type="dcterms:W3CDTF">2023-11-01T02:10:11Z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Microsoft® Word 2016</vt:lpwstr>
  </property>
  <property fmtid="{D5CDD505-2E9C-101B-9397-08002B2CF9AE}" pid="4" name="LastSaved">
    <vt:filetime>2023-11-01T00:00:00Z</vt:filetime>
  </property>
</Properties>
</file>