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170" w:lineRule="auto"/>
      </w:pPr>
      <w:r>
        <w:rPr>
          <w:spacing w:val="-2"/>
        </w:rPr>
        <w:t>國泰人壽醫心康愛防癌定期健康保險(外溢型)(實物給付型保險</w:t>
      </w:r>
      <w:r>
        <w:rPr>
          <w:spacing w:val="-4"/>
          <w:w w:val="105"/>
        </w:rPr>
        <w:t>商品</w:t>
      </w:r>
      <w:r>
        <w:rPr>
          <w:spacing w:val="-4"/>
          <w:w w:val="125"/>
        </w:rPr>
        <w:t>)</w:t>
      </w:r>
    </w:p>
    <w:p>
      <w:pPr>
        <w:spacing w:line="168" w:lineRule="auto" w:before="0"/>
        <w:ind w:left="329" w:right="400" w:hanging="197"/>
        <w:jc w:val="left"/>
        <w:rPr>
          <w:rFonts w:ascii="Microsoft JhengHei" w:eastAsia="Microsoft JhengHei"/>
          <w:b/>
          <w:sz w:val="20"/>
        </w:rPr>
      </w:pPr>
      <w:r>
        <w:rPr>
          <w:rFonts w:ascii="Microsoft JhengHei" w:eastAsia="Microsoft JhengHei"/>
          <w:b/>
          <w:spacing w:val="2"/>
          <w:w w:val="99"/>
          <w:sz w:val="20"/>
        </w:rPr>
        <w:t>（</w:t>
      </w:r>
      <w:r>
        <w:rPr>
          <w:rFonts w:ascii="Microsoft JhengHei" w:eastAsia="Microsoft JhengHei"/>
          <w:b/>
          <w:w w:val="99"/>
          <w:sz w:val="20"/>
        </w:rPr>
        <w:t>給付項目：初次罹患癌症</w:t>
      </w:r>
      <w:r>
        <w:rPr>
          <w:rFonts w:ascii="Microsoft JhengHei" w:eastAsia="Microsoft JhengHei"/>
          <w:b/>
          <w:spacing w:val="2"/>
          <w:w w:val="99"/>
          <w:sz w:val="20"/>
        </w:rPr>
        <w:t>（</w:t>
      </w:r>
      <w:r>
        <w:rPr>
          <w:rFonts w:ascii="Microsoft JhengHei" w:eastAsia="Microsoft JhengHei"/>
          <w:b/>
          <w:spacing w:val="1"/>
          <w:w w:val="99"/>
          <w:sz w:val="20"/>
        </w:rPr>
        <w:t>初期</w:t>
      </w:r>
      <w:r>
        <w:rPr>
          <w:rFonts w:ascii="Microsoft JhengHei" w:eastAsia="Microsoft JhengHei"/>
          <w:b/>
          <w:w w:val="99"/>
          <w:sz w:val="20"/>
        </w:rPr>
        <w:t>）或癌症</w:t>
      </w:r>
      <w:r>
        <w:rPr>
          <w:rFonts w:ascii="Microsoft JhengHei" w:eastAsia="Microsoft JhengHei"/>
          <w:b/>
          <w:spacing w:val="2"/>
          <w:w w:val="99"/>
          <w:sz w:val="20"/>
        </w:rPr>
        <w:t>（</w:t>
      </w:r>
      <w:r>
        <w:rPr>
          <w:rFonts w:ascii="Microsoft JhengHei" w:eastAsia="Microsoft JhengHei"/>
          <w:b/>
          <w:spacing w:val="1"/>
          <w:w w:val="99"/>
          <w:sz w:val="20"/>
        </w:rPr>
        <w:t>輕度</w:t>
      </w:r>
      <w:r>
        <w:rPr>
          <w:rFonts w:ascii="Microsoft JhengHei" w:eastAsia="Microsoft JhengHei"/>
          <w:b/>
          <w:w w:val="99"/>
          <w:sz w:val="20"/>
        </w:rPr>
        <w:t>）保險金、初次罹患癌症</w:t>
      </w:r>
      <w:r>
        <w:rPr>
          <w:rFonts w:ascii="Microsoft JhengHei" w:eastAsia="Microsoft JhengHei"/>
          <w:b/>
          <w:spacing w:val="-2"/>
          <w:w w:val="141"/>
          <w:sz w:val="20"/>
        </w:rPr>
        <w:t>(</w:t>
      </w:r>
      <w:r>
        <w:rPr>
          <w:rFonts w:ascii="Microsoft JhengHei" w:eastAsia="Microsoft JhengHei"/>
          <w:b/>
          <w:spacing w:val="1"/>
          <w:w w:val="99"/>
          <w:sz w:val="20"/>
        </w:rPr>
        <w:t>重度</w:t>
      </w:r>
      <w:r>
        <w:rPr>
          <w:rFonts w:ascii="Microsoft JhengHei" w:eastAsia="Microsoft JhengHei"/>
          <w:b/>
          <w:spacing w:val="-2"/>
          <w:w w:val="141"/>
          <w:sz w:val="20"/>
        </w:rPr>
        <w:t>)</w:t>
      </w:r>
      <w:r>
        <w:rPr>
          <w:rFonts w:ascii="Microsoft JhengHei" w:eastAsia="Microsoft JhengHei"/>
          <w:b/>
          <w:w w:val="99"/>
          <w:sz w:val="20"/>
        </w:rPr>
        <w:t>保險金、癌症</w:t>
      </w:r>
      <w:r>
        <w:rPr>
          <w:rFonts w:ascii="Microsoft JhengHei" w:eastAsia="Microsoft JhengHei"/>
          <w:b/>
          <w:spacing w:val="1"/>
          <w:w w:val="141"/>
          <w:sz w:val="20"/>
        </w:rPr>
        <w:t>(</w:t>
      </w:r>
      <w:r>
        <w:rPr>
          <w:rFonts w:ascii="Microsoft JhengHei" w:eastAsia="Microsoft JhengHei"/>
          <w:b/>
          <w:spacing w:val="1"/>
          <w:w w:val="99"/>
          <w:sz w:val="20"/>
        </w:rPr>
        <w:t>重度</w:t>
      </w:r>
      <w:r>
        <w:rPr>
          <w:rFonts w:ascii="Microsoft JhengHei" w:eastAsia="Microsoft JhengHei"/>
          <w:b/>
          <w:spacing w:val="-2"/>
          <w:w w:val="141"/>
          <w:sz w:val="20"/>
        </w:rPr>
        <w:t>)</w:t>
      </w:r>
      <w:r>
        <w:rPr>
          <w:rFonts w:ascii="Microsoft JhengHei" w:eastAsia="Microsoft JhengHei"/>
          <w:b/>
          <w:w w:val="99"/>
          <w:sz w:val="20"/>
        </w:rPr>
        <w:t>追蹤照護保險金或罹癌基因檢測服務、癌症</w:t>
      </w:r>
      <w:r>
        <w:rPr>
          <w:rFonts w:ascii="Microsoft JhengHei" w:eastAsia="Microsoft JhengHei"/>
          <w:b/>
          <w:spacing w:val="1"/>
          <w:w w:val="141"/>
          <w:sz w:val="20"/>
        </w:rPr>
        <w:t>(</w:t>
      </w:r>
      <w:r>
        <w:rPr>
          <w:rFonts w:ascii="Microsoft JhengHei" w:eastAsia="Microsoft JhengHei"/>
          <w:b/>
          <w:spacing w:val="1"/>
          <w:w w:val="99"/>
          <w:sz w:val="20"/>
        </w:rPr>
        <w:t>重度</w:t>
      </w:r>
      <w:r>
        <w:rPr>
          <w:rFonts w:ascii="Microsoft JhengHei" w:eastAsia="Microsoft JhengHei"/>
          <w:b/>
          <w:spacing w:val="-2"/>
          <w:w w:val="141"/>
          <w:sz w:val="20"/>
        </w:rPr>
        <w:t>)</w:t>
      </w:r>
      <w:r>
        <w:rPr>
          <w:rFonts w:ascii="Microsoft JhengHei" w:eastAsia="Microsoft JhengHei"/>
          <w:b/>
          <w:spacing w:val="-3"/>
          <w:w w:val="99"/>
          <w:sz w:val="20"/>
        </w:rPr>
        <w:t>標靶藥物治療補助保險金、癌症</w:t>
      </w:r>
      <w:r>
        <w:rPr>
          <w:rFonts w:ascii="Microsoft JhengHei" w:eastAsia="Microsoft JhengHei"/>
          <w:b/>
          <w:spacing w:val="-4"/>
          <w:w w:val="141"/>
          <w:sz w:val="20"/>
        </w:rPr>
        <w:t>(</w:t>
      </w:r>
      <w:r>
        <w:rPr>
          <w:rFonts w:ascii="Microsoft JhengHei" w:eastAsia="Microsoft JhengHei"/>
          <w:b/>
          <w:spacing w:val="-3"/>
          <w:w w:val="99"/>
          <w:sz w:val="20"/>
        </w:rPr>
        <w:t>重度</w:t>
      </w:r>
      <w:r>
        <w:rPr>
          <w:rFonts w:ascii="Microsoft JhengHei" w:eastAsia="Microsoft JhengHei"/>
          <w:b/>
          <w:spacing w:val="-4"/>
          <w:w w:val="141"/>
          <w:sz w:val="20"/>
        </w:rPr>
        <w:t>)</w:t>
      </w:r>
      <w:r>
        <w:rPr>
          <w:rFonts w:ascii="Microsoft JhengHei" w:eastAsia="Microsoft JhengHei"/>
          <w:b/>
          <w:spacing w:val="-4"/>
          <w:w w:val="99"/>
          <w:sz w:val="20"/>
        </w:rPr>
        <w:t>豁免保險費</w:t>
      </w:r>
      <w:r>
        <w:rPr>
          <w:rFonts w:ascii="Microsoft JhengHei" w:eastAsia="Microsoft JhengHei"/>
          <w:b/>
          <w:w w:val="99"/>
          <w:sz w:val="20"/>
        </w:rPr>
        <w:t>）</w:t>
      </w:r>
    </w:p>
    <w:p>
      <w:pPr>
        <w:spacing w:line="168" w:lineRule="auto" w:before="3"/>
        <w:ind w:left="329" w:right="406" w:hanging="197"/>
        <w:jc w:val="left"/>
        <w:rPr>
          <w:rFonts w:ascii="Microsoft JhengHei" w:eastAsia="Microsoft JhengHei"/>
          <w:b/>
          <w:sz w:val="20"/>
        </w:rPr>
      </w:pPr>
      <w:r>
        <w:rPr>
          <w:rFonts w:ascii="Microsoft JhengHei" w:eastAsia="Microsoft JhengHei"/>
          <w:b/>
          <w:spacing w:val="-2"/>
          <w:sz w:val="20"/>
        </w:rPr>
        <w:t>（本契約有效期間內，被保險人於指定日期符合條款所列之會員等級者，本公司提供健康促進保險費折減，詳</w:t>
      </w:r>
      <w:r>
        <w:rPr>
          <w:rFonts w:ascii="Microsoft JhengHei" w:eastAsia="Microsoft JhengHei"/>
          <w:b/>
          <w:spacing w:val="-2"/>
          <w:sz w:val="20"/>
        </w:rPr>
        <w:t>請參閱契約條款）</w:t>
      </w:r>
    </w:p>
    <w:p>
      <w:pPr>
        <w:spacing w:line="170" w:lineRule="auto" w:before="3"/>
        <w:ind w:left="331" w:right="400" w:hanging="200"/>
        <w:jc w:val="left"/>
        <w:rPr>
          <w:rFonts w:ascii="Microsoft JhengHei" w:eastAsia="Microsoft JhengHei"/>
          <w:b/>
          <w:sz w:val="20"/>
        </w:rPr>
      </w:pPr>
      <w:r>
        <w:rPr>
          <w:rFonts w:ascii="Microsoft JhengHei" w:eastAsia="Microsoft JhengHei"/>
          <w:b/>
          <w:spacing w:val="-2"/>
          <w:sz w:val="20"/>
        </w:rPr>
        <w:t>（本保險「癌症」等待期間為九十日，本公司對「癌症」應負的保險責任，自生效日起持續有效第九十一日或</w:t>
      </w:r>
      <w:r>
        <w:rPr>
          <w:rFonts w:ascii="Microsoft JhengHei" w:eastAsia="Microsoft JhengHei"/>
          <w:b/>
          <w:spacing w:val="-2"/>
          <w:sz w:val="20"/>
        </w:rPr>
        <w:t>復效日開始，詳請參閱契約條款）</w:t>
      </w:r>
    </w:p>
    <w:p>
      <w:pPr>
        <w:spacing w:line="235" w:lineRule="exact" w:before="0"/>
        <w:ind w:left="132" w:right="0" w:firstLine="0"/>
        <w:jc w:val="left"/>
        <w:rPr>
          <w:rFonts w:ascii="Microsoft JhengHei" w:eastAsia="Microsoft JhengHei"/>
          <w:b/>
          <w:sz w:val="20"/>
        </w:rPr>
      </w:pPr>
      <w:r>
        <w:rPr>
          <w:rFonts w:ascii="Microsoft JhengHei" w:eastAsia="Microsoft JhengHei"/>
          <w:b/>
          <w:spacing w:val="-2"/>
          <w:sz w:val="20"/>
        </w:rPr>
        <w:t>（本保險因費率計算考慮脫退率致本保險無解約金</w:t>
      </w:r>
      <w:r>
        <w:rPr>
          <w:rFonts w:ascii="Microsoft JhengHei" w:eastAsia="Microsoft JhengHei"/>
          <w:b/>
          <w:spacing w:val="-10"/>
          <w:sz w:val="20"/>
        </w:rPr>
        <w:t>）</w:t>
      </w:r>
    </w:p>
    <w:p>
      <w:pPr>
        <w:spacing w:line="170" w:lineRule="auto" w:before="23"/>
        <w:ind w:left="331" w:right="405" w:hanging="200"/>
        <w:jc w:val="left"/>
        <w:rPr>
          <w:rFonts w:ascii="Microsoft JhengHei" w:eastAsia="Microsoft JhengHei"/>
          <w:b/>
          <w:sz w:val="20"/>
        </w:rPr>
      </w:pPr>
      <w:r>
        <w:rPr>
          <w:rFonts w:ascii="Microsoft JhengHei" w:eastAsia="Microsoft JhengHei"/>
          <w:b/>
          <w:spacing w:val="-2"/>
          <w:sz w:val="20"/>
        </w:rPr>
        <w:t>（附件一的服務內容、服務費用與補償金額將以服務提供當時公告於國泰人壽官方網站之最新服務內容、服務</w:t>
      </w:r>
      <w:r>
        <w:rPr>
          <w:rFonts w:ascii="Microsoft JhengHei" w:eastAsia="Microsoft JhengHei"/>
          <w:b/>
          <w:spacing w:val="-2"/>
          <w:sz w:val="20"/>
        </w:rPr>
        <w:t>費用與補償金額為準）</w:t>
      </w:r>
    </w:p>
    <w:p>
      <w:pPr>
        <w:spacing w:line="235" w:lineRule="exact" w:before="0"/>
        <w:ind w:left="132" w:right="0" w:firstLine="0"/>
        <w:jc w:val="left"/>
        <w:rPr>
          <w:rFonts w:ascii="Microsoft JhengHei" w:eastAsia="Microsoft JhengHei"/>
          <w:b/>
          <w:sz w:val="20"/>
        </w:rPr>
      </w:pPr>
      <w:r>
        <w:rPr>
          <w:rFonts w:ascii="Microsoft JhengHei" w:eastAsia="Microsoft JhengHei"/>
          <w:b/>
          <w:spacing w:val="-2"/>
          <w:sz w:val="20"/>
        </w:rPr>
        <w:t>（「罹癌基因檢測服務」之「服務區域」為臺灣、澎湖、金門、馬祖等由中華民國政府所管轄範圍之地區</w:t>
      </w:r>
      <w:r>
        <w:rPr>
          <w:rFonts w:ascii="Microsoft JhengHei" w:eastAsia="Microsoft JhengHei"/>
          <w:b/>
          <w:spacing w:val="-10"/>
          <w:sz w:val="20"/>
        </w:rPr>
        <w:t>）</w:t>
      </w:r>
    </w:p>
    <w:p>
      <w:pPr>
        <w:spacing w:line="170" w:lineRule="auto" w:before="23"/>
        <w:ind w:left="385" w:right="100" w:hanging="253"/>
        <w:jc w:val="left"/>
        <w:rPr>
          <w:rFonts w:ascii="Microsoft JhengHei" w:eastAsia="Microsoft JhengHei"/>
          <w:b/>
          <w:sz w:val="20"/>
        </w:rPr>
      </w:pPr>
      <w:r>
        <w:rPr/>
        <w:drawing>
          <wp:anchor distT="0" distB="0" distL="0" distR="0" allowOverlap="1" layoutInCell="1" locked="0" behindDoc="1" simplePos="0" relativeHeight="487023616">
            <wp:simplePos x="0" y="0"/>
            <wp:positionH relativeFrom="page">
              <wp:posOffset>2872181</wp:posOffset>
            </wp:positionH>
            <wp:positionV relativeFrom="paragraph">
              <wp:posOffset>10207</wp:posOffset>
            </wp:positionV>
            <wp:extent cx="1839480" cy="442473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839480" cy="4424731"/>
                    </a:xfrm>
                    <a:prstGeom prst="rect">
                      <a:avLst/>
                    </a:prstGeom>
                  </pic:spPr>
                </pic:pic>
              </a:graphicData>
            </a:graphic>
          </wp:anchor>
        </w:drawing>
      </w:r>
      <w:r>
        <w:rPr>
          <w:rFonts w:ascii="Microsoft JhengHei" w:eastAsia="Microsoft JhengHei"/>
          <w:b/>
          <w:spacing w:val="-10"/>
          <w:sz w:val="20"/>
        </w:rPr>
        <w:t>（申訴電話：市話免費撥打0800-036-599、付費撥打02-2162-6201；傳真：0800-211-568；電子信箱(E-mail)：</w:t>
      </w:r>
      <w:r>
        <w:rPr>
          <w:rFonts w:ascii="Microsoft JhengHei" w:eastAsia="Microsoft JhengHei"/>
          <w:b/>
          <w:spacing w:val="-3"/>
          <w:sz w:val="20"/>
        </w:rPr>
        <w:t> </w:t>
      </w:r>
      <w:hyperlink r:id="rId7">
        <w:r>
          <w:rPr>
            <w:rFonts w:ascii="Microsoft JhengHei" w:eastAsia="Microsoft JhengHei"/>
            <w:b/>
            <w:spacing w:val="-2"/>
            <w:w w:val="94"/>
            <w:sz w:val="20"/>
          </w:rPr>
          <w:t>s</w:t>
        </w:r>
        <w:r>
          <w:rPr>
            <w:rFonts w:ascii="Microsoft JhengHei" w:eastAsia="Microsoft JhengHei"/>
            <w:b/>
            <w:spacing w:val="-2"/>
            <w:w w:val="76"/>
            <w:sz w:val="20"/>
          </w:rPr>
          <w:t>e</w:t>
        </w:r>
        <w:r>
          <w:rPr>
            <w:rFonts w:ascii="Microsoft JhengHei" w:eastAsia="Microsoft JhengHei"/>
            <w:b/>
            <w:spacing w:val="-2"/>
            <w:w w:val="115"/>
            <w:sz w:val="20"/>
          </w:rPr>
          <w:t>r</w:t>
        </w:r>
        <w:r>
          <w:rPr>
            <w:rFonts w:ascii="Microsoft JhengHei" w:eastAsia="Microsoft JhengHei"/>
            <w:b/>
            <w:spacing w:val="-2"/>
            <w:w w:val="81"/>
            <w:sz w:val="20"/>
          </w:rPr>
          <w:t>v</w:t>
        </w:r>
        <w:r>
          <w:rPr>
            <w:rFonts w:ascii="Microsoft JhengHei" w:eastAsia="Microsoft JhengHei"/>
            <w:b/>
            <w:spacing w:val="-2"/>
            <w:w w:val="169"/>
            <w:sz w:val="20"/>
          </w:rPr>
          <w:t>i</w:t>
        </w:r>
        <w:r>
          <w:rPr>
            <w:rFonts w:ascii="Microsoft JhengHei" w:eastAsia="Microsoft JhengHei"/>
            <w:b/>
            <w:spacing w:val="-5"/>
            <w:w w:val="87"/>
            <w:sz w:val="20"/>
          </w:rPr>
          <w:t>c</w:t>
        </w:r>
        <w:r>
          <w:rPr>
            <w:rFonts w:ascii="Microsoft JhengHei" w:eastAsia="Microsoft JhengHei"/>
            <w:b/>
            <w:spacing w:val="-2"/>
            <w:w w:val="76"/>
            <w:sz w:val="20"/>
          </w:rPr>
          <w:t>e</w:t>
        </w:r>
        <w:r>
          <w:rPr>
            <w:rFonts w:ascii="Microsoft JhengHei" w:eastAsia="Microsoft JhengHei"/>
            <w:b/>
            <w:spacing w:val="-2"/>
            <w:w w:val="37"/>
            <w:sz w:val="20"/>
          </w:rPr>
          <w:t>@</w:t>
        </w:r>
        <w:r>
          <w:rPr>
            <w:rFonts w:ascii="Microsoft JhengHei" w:eastAsia="Microsoft JhengHei"/>
            <w:b/>
            <w:spacing w:val="-2"/>
            <w:w w:val="87"/>
            <w:sz w:val="20"/>
          </w:rPr>
          <w:t>c</w:t>
        </w:r>
        <w:r>
          <w:rPr>
            <w:rFonts w:ascii="Microsoft JhengHei" w:eastAsia="Microsoft JhengHei"/>
            <w:b/>
            <w:spacing w:val="-5"/>
            <w:w w:val="77"/>
            <w:sz w:val="20"/>
          </w:rPr>
          <w:t>a</w:t>
        </w:r>
        <w:r>
          <w:rPr>
            <w:rFonts w:ascii="Microsoft JhengHei" w:eastAsia="Microsoft JhengHei"/>
            <w:b/>
            <w:spacing w:val="-2"/>
            <w:w w:val="118"/>
            <w:sz w:val="20"/>
          </w:rPr>
          <w:t>t</w:t>
        </w:r>
        <w:r>
          <w:rPr>
            <w:rFonts w:ascii="Microsoft JhengHei" w:eastAsia="Microsoft JhengHei"/>
            <w:b/>
            <w:spacing w:val="-2"/>
            <w:w w:val="68"/>
            <w:sz w:val="20"/>
          </w:rPr>
          <w:t>h</w:t>
        </w:r>
        <w:r>
          <w:rPr>
            <w:rFonts w:ascii="Microsoft JhengHei" w:eastAsia="Microsoft JhengHei"/>
            <w:b/>
            <w:spacing w:val="-2"/>
            <w:w w:val="77"/>
            <w:sz w:val="20"/>
          </w:rPr>
          <w:t>a</w:t>
        </w:r>
        <w:r>
          <w:rPr>
            <w:rFonts w:ascii="Microsoft JhengHei" w:eastAsia="Microsoft JhengHei"/>
            <w:b/>
            <w:spacing w:val="-5"/>
            <w:w w:val="80"/>
            <w:sz w:val="20"/>
          </w:rPr>
          <w:t>y</w:t>
        </w:r>
        <w:r>
          <w:rPr>
            <w:rFonts w:ascii="Microsoft JhengHei" w:eastAsia="Microsoft JhengHei"/>
            <w:b/>
            <w:spacing w:val="-2"/>
            <w:w w:val="169"/>
            <w:sz w:val="20"/>
          </w:rPr>
          <w:t>li</w:t>
        </w:r>
        <w:r>
          <w:rPr>
            <w:rFonts w:ascii="Microsoft JhengHei" w:eastAsia="Microsoft JhengHei"/>
            <w:b/>
            <w:spacing w:val="-2"/>
            <w:w w:val="125"/>
            <w:sz w:val="20"/>
          </w:rPr>
          <w:t>f</w:t>
        </w:r>
        <w:r>
          <w:rPr>
            <w:rFonts w:ascii="Microsoft JhengHei" w:eastAsia="Microsoft JhengHei"/>
            <w:b/>
            <w:spacing w:val="-5"/>
            <w:w w:val="76"/>
            <w:sz w:val="20"/>
          </w:rPr>
          <w:t>e</w:t>
        </w:r>
        <w:r>
          <w:rPr>
            <w:rFonts w:ascii="Microsoft JhengHei" w:eastAsia="Microsoft JhengHei"/>
            <w:b/>
            <w:spacing w:val="-2"/>
            <w:w w:val="184"/>
            <w:sz w:val="20"/>
          </w:rPr>
          <w:t>.</w:t>
        </w:r>
        <w:r>
          <w:rPr>
            <w:rFonts w:ascii="Microsoft JhengHei" w:eastAsia="Microsoft JhengHei"/>
            <w:b/>
            <w:spacing w:val="-2"/>
            <w:w w:val="87"/>
            <w:sz w:val="20"/>
          </w:rPr>
          <w:t>c</w:t>
        </w:r>
        <w:r>
          <w:rPr>
            <w:rFonts w:ascii="Microsoft JhengHei" w:eastAsia="Microsoft JhengHei"/>
            <w:b/>
            <w:spacing w:val="-2"/>
            <w:w w:val="66"/>
            <w:sz w:val="20"/>
          </w:rPr>
          <w:t>o</w:t>
        </w:r>
        <w:r>
          <w:rPr>
            <w:rFonts w:ascii="Microsoft JhengHei" w:eastAsia="Microsoft JhengHei"/>
            <w:b/>
            <w:spacing w:val="-5"/>
            <w:w w:val="41"/>
            <w:sz w:val="20"/>
          </w:rPr>
          <w:t>m</w:t>
        </w:r>
        <w:r>
          <w:rPr>
            <w:rFonts w:ascii="Microsoft JhengHei" w:eastAsia="Microsoft JhengHei"/>
            <w:b/>
            <w:spacing w:val="-2"/>
            <w:w w:val="184"/>
            <w:sz w:val="20"/>
          </w:rPr>
          <w:t>.</w:t>
        </w:r>
        <w:r>
          <w:rPr>
            <w:rFonts w:ascii="Microsoft JhengHei" w:eastAsia="Microsoft JhengHei"/>
            <w:b/>
            <w:spacing w:val="-5"/>
            <w:w w:val="118"/>
            <w:sz w:val="20"/>
          </w:rPr>
          <w:t>t</w:t>
        </w:r>
        <w:r>
          <w:rPr>
            <w:rFonts w:ascii="Microsoft JhengHei" w:eastAsia="Microsoft JhengHei"/>
            <w:b/>
            <w:spacing w:val="1"/>
            <w:w w:val="50"/>
            <w:sz w:val="20"/>
          </w:rPr>
          <w:t>w</w:t>
        </w:r>
      </w:hyperlink>
      <w:r>
        <w:rPr>
          <w:rFonts w:ascii="Microsoft JhengHei" w:eastAsia="Microsoft JhengHei"/>
          <w:b/>
          <w:spacing w:val="-3"/>
          <w:w w:val="88"/>
          <w:sz w:val="20"/>
        </w:rPr>
        <w:t>）</w:t>
      </w:r>
    </w:p>
    <w:p>
      <w:pPr>
        <w:pStyle w:val="BodyText"/>
        <w:spacing w:before="228"/>
        <w:ind w:left="132"/>
      </w:pPr>
      <w:r>
        <w:rPr>
          <w:spacing w:val="-2"/>
        </w:rPr>
        <w:t>112.05.18國壽字第1120050769</w:t>
      </w:r>
      <w:r>
        <w:rPr>
          <w:spacing w:val="-4"/>
        </w:rPr>
        <w:t>號函備查</w:t>
      </w:r>
    </w:p>
    <w:p>
      <w:pPr>
        <w:pStyle w:val="Heading1"/>
        <w:tabs>
          <w:tab w:pos="934" w:val="left" w:leader="none"/>
        </w:tabs>
        <w:spacing w:before="198"/>
      </w:pPr>
      <w:r>
        <w:rPr>
          <w:spacing w:val="-2"/>
        </w:rPr>
        <w:t>第一</w:t>
      </w:r>
      <w:r>
        <w:rPr>
          <w:spacing w:val="-10"/>
        </w:rPr>
        <w:t>條</w:t>
      </w:r>
      <w:r>
        <w:rPr/>
        <w:tab/>
      </w:r>
      <w:r>
        <w:rPr>
          <w:spacing w:val="-2"/>
        </w:rPr>
        <w:t>保險契約的構</w:t>
      </w:r>
      <w:r>
        <w:rPr>
          <w:spacing w:val="-10"/>
        </w:rPr>
        <w:t>成</w:t>
      </w:r>
    </w:p>
    <w:p>
      <w:pPr>
        <w:pStyle w:val="BodyText"/>
        <w:spacing w:line="235" w:lineRule="exact"/>
        <w:ind w:left="733"/>
      </w:pPr>
      <w:r>
        <w:rPr>
          <w:spacing w:val="-2"/>
        </w:rPr>
        <w:t>本保險單條款、附著之要保書、批註及其他約定書，均為本保險契約（以下簡稱本契約）</w:t>
      </w:r>
      <w:r>
        <w:rPr>
          <w:spacing w:val="-4"/>
        </w:rPr>
        <w:t>的構成部分。</w:t>
      </w:r>
    </w:p>
    <w:p>
      <w:pPr>
        <w:pStyle w:val="BodyText"/>
        <w:spacing w:line="244" w:lineRule="auto" w:before="3"/>
        <w:ind w:left="733" w:right="377"/>
      </w:pPr>
      <w:r>
        <w:rPr>
          <w:spacing w:val="-2"/>
        </w:rPr>
        <w:t>本契約的解釋，應探求契約當事人的真意，不得拘泥於所用的文字；如有疑義時，以作有利於被保險人</w:t>
      </w:r>
      <w:r>
        <w:rPr>
          <w:spacing w:val="-2"/>
        </w:rPr>
        <w:t>的解釋為原則。</w:t>
      </w:r>
    </w:p>
    <w:p>
      <w:pPr>
        <w:pStyle w:val="Heading1"/>
        <w:tabs>
          <w:tab w:pos="934" w:val="left" w:leader="none"/>
        </w:tabs>
        <w:spacing w:line="348" w:lineRule="exact" w:before="191"/>
      </w:pPr>
      <w:r>
        <w:rPr>
          <w:spacing w:val="-2"/>
        </w:rPr>
        <w:t>第二</w:t>
      </w:r>
      <w:r>
        <w:rPr>
          <w:spacing w:val="-10"/>
        </w:rPr>
        <w:t>條</w:t>
      </w:r>
      <w:r>
        <w:rPr/>
        <w:tab/>
      </w:r>
      <w:r>
        <w:rPr>
          <w:spacing w:val="-2"/>
        </w:rPr>
        <w:t>名詞定</w:t>
      </w:r>
      <w:r>
        <w:rPr>
          <w:spacing w:val="-10"/>
        </w:rPr>
        <w:t>義</w:t>
      </w:r>
    </w:p>
    <w:p>
      <w:pPr>
        <w:pStyle w:val="BodyText"/>
        <w:spacing w:line="236" w:lineRule="exact"/>
        <w:ind w:left="733"/>
      </w:pPr>
      <w:r>
        <w:rPr>
          <w:spacing w:val="-3"/>
        </w:rPr>
        <w:t>本契約名詞定義如下：</w:t>
      </w:r>
    </w:p>
    <w:p>
      <w:pPr>
        <w:pStyle w:val="BodyText"/>
        <w:spacing w:line="244" w:lineRule="auto" w:before="3"/>
        <w:ind w:right="369" w:hanging="401"/>
        <w:jc w:val="both"/>
      </w:pPr>
      <w:r>
        <w:rPr>
          <w:spacing w:val="-2"/>
        </w:rPr>
        <w:t>一、「癌症」：指組織細胞有惡性細胞不斷生長、擴張及對組織侵害的特性之惡性腫瘤或惡性白血球過多症，經病理檢驗確定符合最近採用之「國際疾病傷害及死因分類標準」版本歸屬於惡性腫瘤或原</w:t>
      </w:r>
      <w:r>
        <w:rPr>
          <w:spacing w:val="-2"/>
        </w:rPr>
        <w:t>位癌之疾病。</w:t>
      </w:r>
    </w:p>
    <w:p>
      <w:pPr>
        <w:pStyle w:val="BodyText"/>
        <w:spacing w:line="253" w:lineRule="exact"/>
        <w:ind w:left="733"/>
      </w:pPr>
      <w:r>
        <w:rPr>
          <w:spacing w:val="-3"/>
        </w:rPr>
        <w:t>二、「癌症(初期)」：指前款分類標準中歸屬於惡性腫瘤之下列疾病：</w:t>
      </w:r>
    </w:p>
    <w:p>
      <w:pPr>
        <w:pStyle w:val="BodyText"/>
        <w:spacing w:before="3"/>
      </w:pPr>
      <w:r>
        <w:rPr>
          <w:spacing w:val="-2"/>
        </w:rPr>
        <w:t>（一）</w:t>
      </w:r>
      <w:r>
        <w:rPr>
          <w:spacing w:val="-4"/>
        </w:rPr>
        <w:t>原位癌或零期癌。</w:t>
      </w:r>
    </w:p>
    <w:p>
      <w:pPr>
        <w:pStyle w:val="BodyText"/>
        <w:spacing w:before="6"/>
      </w:pPr>
      <w:r>
        <w:rPr>
          <w:spacing w:val="-2"/>
        </w:rPr>
        <w:t>（二）</w:t>
      </w:r>
      <w:r>
        <w:rPr>
          <w:spacing w:val="-4"/>
        </w:rPr>
        <w:t>第一期惡性類癌。</w:t>
      </w:r>
    </w:p>
    <w:p>
      <w:pPr>
        <w:pStyle w:val="BodyText"/>
        <w:spacing w:line="242" w:lineRule="auto" w:before="3"/>
        <w:ind w:left="733" w:right="1013" w:firstLine="400"/>
      </w:pPr>
      <w:r>
        <w:rPr>
          <w:spacing w:val="-2"/>
        </w:rPr>
        <w:t>（三）第二期（含）以下且非惡性黑色素瘤之皮膚癌（包括皮膚附屬器癌及皮纖維肉瘤）</w:t>
      </w:r>
      <w:r>
        <w:rPr>
          <w:spacing w:val="-2"/>
        </w:rPr>
        <w:t>。三、「癌症(輕度)」：指第一款分類標準中歸屬於惡性腫瘤之下列疾病：</w:t>
      </w:r>
    </w:p>
    <w:p>
      <w:pPr>
        <w:pStyle w:val="BodyText"/>
        <w:spacing w:before="3"/>
      </w:pPr>
      <w:r>
        <w:rPr>
          <w:spacing w:val="-2"/>
        </w:rPr>
        <w:t>（一）慢性淋巴性白血病第一期及第二期（按Rai氏的分期系統）</w:t>
      </w:r>
      <w:r>
        <w:rPr>
          <w:spacing w:val="-10"/>
        </w:rPr>
        <w:t>。</w:t>
      </w:r>
    </w:p>
    <w:p>
      <w:pPr>
        <w:pStyle w:val="BodyText"/>
        <w:spacing w:before="3"/>
      </w:pPr>
      <w:r>
        <w:rPr>
          <w:spacing w:val="-2"/>
        </w:rPr>
        <w:t>（二）10公分（含）</w:t>
      </w:r>
      <w:r>
        <w:rPr>
          <w:spacing w:val="-3"/>
        </w:rPr>
        <w:t>以下之第一期何杰金氏病。</w:t>
      </w:r>
    </w:p>
    <w:p>
      <w:pPr>
        <w:pStyle w:val="BodyText"/>
        <w:spacing w:before="3"/>
      </w:pPr>
      <w:r>
        <w:rPr>
          <w:spacing w:val="-2"/>
        </w:rPr>
        <w:t>（三）</w:t>
      </w:r>
      <w:r>
        <w:rPr>
          <w:spacing w:val="-4"/>
        </w:rPr>
        <w:t>第一期前列腺癌。</w:t>
      </w:r>
    </w:p>
    <w:p>
      <w:pPr>
        <w:pStyle w:val="BodyText"/>
        <w:spacing w:before="5"/>
      </w:pPr>
      <w:r>
        <w:rPr>
          <w:spacing w:val="-2"/>
        </w:rPr>
        <w:t>（四）</w:t>
      </w:r>
      <w:r>
        <w:rPr>
          <w:spacing w:val="-3"/>
        </w:rPr>
        <w:t>第一期膀胱乳頭狀癌。</w:t>
      </w:r>
    </w:p>
    <w:p>
      <w:pPr>
        <w:pStyle w:val="BodyText"/>
        <w:spacing w:before="3"/>
      </w:pPr>
      <w:r>
        <w:rPr>
          <w:spacing w:val="-2"/>
        </w:rPr>
        <w:t>（五）甲狀腺微乳頭狀癌（微乳頭狀癌是指在甲狀腺內1公分（含）以下之乳頭狀癌）</w:t>
      </w:r>
      <w:r>
        <w:rPr>
          <w:spacing w:val="-10"/>
        </w:rPr>
        <w:t>。</w:t>
      </w:r>
    </w:p>
    <w:p>
      <w:pPr>
        <w:pStyle w:val="BodyText"/>
        <w:spacing w:before="3"/>
      </w:pPr>
      <w:r>
        <w:rPr>
          <w:spacing w:val="-2"/>
        </w:rPr>
        <w:t>（六）</w:t>
      </w:r>
      <w:r>
        <w:rPr>
          <w:spacing w:val="-4"/>
        </w:rPr>
        <w:t>邊緣性卵巢癌。</w:t>
      </w:r>
    </w:p>
    <w:p>
      <w:pPr>
        <w:pStyle w:val="BodyText"/>
        <w:spacing w:before="5"/>
      </w:pPr>
      <w:r>
        <w:rPr>
          <w:spacing w:val="-2"/>
        </w:rPr>
        <w:t>（七）</w:t>
      </w:r>
      <w:r>
        <w:rPr>
          <w:spacing w:val="-4"/>
        </w:rPr>
        <w:t>第一期黑色素瘤。</w:t>
      </w:r>
    </w:p>
    <w:p>
      <w:pPr>
        <w:pStyle w:val="BodyText"/>
        <w:spacing w:before="3"/>
      </w:pPr>
      <w:r>
        <w:rPr>
          <w:spacing w:val="-2"/>
        </w:rPr>
        <w:t>（八）</w:t>
      </w:r>
      <w:r>
        <w:rPr>
          <w:spacing w:val="-4"/>
        </w:rPr>
        <w:t>第一期乳癌。</w:t>
      </w:r>
    </w:p>
    <w:p>
      <w:pPr>
        <w:pStyle w:val="BodyText"/>
        <w:spacing w:before="3"/>
      </w:pPr>
      <w:r>
        <w:rPr>
          <w:spacing w:val="-2"/>
        </w:rPr>
        <w:t>（九）</w:t>
      </w:r>
      <w:r>
        <w:rPr>
          <w:spacing w:val="-4"/>
        </w:rPr>
        <w:t>第一期子宮頸癌。</w:t>
      </w:r>
    </w:p>
    <w:p>
      <w:pPr>
        <w:pStyle w:val="BodyText"/>
        <w:spacing w:before="6"/>
      </w:pPr>
      <w:r>
        <w:rPr>
          <w:spacing w:val="-2"/>
        </w:rPr>
        <w:t>（十）</w:t>
      </w:r>
      <w:r>
        <w:rPr>
          <w:spacing w:val="-3"/>
        </w:rPr>
        <w:t>第一期大腸直腸癌。</w:t>
      </w:r>
    </w:p>
    <w:p>
      <w:pPr>
        <w:pStyle w:val="BodyText"/>
        <w:spacing w:line="244" w:lineRule="auto" w:before="3"/>
        <w:ind w:left="733" w:right="810"/>
        <w:jc w:val="both"/>
      </w:pPr>
      <w:r>
        <w:rPr>
          <w:spacing w:val="-2"/>
        </w:rPr>
        <w:t>四、「癌症(重度)」：指第一款分類標準中歸屬於「癌症(初期)」和「癌症(輕度)」以外之癌症。五、「醫院」：指依照醫療法規定領有開業執照並設有病房收治病人之公、私立及醫療法人醫院。</w:t>
      </w:r>
      <w:r>
        <w:rPr>
          <w:spacing w:val="-2"/>
        </w:rPr>
        <w:t>六、「醫師」：指領有醫師證書及執業證書，合法執業者。</w:t>
      </w:r>
    </w:p>
    <w:p>
      <w:pPr>
        <w:pStyle w:val="BodyText"/>
        <w:spacing w:line="242" w:lineRule="auto"/>
        <w:ind w:right="368" w:hanging="401"/>
      </w:pPr>
      <w:r>
        <w:rPr>
          <w:spacing w:val="-2"/>
        </w:rPr>
        <w:t>七、「保險金額」：指保險單所載本契約（不含其他附約、附加條款、批註條款）之保險金額，如該金</w:t>
      </w:r>
      <w:r>
        <w:rPr>
          <w:spacing w:val="-2"/>
        </w:rPr>
        <w:t>額有所變更時，以變更後之金額為準。</w:t>
      </w:r>
    </w:p>
    <w:p>
      <w:pPr>
        <w:pStyle w:val="BodyText"/>
        <w:spacing w:line="242" w:lineRule="auto"/>
        <w:ind w:right="380" w:hanging="401"/>
      </w:pPr>
      <w:r>
        <w:rPr>
          <w:spacing w:val="3"/>
          <w:w w:val="99"/>
        </w:rPr>
        <w:t>八、「保險年齡」：按被保險人投保本契約時之足歲計算，但是未滿一歲的零數超過六個月者加算一</w:t>
      </w:r>
      <w:r>
        <w:rPr>
          <w:w w:val="99"/>
        </w:rPr>
        <w:t>歲，之後須每經過一個保險單年度始加計一歲。</w:t>
      </w:r>
    </w:p>
    <w:p>
      <w:pPr>
        <w:spacing w:after="0" w:line="242" w:lineRule="auto"/>
        <w:sectPr>
          <w:footerReference w:type="default" r:id="rId5"/>
          <w:type w:val="continuous"/>
          <w:pgSz w:w="11910" w:h="16850"/>
          <w:pgMar w:header="0" w:footer="855" w:top="1400" w:bottom="1040" w:left="1000" w:right="760"/>
          <w:pgNumType w:start="1"/>
        </w:sectPr>
      </w:pPr>
    </w:p>
    <w:p>
      <w:pPr>
        <w:pStyle w:val="BodyText"/>
        <w:spacing w:line="242" w:lineRule="auto" w:before="47"/>
        <w:ind w:right="371" w:hanging="401"/>
      </w:pPr>
      <w:r>
        <w:rPr>
          <w:spacing w:val="-2"/>
        </w:rPr>
        <w:t>九、「初次診斷確定罹患癌症(初期)或癌症(輕度)」：指被保險人於本契約生效日前及停效期間未曾罹</w:t>
      </w:r>
      <w:r>
        <w:rPr>
          <w:spacing w:val="-1"/>
        </w:rPr>
        <w:t>患「癌症」，而自本契約生效日起持續有效第九十一日開始，始經醫院醫師診斷確定第一次罹患</w:t>
      </w:r>
    </w:p>
    <w:p>
      <w:pPr>
        <w:pStyle w:val="BodyText"/>
        <w:spacing w:before="1"/>
      </w:pPr>
      <w:r>
        <w:rPr>
          <w:spacing w:val="-3"/>
        </w:rPr>
        <w:t>「癌症(初期)或癌症(輕度)」。</w:t>
      </w:r>
    </w:p>
    <w:p>
      <w:pPr>
        <w:pStyle w:val="BodyText"/>
        <w:spacing w:line="242" w:lineRule="auto" w:before="5"/>
        <w:ind w:right="368" w:hanging="401"/>
        <w:jc w:val="both"/>
      </w:pPr>
      <w:r>
        <w:rPr>
          <w:spacing w:val="-2"/>
        </w:rPr>
        <w:t>十、「初次診斷確定罹患癌症(重度)」：指被保險人於本契約生效日前及停效期間未曾罹患「癌症」，</w:t>
      </w:r>
      <w:r>
        <w:rPr>
          <w:spacing w:val="9"/>
        </w:rPr>
        <w:t>而自本契約生效日起持續有效第九十一日開始，始經醫院醫師診斷確定第一次罹患「癌症(重</w:t>
      </w:r>
      <w:r>
        <w:rPr>
          <w:spacing w:val="-4"/>
        </w:rPr>
        <w:t>度)」。</w:t>
      </w:r>
    </w:p>
    <w:p>
      <w:pPr>
        <w:pStyle w:val="BodyText"/>
        <w:spacing w:line="242" w:lineRule="auto" w:before="4"/>
        <w:ind w:left="1299" w:right="368" w:hanging="600"/>
      </w:pPr>
      <w:r>
        <w:rPr>
          <w:spacing w:val="-5"/>
          <w:w w:val="99"/>
        </w:rPr>
        <w:t>十一、「年繳應繳保險費」：指以本契約</w:t>
      </w:r>
      <w:r>
        <w:rPr>
          <w:spacing w:val="4"/>
          <w:w w:val="99"/>
        </w:rPr>
        <w:t>（不含其他附約）</w:t>
      </w:r>
      <w:r>
        <w:rPr>
          <w:spacing w:val="3"/>
          <w:w w:val="99"/>
        </w:rPr>
        <w:t>保險單上所記載之保險金額為準，按年繳繳</w:t>
      </w:r>
      <w:r>
        <w:rPr>
          <w:w w:val="99"/>
        </w:rPr>
        <w:t>費方式計算之應繳保險費。</w:t>
      </w:r>
    </w:p>
    <w:p>
      <w:pPr>
        <w:pStyle w:val="BodyText"/>
        <w:spacing w:line="244" w:lineRule="auto" w:before="1"/>
        <w:ind w:left="1198" w:right="381" w:hanging="500"/>
      </w:pPr>
      <w:r>
        <w:rPr>
          <w:spacing w:val="-17"/>
        </w:rPr>
        <w:t>十二、「標靶治療」：係指使用專一性的藥物，針對癌細胞特有的表面標記或訊息傳遞途徑，以小分子化</w:t>
      </w:r>
      <w:r>
        <w:rPr>
          <w:spacing w:val="-2"/>
        </w:rPr>
        <w:t>合物或單株抗體加以阻斷，抑制腫瘤細胞增殖，促進癌細胞死亡的一種治療方式。</w:t>
      </w:r>
    </w:p>
    <w:p>
      <w:pPr>
        <w:pStyle w:val="BodyText"/>
        <w:spacing w:line="242" w:lineRule="auto"/>
        <w:ind w:left="1198" w:right="368" w:hanging="500"/>
      </w:pPr>
      <w:r>
        <w:rPr>
          <w:spacing w:val="-17"/>
        </w:rPr>
        <w:t>十三、「標靶治療藥物」：係指附件二所列之標靶治療藥物。其後若有中央衛生主管機關核可上市之標靶</w:t>
      </w:r>
      <w:r>
        <w:rPr>
          <w:spacing w:val="-2"/>
        </w:rPr>
        <w:t>治療藥物，且經醫師指示用藥者，亦屬本條款給付範圍，不受附件二所列項目限制。</w:t>
      </w:r>
    </w:p>
    <w:p>
      <w:pPr>
        <w:pStyle w:val="BodyText"/>
        <w:spacing w:line="242" w:lineRule="auto" w:before="1"/>
        <w:ind w:left="1198" w:right="367" w:hanging="500"/>
      </w:pPr>
      <w:r>
        <w:rPr/>
        <w:drawing>
          <wp:anchor distT="0" distB="0" distL="0" distR="0" allowOverlap="1" layoutInCell="1" locked="0" behindDoc="1" simplePos="0" relativeHeight="487024128">
            <wp:simplePos x="0" y="0"/>
            <wp:positionH relativeFrom="page">
              <wp:posOffset>2872181</wp:posOffset>
            </wp:positionH>
            <wp:positionV relativeFrom="paragraph">
              <wp:posOffset>267233</wp:posOffset>
            </wp:positionV>
            <wp:extent cx="1839480" cy="4424731"/>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839480" cy="4424731"/>
                    </a:xfrm>
                    <a:prstGeom prst="rect">
                      <a:avLst/>
                    </a:prstGeom>
                  </pic:spPr>
                </pic:pic>
              </a:graphicData>
            </a:graphic>
          </wp:anchor>
        </w:drawing>
      </w:r>
      <w:r>
        <w:rPr>
          <w:spacing w:val="-17"/>
        </w:rPr>
        <w:t>十四、「保險單週年日」：自本契約生效日起算屆滿一年的翌日為第一保險單週年日，屆滿二年的翌日為</w:t>
      </w:r>
      <w:r>
        <w:rPr/>
        <w:t>第二保險單週年日（</w:t>
      </w:r>
      <w:r>
        <w:rPr>
          <w:spacing w:val="-2"/>
        </w:rPr>
        <w:t>例如契約生效日為 </w:t>
      </w:r>
      <w:r>
        <w:rPr/>
        <w:t>113</w:t>
      </w:r>
      <w:r>
        <w:rPr>
          <w:spacing w:val="-11"/>
        </w:rPr>
        <w:t> 年 </w:t>
      </w:r>
      <w:r>
        <w:rPr/>
        <w:t>1</w:t>
      </w:r>
      <w:r>
        <w:rPr>
          <w:spacing w:val="-11"/>
        </w:rPr>
        <w:t> 月 </w:t>
      </w:r>
      <w:r>
        <w:rPr/>
        <w:t>1</w:t>
      </w:r>
      <w:r>
        <w:rPr>
          <w:spacing w:val="-5"/>
        </w:rPr>
        <w:t> 日，則第一保險單週年日為 </w:t>
      </w:r>
      <w:r>
        <w:rPr/>
        <w:t>114</w:t>
      </w:r>
      <w:r>
        <w:rPr>
          <w:spacing w:val="-11"/>
        </w:rPr>
        <w:t> 年 </w:t>
      </w:r>
      <w:r>
        <w:rPr/>
        <w:t>1</w:t>
      </w:r>
      <w:r>
        <w:rPr>
          <w:spacing w:val="-11"/>
        </w:rPr>
        <w:t> 月 </w:t>
      </w:r>
      <w:r>
        <w:rPr>
          <w:spacing w:val="-10"/>
        </w:rPr>
        <w:t>1</w:t>
      </w:r>
    </w:p>
    <w:p>
      <w:pPr>
        <w:pStyle w:val="BodyText"/>
        <w:spacing w:before="1"/>
        <w:ind w:left="1198"/>
      </w:pPr>
      <w:r>
        <w:rPr>
          <w:spacing w:val="-10"/>
        </w:rPr>
        <w:t>日，第二保險單週年日為 </w:t>
      </w:r>
      <w:r>
        <w:rPr>
          <w:spacing w:val="-6"/>
        </w:rPr>
        <w:t>115</w:t>
      </w:r>
      <w:r>
        <w:rPr>
          <w:spacing w:val="-33"/>
        </w:rPr>
        <w:t> 年 </w:t>
      </w:r>
      <w:r>
        <w:rPr>
          <w:spacing w:val="-6"/>
        </w:rPr>
        <w:t>1</w:t>
      </w:r>
      <w:r>
        <w:rPr>
          <w:spacing w:val="-34"/>
        </w:rPr>
        <w:t> 月 </w:t>
      </w:r>
      <w:r>
        <w:rPr>
          <w:spacing w:val="-6"/>
        </w:rPr>
        <w:t>1</w:t>
      </w:r>
      <w:r>
        <w:rPr>
          <w:spacing w:val="-27"/>
        </w:rPr>
        <w:t> 日</w:t>
      </w:r>
      <w:r>
        <w:rPr>
          <w:spacing w:val="-58"/>
        </w:rPr>
        <w:t>）</w:t>
      </w:r>
      <w:r>
        <w:rPr/>
        <w:t>，以此類推。</w:t>
      </w:r>
    </w:p>
    <w:p>
      <w:pPr>
        <w:pStyle w:val="BodyText"/>
        <w:spacing w:line="242" w:lineRule="auto" w:before="6"/>
        <w:ind w:left="1376" w:right="367" w:hanging="677"/>
      </w:pPr>
      <w:r>
        <w:rPr>
          <w:spacing w:val="-11"/>
          <w:w w:val="99"/>
        </w:rPr>
        <w:t>十五、「指定日期」：指自本契約繳費期間內各保險單週年日，往前推算第二個曆月(不含保險單週年日</w:t>
      </w:r>
      <w:r>
        <w:rPr>
          <w:w w:val="99"/>
        </w:rPr>
        <w:t>當月)的末日。</w:t>
      </w:r>
    </w:p>
    <w:p>
      <w:pPr>
        <w:pStyle w:val="BodyText"/>
        <w:ind w:left="1299"/>
      </w:pPr>
      <w:r>
        <w:rPr>
          <w:spacing w:val="-2"/>
        </w:rPr>
        <w:t>（</w:t>
      </w:r>
      <w:r>
        <w:rPr>
          <w:spacing w:val="-6"/>
        </w:rPr>
        <w:t>舉例一：被保險人於 </w:t>
      </w:r>
      <w:r>
        <w:rPr>
          <w:spacing w:val="-2"/>
        </w:rPr>
        <w:t>113</w:t>
      </w:r>
      <w:r>
        <w:rPr>
          <w:spacing w:val="-29"/>
        </w:rPr>
        <w:t> 年 </w:t>
      </w:r>
      <w:r>
        <w:rPr>
          <w:spacing w:val="-2"/>
        </w:rPr>
        <w:t>1</w:t>
      </w:r>
      <w:r>
        <w:rPr>
          <w:spacing w:val="-29"/>
        </w:rPr>
        <w:t> 月 </w:t>
      </w:r>
      <w:r>
        <w:rPr>
          <w:spacing w:val="-2"/>
        </w:rPr>
        <w:t>1</w:t>
      </w:r>
      <w:r>
        <w:rPr>
          <w:spacing w:val="-11"/>
        </w:rPr>
        <w:t> 日投保，第一保險單週年日為 </w:t>
      </w:r>
      <w:r>
        <w:rPr>
          <w:spacing w:val="-2"/>
        </w:rPr>
        <w:t>114</w:t>
      </w:r>
      <w:r>
        <w:rPr>
          <w:spacing w:val="-28"/>
        </w:rPr>
        <w:t> 年 </w:t>
      </w:r>
      <w:r>
        <w:rPr>
          <w:spacing w:val="-2"/>
        </w:rPr>
        <w:t>1</w:t>
      </w:r>
      <w:r>
        <w:rPr>
          <w:spacing w:val="-28"/>
        </w:rPr>
        <w:t> 月 </w:t>
      </w:r>
      <w:r>
        <w:rPr>
          <w:spacing w:val="-2"/>
        </w:rPr>
        <w:t>1</w:t>
      </w:r>
      <w:r>
        <w:rPr>
          <w:spacing w:val="-10"/>
        </w:rPr>
        <w:t> 日，往前推算第</w:t>
      </w:r>
    </w:p>
    <w:p>
      <w:pPr>
        <w:pStyle w:val="BodyText"/>
        <w:spacing w:before="6"/>
        <w:ind w:left="1498"/>
      </w:pPr>
      <w:r>
        <w:rPr>
          <w:spacing w:val="-8"/>
        </w:rPr>
        <w:t>二個曆月的末日即 </w:t>
      </w:r>
      <w:r>
        <w:rPr>
          <w:spacing w:val="-2"/>
        </w:rPr>
        <w:t>113</w:t>
      </w:r>
      <w:r>
        <w:rPr>
          <w:spacing w:val="-32"/>
        </w:rPr>
        <w:t> 年 </w:t>
      </w:r>
      <w:r>
        <w:rPr>
          <w:spacing w:val="-2"/>
        </w:rPr>
        <w:t>11</w:t>
      </w:r>
      <w:r>
        <w:rPr>
          <w:spacing w:val="-32"/>
        </w:rPr>
        <w:t> 月 </w:t>
      </w:r>
      <w:r>
        <w:rPr>
          <w:spacing w:val="-2"/>
        </w:rPr>
        <w:t>30</w:t>
      </w:r>
      <w:r>
        <w:rPr>
          <w:spacing w:val="-15"/>
        </w:rPr>
        <w:t> 日為第一保險單年度「指定日期」。</w:t>
      </w:r>
      <w:r>
        <w:rPr>
          <w:spacing w:val="-10"/>
        </w:rPr>
        <w:t>）</w:t>
      </w:r>
    </w:p>
    <w:p>
      <w:pPr>
        <w:pStyle w:val="BodyText"/>
        <w:spacing w:before="3"/>
        <w:ind w:left="1299"/>
      </w:pPr>
      <w:r>
        <w:rPr>
          <w:spacing w:val="-2"/>
        </w:rPr>
        <w:t>（</w:t>
      </w:r>
      <w:r>
        <w:rPr>
          <w:spacing w:val="-6"/>
        </w:rPr>
        <w:t>舉例二：被保險人於 </w:t>
      </w:r>
      <w:r>
        <w:rPr>
          <w:spacing w:val="-2"/>
        </w:rPr>
        <w:t>113</w:t>
      </w:r>
      <w:r>
        <w:rPr>
          <w:spacing w:val="-29"/>
        </w:rPr>
        <w:t> 年 </w:t>
      </w:r>
      <w:r>
        <w:rPr>
          <w:spacing w:val="-2"/>
        </w:rPr>
        <w:t>1</w:t>
      </w:r>
      <w:r>
        <w:rPr>
          <w:spacing w:val="-28"/>
        </w:rPr>
        <w:t> 月 </w:t>
      </w:r>
      <w:r>
        <w:rPr>
          <w:spacing w:val="-2"/>
        </w:rPr>
        <w:t>31</w:t>
      </w:r>
      <w:r>
        <w:rPr>
          <w:spacing w:val="-11"/>
        </w:rPr>
        <w:t> 日投保，第一保險單週年日為 </w:t>
      </w:r>
      <w:r>
        <w:rPr>
          <w:spacing w:val="-2"/>
        </w:rPr>
        <w:t>114</w:t>
      </w:r>
      <w:r>
        <w:rPr>
          <w:spacing w:val="-29"/>
        </w:rPr>
        <w:t> 年 </w:t>
      </w:r>
      <w:r>
        <w:rPr>
          <w:spacing w:val="-2"/>
        </w:rPr>
        <w:t>1</w:t>
      </w:r>
      <w:r>
        <w:rPr>
          <w:spacing w:val="-28"/>
        </w:rPr>
        <w:t> 月 </w:t>
      </w:r>
      <w:r>
        <w:rPr>
          <w:spacing w:val="-2"/>
        </w:rPr>
        <w:t>31</w:t>
      </w:r>
      <w:r>
        <w:rPr>
          <w:spacing w:val="-10"/>
        </w:rPr>
        <w:t> 日，往前推算</w:t>
      </w:r>
    </w:p>
    <w:p>
      <w:pPr>
        <w:pStyle w:val="BodyText"/>
        <w:spacing w:before="3"/>
        <w:ind w:left="1498"/>
      </w:pPr>
      <w:r>
        <w:rPr>
          <w:spacing w:val="-7"/>
        </w:rPr>
        <w:t>第二個曆月的末日即 </w:t>
      </w:r>
      <w:r>
        <w:rPr>
          <w:spacing w:val="-2"/>
        </w:rPr>
        <w:t>113</w:t>
      </w:r>
      <w:r>
        <w:rPr>
          <w:spacing w:val="-32"/>
        </w:rPr>
        <w:t> 年 </w:t>
      </w:r>
      <w:r>
        <w:rPr>
          <w:spacing w:val="-2"/>
        </w:rPr>
        <w:t>11</w:t>
      </w:r>
      <w:r>
        <w:rPr>
          <w:spacing w:val="-32"/>
        </w:rPr>
        <w:t> 月 </w:t>
      </w:r>
      <w:r>
        <w:rPr>
          <w:spacing w:val="-2"/>
        </w:rPr>
        <w:t>30</w:t>
      </w:r>
      <w:r>
        <w:rPr>
          <w:spacing w:val="-15"/>
        </w:rPr>
        <w:t> 日為第一保險單年度「指定日期」。</w:t>
      </w:r>
      <w:r>
        <w:rPr>
          <w:spacing w:val="-10"/>
        </w:rPr>
        <w:t>）</w:t>
      </w:r>
    </w:p>
    <w:p>
      <w:pPr>
        <w:pStyle w:val="BodyText"/>
        <w:spacing w:line="242" w:lineRule="auto" w:before="5"/>
        <w:ind w:left="699" w:right="369"/>
      </w:pPr>
      <w:r>
        <w:rPr>
          <w:spacing w:val="-2"/>
        </w:rPr>
        <w:t>十六、「罹癌基因檢測服務機構」：指與本公司合作，以提供「罹癌基因檢測服務」為目的之機構。</w:t>
      </w:r>
      <w:r>
        <w:rPr>
          <w:spacing w:val="80"/>
          <w:w w:val="150"/>
        </w:rPr>
        <w:t> </w:t>
      </w:r>
      <w:r>
        <w:rPr>
          <w:spacing w:val="-2"/>
        </w:rPr>
        <w:t>十七、「罹癌基因檢測服務」：指「罹癌基因檢測服務機構」提供被保險人附件一所列之檢測服務。十八、「罹癌基因檢測服務額度」：指被保險人符合「癌症(重度)追蹤照護保險金」之申領條件時，以</w:t>
      </w:r>
    </w:p>
    <w:p>
      <w:pPr>
        <w:pStyle w:val="BodyText"/>
        <w:spacing w:line="242" w:lineRule="auto" w:before="4"/>
        <w:ind w:left="1376" w:right="374"/>
      </w:pPr>
      <w:r>
        <w:rPr>
          <w:spacing w:val="2"/>
          <w:w w:val="99"/>
        </w:rPr>
        <w:t>原得申領之「癌症(重度)追蹤照護保險金」金額為準，扣抵「依本契約約定扣除欠繳保險費後</w:t>
      </w:r>
      <w:r>
        <w:rPr>
          <w:w w:val="99"/>
        </w:rPr>
        <w:t>尚餘之欠款及其應付利息」後所得之金額。</w:t>
      </w:r>
    </w:p>
    <w:p>
      <w:pPr>
        <w:pStyle w:val="BodyText"/>
        <w:spacing w:line="244" w:lineRule="auto"/>
        <w:ind w:left="1376" w:right="373" w:hanging="677"/>
        <w:jc w:val="both"/>
      </w:pPr>
      <w:r>
        <w:rPr>
          <w:spacing w:val="-2"/>
        </w:rPr>
        <w:t>十九、「罹癌基因檢測服務未支領金額」：指被保險人「罹癌基因檢測服務」未使用之餘額，其計算方</w:t>
      </w:r>
      <w:r>
        <w:rPr/>
        <w:t>式為「罹癌基因檢測服務額度」扣除「罹癌基因檢測服務機構」已提供之「罹癌基因檢測服</w:t>
      </w:r>
      <w:r>
        <w:rPr>
          <w:spacing w:val="-2"/>
        </w:rPr>
        <w:t>務」換算等值金額後之餘額。</w:t>
      </w:r>
    </w:p>
    <w:p>
      <w:pPr>
        <w:pStyle w:val="BodyText"/>
        <w:spacing w:line="253" w:lineRule="exact"/>
        <w:ind w:left="699"/>
      </w:pPr>
      <w:r>
        <w:rPr>
          <w:spacing w:val="-3"/>
        </w:rPr>
        <w:t>二十、「服務區域」：指臺灣、澎湖、金門、馬祖等由中華民國政府所管轄範圍之地區。</w:t>
      </w:r>
    </w:p>
    <w:p>
      <w:pPr>
        <w:pStyle w:val="Heading1"/>
        <w:tabs>
          <w:tab w:pos="934" w:val="left" w:leader="none"/>
        </w:tabs>
        <w:spacing w:before="199"/>
      </w:pPr>
      <w:r>
        <w:rPr>
          <w:spacing w:val="-2"/>
        </w:rPr>
        <w:t>第三</w:t>
      </w:r>
      <w:r>
        <w:rPr>
          <w:spacing w:val="-10"/>
        </w:rPr>
        <w:t>條</w:t>
      </w:r>
      <w:r>
        <w:rPr/>
        <w:tab/>
      </w:r>
      <w:r>
        <w:rPr>
          <w:spacing w:val="-2"/>
        </w:rPr>
        <w:t>契約撤銷</w:t>
      </w:r>
      <w:r>
        <w:rPr>
          <w:spacing w:val="-10"/>
        </w:rPr>
        <w:t>權</w:t>
      </w:r>
    </w:p>
    <w:p>
      <w:pPr>
        <w:pStyle w:val="BodyText"/>
        <w:spacing w:line="235" w:lineRule="exact"/>
        <w:ind w:left="733"/>
      </w:pPr>
      <w:r>
        <w:rPr>
          <w:spacing w:val="-3"/>
        </w:rPr>
        <w:t>要保人於保險單送達的翌日起算十日內，得以書面或其他約定方式檢同保險單向本公司撤銷本契約。</w:t>
      </w:r>
    </w:p>
    <w:p>
      <w:pPr>
        <w:pStyle w:val="BodyText"/>
        <w:spacing w:line="242" w:lineRule="auto" w:before="5"/>
        <w:ind w:left="733" w:right="370"/>
        <w:jc w:val="both"/>
      </w:pPr>
      <w:r>
        <w:rPr>
          <w:spacing w:val="-2"/>
        </w:rPr>
        <w:t>要保人依前項規定行使本契約撤銷權者，撤銷的效力應自要保人書面或其他約定方式之意思表示到達翌</w:t>
      </w:r>
      <w:r>
        <w:rPr>
          <w:spacing w:val="-2"/>
        </w:rPr>
        <w:t>日零時起生效，本契約自始無效，本公司應無息退還要保人所繳保險費；本契約撤銷生效後所發生的保險事故，本公司不負保險責任。但契約撤銷生效前，若發生保險事故者，視為未撤銷，本公司仍應依本契約規定負保險責任。</w:t>
      </w:r>
    </w:p>
    <w:p>
      <w:pPr>
        <w:pStyle w:val="Heading1"/>
        <w:tabs>
          <w:tab w:pos="934" w:val="left" w:leader="none"/>
        </w:tabs>
        <w:spacing w:line="348" w:lineRule="exact" w:before="197"/>
      </w:pPr>
      <w:r>
        <w:rPr>
          <w:spacing w:val="-2"/>
        </w:rPr>
        <w:t>第四</w:t>
      </w:r>
      <w:r>
        <w:rPr>
          <w:spacing w:val="-10"/>
        </w:rPr>
        <w:t>條</w:t>
      </w:r>
      <w:r>
        <w:rPr/>
        <w:tab/>
      </w:r>
      <w:r>
        <w:rPr>
          <w:spacing w:val="-2"/>
        </w:rPr>
        <w:t>契約生效</w:t>
      </w:r>
      <w:r>
        <w:rPr>
          <w:rFonts w:ascii="Malgun Gothic" w:eastAsia="Malgun Gothic"/>
          <w:spacing w:val="-2"/>
        </w:rPr>
        <w:t>、</w:t>
      </w:r>
      <w:r>
        <w:rPr>
          <w:spacing w:val="-2"/>
        </w:rPr>
        <w:t>保險責任的開始及交付保險</w:t>
      </w:r>
      <w:r>
        <w:rPr>
          <w:spacing w:val="-10"/>
        </w:rPr>
        <w:t>費</w:t>
      </w:r>
    </w:p>
    <w:p>
      <w:pPr>
        <w:pStyle w:val="BodyText"/>
        <w:spacing w:line="236" w:lineRule="exact"/>
        <w:ind w:left="733"/>
      </w:pPr>
      <w:r>
        <w:rPr>
          <w:spacing w:val="-3"/>
        </w:rPr>
        <w:t>本契約自本公司同意承保並收取第一期保險費時開始生效，本公司並應發給保險單作為承保的憑證。</w:t>
      </w:r>
    </w:p>
    <w:p>
      <w:pPr>
        <w:pStyle w:val="BodyText"/>
        <w:spacing w:line="242" w:lineRule="auto" w:before="3"/>
        <w:ind w:left="733" w:right="377"/>
      </w:pPr>
      <w:r>
        <w:rPr>
          <w:spacing w:val="-2"/>
        </w:rPr>
        <w:t>本公司如於同意承保前，預收相當於第一期保險費之金額時，以同意承保時溯自預收相當於第一期保險</w:t>
      </w:r>
      <w:r>
        <w:rPr>
          <w:spacing w:val="-2"/>
        </w:rPr>
        <w:t>費金額時本契約開始生效。</w:t>
      </w:r>
    </w:p>
    <w:p>
      <w:pPr>
        <w:pStyle w:val="BodyText"/>
        <w:spacing w:before="4"/>
        <w:ind w:left="733"/>
      </w:pPr>
      <w:r>
        <w:rPr>
          <w:spacing w:val="-3"/>
        </w:rPr>
        <w:t>本公司對本契約應負的保險責任始期：</w:t>
      </w:r>
    </w:p>
    <w:p>
      <w:pPr>
        <w:pStyle w:val="BodyText"/>
        <w:spacing w:line="242" w:lineRule="auto" w:before="3"/>
        <w:ind w:right="369" w:hanging="401"/>
      </w:pPr>
      <w:r>
        <w:rPr>
          <w:spacing w:val="-2"/>
        </w:rPr>
        <w:t>一、「初次罹患癌症(初期)或癌症(輕度)保險金」、「初次罹患癌症(重度)保險金」：自本契約生效日起第九十一日或復效日開始。</w:t>
      </w:r>
    </w:p>
    <w:p>
      <w:pPr>
        <w:pStyle w:val="BodyText"/>
        <w:spacing w:line="242" w:lineRule="auto" w:before="3"/>
        <w:ind w:right="371" w:hanging="401"/>
      </w:pPr>
      <w:r>
        <w:rPr>
          <w:spacing w:val="-20"/>
          <w:w w:val="99"/>
        </w:rPr>
        <w:t>二、「癌症(重度)標靶藥物治療補助保險金」、「癌症(重度)追蹤照護保險金或罹癌基因檢測服務」、「癌</w:t>
      </w:r>
      <w:r>
        <w:rPr>
          <w:spacing w:val="-10"/>
          <w:w w:val="99"/>
        </w:rPr>
        <w:t>症(重度)豁免保險費」：自第二保險單年度開始。</w:t>
      </w:r>
    </w:p>
    <w:p>
      <w:pPr>
        <w:pStyle w:val="Heading1"/>
        <w:tabs>
          <w:tab w:pos="934" w:val="left" w:leader="none"/>
        </w:tabs>
        <w:spacing w:before="197"/>
      </w:pPr>
      <w:r>
        <w:rPr>
          <w:spacing w:val="-2"/>
        </w:rPr>
        <w:t>第五</w:t>
      </w:r>
      <w:r>
        <w:rPr>
          <w:spacing w:val="-10"/>
        </w:rPr>
        <w:t>條</w:t>
      </w:r>
      <w:r>
        <w:rPr/>
        <w:tab/>
      </w:r>
      <w:r>
        <w:rPr>
          <w:spacing w:val="-2"/>
        </w:rPr>
        <w:t>保險範</w:t>
      </w:r>
      <w:r>
        <w:rPr>
          <w:spacing w:val="-10"/>
        </w:rPr>
        <w:t>圍</w:t>
      </w:r>
    </w:p>
    <w:p>
      <w:pPr>
        <w:pStyle w:val="BodyText"/>
        <w:spacing w:line="235" w:lineRule="exact"/>
        <w:ind w:left="733"/>
      </w:pPr>
      <w:r>
        <w:rPr>
          <w:spacing w:val="-3"/>
        </w:rPr>
        <w:t>被保險人於本契約有效期間內診斷確定罹患癌症時，本公司依照本契約約定提供保險給付。</w:t>
      </w:r>
    </w:p>
    <w:p>
      <w:pPr>
        <w:spacing w:after="0" w:line="235" w:lineRule="exact"/>
        <w:sectPr>
          <w:pgSz w:w="11910" w:h="16850"/>
          <w:pgMar w:header="0" w:footer="855" w:top="1360" w:bottom="1040" w:left="1000" w:right="760"/>
        </w:sectPr>
      </w:pPr>
    </w:p>
    <w:p>
      <w:pPr>
        <w:pStyle w:val="Heading1"/>
        <w:tabs>
          <w:tab w:pos="934" w:val="left" w:leader="none"/>
        </w:tabs>
        <w:spacing w:line="328" w:lineRule="exact"/>
      </w:pPr>
      <w:r>
        <w:rPr>
          <w:spacing w:val="-2"/>
        </w:rPr>
        <w:t>第六</w:t>
      </w:r>
      <w:r>
        <w:rPr>
          <w:spacing w:val="-10"/>
        </w:rPr>
        <w:t>條</w:t>
      </w:r>
      <w:r>
        <w:rPr/>
        <w:tab/>
      </w:r>
      <w:r>
        <w:rPr>
          <w:spacing w:val="-2"/>
        </w:rPr>
        <w:t>第二期以後保險費的交付、寬限期間及契約效力的停</w:t>
      </w:r>
      <w:r>
        <w:rPr>
          <w:spacing w:val="-10"/>
        </w:rPr>
        <w:t>止</w:t>
      </w:r>
    </w:p>
    <w:p>
      <w:pPr>
        <w:pStyle w:val="BodyText"/>
        <w:spacing w:line="235" w:lineRule="exact"/>
        <w:ind w:left="733"/>
      </w:pPr>
      <w:r>
        <w:rPr>
          <w:spacing w:val="-3"/>
        </w:rPr>
        <w:t>分期繳納的第二期以後保險費，應照本契約所載交付方法及日期，向本公司所在地或指定地點交付，本</w:t>
      </w:r>
    </w:p>
    <w:p>
      <w:pPr>
        <w:pStyle w:val="BodyText"/>
        <w:spacing w:line="244" w:lineRule="auto" w:before="3"/>
        <w:ind w:left="733" w:right="374"/>
        <w:jc w:val="both"/>
      </w:pPr>
      <w:r>
        <w:rPr>
          <w:w w:val="99"/>
        </w:rPr>
        <w:t>公司將交付開發之憑證。第二期以後分期保險費到期未交付時，年繳或半年繳者，自催告到達翌日起三</w:t>
      </w:r>
      <w:r>
        <w:rPr>
          <w:spacing w:val="3"/>
          <w:w w:val="99"/>
        </w:rPr>
        <w:t>十日內為寬限期間；月繳或季繳者，則不另為催告，自保險單所載交付日期之翌日起三十日為寬限期</w:t>
      </w:r>
      <w:r>
        <w:rPr>
          <w:spacing w:val="2"/>
          <w:w w:val="99"/>
        </w:rPr>
        <w:t>間。</w:t>
      </w:r>
    </w:p>
    <w:p>
      <w:pPr>
        <w:pStyle w:val="BodyText"/>
        <w:spacing w:line="244" w:lineRule="auto"/>
        <w:ind w:left="733" w:right="377"/>
      </w:pPr>
      <w:r>
        <w:rPr>
          <w:spacing w:val="-2"/>
        </w:rPr>
        <w:t>約定以金融機構轉帳或其他方式交付第二期以後的分期保險費者，本公司於知悉未能依此項約定受領保</w:t>
      </w:r>
      <w:r>
        <w:rPr>
          <w:spacing w:val="-2"/>
        </w:rPr>
        <w:t>險費時，應催告要保人交付保險費，自催告到達翌日起三十日內為寬限期間。</w:t>
      </w:r>
    </w:p>
    <w:p>
      <w:pPr>
        <w:pStyle w:val="BodyText"/>
        <w:spacing w:line="242" w:lineRule="auto"/>
        <w:ind w:left="733" w:right="377"/>
      </w:pPr>
      <w:r>
        <w:rPr>
          <w:spacing w:val="-2"/>
        </w:rPr>
        <w:t>前二項對要保人之催告，本公司另應通知被保險人以確保其權益。對被保險人之通知，依最後留存於本</w:t>
      </w:r>
      <w:r>
        <w:rPr>
          <w:spacing w:val="-2"/>
        </w:rPr>
        <w:t>公司之聯絡資料，以書面、電子郵件、簡訊或其他約定方式擇一發出通知者，視為已完成。</w:t>
      </w:r>
    </w:p>
    <w:p>
      <w:pPr>
        <w:pStyle w:val="BodyText"/>
        <w:spacing w:line="242" w:lineRule="auto"/>
        <w:ind w:left="733" w:right="377"/>
      </w:pPr>
      <w:r>
        <w:rPr>
          <w:spacing w:val="-2"/>
        </w:rPr>
        <w:t>逾寬限期間仍未交付者，本契約自寬限期間終了翌日起停止效力。如在寬限期間內發生保險事故時，本</w:t>
      </w:r>
      <w:r>
        <w:rPr>
          <w:spacing w:val="-2"/>
        </w:rPr>
        <w:t>公司仍負保險責任。</w:t>
      </w:r>
    </w:p>
    <w:p>
      <w:pPr>
        <w:pStyle w:val="BodyText"/>
        <w:spacing w:before="66"/>
        <w:ind w:left="0"/>
      </w:pPr>
    </w:p>
    <w:p>
      <w:pPr>
        <w:pStyle w:val="Heading1"/>
        <w:tabs>
          <w:tab w:pos="934" w:val="left" w:leader="none"/>
        </w:tabs>
        <w:spacing w:line="348" w:lineRule="exact"/>
      </w:pPr>
      <w:r>
        <w:rPr>
          <w:spacing w:val="-2"/>
        </w:rPr>
        <w:t>第七</w:t>
      </w:r>
      <w:r>
        <w:rPr>
          <w:spacing w:val="-10"/>
        </w:rPr>
        <w:t>條</w:t>
      </w:r>
      <w:r>
        <w:rPr/>
        <w:tab/>
      </w:r>
      <w:r>
        <w:rPr>
          <w:spacing w:val="-2"/>
        </w:rPr>
        <w:t>本契約效力的恢</w:t>
      </w:r>
      <w:r>
        <w:rPr>
          <w:spacing w:val="-10"/>
        </w:rPr>
        <w:t>復</w:t>
      </w:r>
    </w:p>
    <w:p>
      <w:pPr>
        <w:pStyle w:val="BodyText"/>
        <w:spacing w:line="236" w:lineRule="exact"/>
        <w:ind w:left="733"/>
      </w:pPr>
      <w:r>
        <w:rPr/>
        <w:drawing>
          <wp:anchor distT="0" distB="0" distL="0" distR="0" allowOverlap="1" layoutInCell="1" locked="0" behindDoc="1" simplePos="0" relativeHeight="487024640">
            <wp:simplePos x="0" y="0"/>
            <wp:positionH relativeFrom="page">
              <wp:posOffset>2872181</wp:posOffset>
            </wp:positionH>
            <wp:positionV relativeFrom="paragraph">
              <wp:posOffset>5735</wp:posOffset>
            </wp:positionV>
            <wp:extent cx="1839480" cy="4424731"/>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839480" cy="4424731"/>
                    </a:xfrm>
                    <a:prstGeom prst="rect">
                      <a:avLst/>
                    </a:prstGeom>
                  </pic:spPr>
                </pic:pic>
              </a:graphicData>
            </a:graphic>
          </wp:anchor>
        </w:drawing>
      </w:r>
      <w:r>
        <w:rPr>
          <w:spacing w:val="-3"/>
        </w:rPr>
        <w:t>本契約停止效力後，要保人得在停效日起二年內，申請復效。但保險期間屆滿後不得申請復效。</w:t>
      </w:r>
    </w:p>
    <w:p>
      <w:pPr>
        <w:pStyle w:val="BodyText"/>
        <w:spacing w:line="242" w:lineRule="auto" w:before="4"/>
        <w:ind w:left="733" w:right="377"/>
      </w:pPr>
      <w:r>
        <w:rPr>
          <w:spacing w:val="-2"/>
        </w:rPr>
        <w:t>要保人於停止效力之日起六個月內提出前項復效申請，並經要保人清償保險費扣除停效期間的危險保險</w:t>
      </w:r>
      <w:r>
        <w:rPr>
          <w:spacing w:val="-2"/>
        </w:rPr>
        <w:t>費後之餘額，自翌日上午零時起，開始恢復其效力。</w:t>
      </w:r>
    </w:p>
    <w:p>
      <w:pPr>
        <w:pStyle w:val="BodyText"/>
        <w:spacing w:line="242" w:lineRule="auto" w:before="3"/>
        <w:ind w:left="733" w:right="377"/>
        <w:jc w:val="both"/>
      </w:pPr>
      <w:r>
        <w:rPr>
          <w:spacing w:val="-2"/>
        </w:rPr>
        <w:t>要保人於停止效力之日起六個月後提出第一項之復效申請者，本公司得於要保人之復效申請送達本公司</w:t>
      </w:r>
      <w:r>
        <w:rPr>
          <w:spacing w:val="-2"/>
        </w:rPr>
        <w:t>之日起五日內要求要保人提供被保險人之可保證明。要保人如未於十日內交齊本公司要求提供之可保證明者，本公司得退回該次復效之申請。</w:t>
      </w:r>
    </w:p>
    <w:p>
      <w:pPr>
        <w:pStyle w:val="BodyText"/>
        <w:spacing w:before="4"/>
        <w:ind w:left="733"/>
      </w:pPr>
      <w:r>
        <w:rPr>
          <w:spacing w:val="-3"/>
        </w:rPr>
        <w:t>被保險人之危險程度有重大變更已達拒絕承保程度者，本公司得拒絕其復效。</w:t>
      </w:r>
    </w:p>
    <w:p>
      <w:pPr>
        <w:pStyle w:val="BodyText"/>
        <w:spacing w:line="242" w:lineRule="auto" w:before="3"/>
        <w:ind w:left="733" w:right="375"/>
      </w:pPr>
      <w:r>
        <w:rPr>
          <w:spacing w:val="-2"/>
        </w:rPr>
        <w:t>本公司未於第三項約定期限內要求要保人提供可保證明，或於收齊可保證明後十五日內不為拒絕者，視</w:t>
      </w:r>
      <w:r>
        <w:rPr>
          <w:spacing w:val="-2"/>
        </w:rPr>
        <w:t>為同意復效，並經要保人清償第二項所約定之金額後，自翌日上午零時起，開始恢復其效力。</w:t>
      </w:r>
    </w:p>
    <w:p>
      <w:pPr>
        <w:pStyle w:val="BodyText"/>
        <w:spacing w:line="242" w:lineRule="auto" w:before="3"/>
        <w:ind w:left="733" w:right="377"/>
      </w:pPr>
      <w:r>
        <w:rPr>
          <w:spacing w:val="-2"/>
        </w:rPr>
        <w:t>要保人依第三項提出申請復效者，除有同項後段或第四項之情形外，於交齊可保證明，並清償第二項所</w:t>
      </w:r>
      <w:r>
        <w:rPr>
          <w:spacing w:val="-2"/>
        </w:rPr>
        <w:t>約定之金額後，自翌日上午零時起，開始恢復其效力。</w:t>
      </w:r>
    </w:p>
    <w:p>
      <w:pPr>
        <w:pStyle w:val="BodyText"/>
        <w:spacing w:before="1"/>
        <w:ind w:left="733"/>
      </w:pPr>
      <w:r>
        <w:rPr>
          <w:spacing w:val="-3"/>
        </w:rPr>
        <w:t>基於保戶服務，本公司於保險契約停止效力後至得申請復效之期限屆滿前三個月，將以書面、電子郵件</w:t>
      </w:r>
    </w:p>
    <w:p>
      <w:pPr>
        <w:pStyle w:val="BodyText"/>
        <w:spacing w:line="242" w:lineRule="auto" w:before="5"/>
        <w:ind w:left="733" w:right="373"/>
        <w:jc w:val="both"/>
      </w:pPr>
      <w:r>
        <w:rPr>
          <w:spacing w:val="-2"/>
        </w:rPr>
        <w:t>、簡訊或其他約定方式擇一通知要保人有行使第一項申請復效之權利，並載明要保人未於第一項約定期限屆滿前恢復保險單效力者，契約效力將自第一項約定期限屆滿之日翌日上午零時起終止，以提醒要保</w:t>
      </w:r>
      <w:r>
        <w:rPr>
          <w:spacing w:val="-4"/>
        </w:rPr>
        <w:t>人注意。</w:t>
      </w:r>
    </w:p>
    <w:p>
      <w:pPr>
        <w:pStyle w:val="BodyText"/>
        <w:spacing w:line="242" w:lineRule="auto" w:before="4"/>
        <w:ind w:left="733" w:right="1813"/>
      </w:pPr>
      <w:r>
        <w:rPr>
          <w:spacing w:val="-2"/>
        </w:rPr>
        <w:t>本公司已依要保人最後留於本公司之前項聯絡資料發出通知，視為已完成前項之通知。</w:t>
      </w:r>
      <w:r>
        <w:rPr>
          <w:spacing w:val="-2"/>
        </w:rPr>
        <w:t>第一項約定期限屆滿時，本契約效力即行終止。</w:t>
      </w:r>
    </w:p>
    <w:p>
      <w:pPr>
        <w:pStyle w:val="Heading1"/>
        <w:tabs>
          <w:tab w:pos="934" w:val="left" w:leader="none"/>
        </w:tabs>
        <w:spacing w:before="196"/>
      </w:pPr>
      <w:r>
        <w:rPr>
          <w:spacing w:val="-2"/>
        </w:rPr>
        <w:t>第八</w:t>
      </w:r>
      <w:r>
        <w:rPr>
          <w:spacing w:val="-10"/>
        </w:rPr>
        <w:t>條</w:t>
      </w:r>
      <w:r>
        <w:rPr/>
        <w:tab/>
      </w:r>
      <w:r>
        <w:rPr>
          <w:spacing w:val="-2"/>
        </w:rPr>
        <w:t>告知義務與本契約的解</w:t>
      </w:r>
      <w:r>
        <w:rPr>
          <w:spacing w:val="-10"/>
        </w:rPr>
        <w:t>除</w:t>
      </w:r>
    </w:p>
    <w:p>
      <w:pPr>
        <w:pStyle w:val="BodyText"/>
        <w:spacing w:line="235" w:lineRule="exact"/>
        <w:ind w:left="733"/>
      </w:pPr>
      <w:r>
        <w:rPr>
          <w:spacing w:val="-3"/>
        </w:rPr>
        <w:t>要保人或被保險人在訂立本契約時，對於本公司要保書書面詢問的告知事項應據實說明，如有為隱匿或</w:t>
      </w:r>
    </w:p>
    <w:p>
      <w:pPr>
        <w:pStyle w:val="BodyText"/>
        <w:spacing w:line="244" w:lineRule="auto" w:before="3"/>
        <w:ind w:left="733" w:right="375"/>
      </w:pPr>
      <w:r>
        <w:rPr>
          <w:spacing w:val="-2"/>
        </w:rPr>
        <w:t>遺漏不為說明，或為不實的說明，足以變更或減少本公司對於危險的估計者，本公司得解除契約，其保</w:t>
      </w:r>
      <w:r>
        <w:rPr>
          <w:spacing w:val="-2"/>
        </w:rPr>
        <w:t>險事故發生後亦同。但危險的發生未基於其說明或未說明的事實時，不在此限。</w:t>
      </w:r>
    </w:p>
    <w:p>
      <w:pPr>
        <w:pStyle w:val="BodyText"/>
        <w:spacing w:line="242" w:lineRule="auto"/>
        <w:ind w:left="733" w:right="373"/>
      </w:pPr>
      <w:r>
        <w:rPr>
          <w:spacing w:val="-2"/>
        </w:rPr>
        <w:t>前項解除契約權，自本公司知有解除之原因後，經過一個月不行使而消滅；或自契約訂立後，經過二年</w:t>
      </w:r>
      <w:r>
        <w:rPr>
          <w:spacing w:val="-2"/>
        </w:rPr>
        <w:t>不行使而消滅。</w:t>
      </w:r>
    </w:p>
    <w:p>
      <w:pPr>
        <w:pStyle w:val="Heading1"/>
        <w:tabs>
          <w:tab w:pos="934" w:val="left" w:leader="none"/>
        </w:tabs>
        <w:spacing w:before="195"/>
      </w:pPr>
      <w:r>
        <w:rPr>
          <w:spacing w:val="-2"/>
        </w:rPr>
        <w:t>第九</w:t>
      </w:r>
      <w:r>
        <w:rPr>
          <w:spacing w:val="-10"/>
        </w:rPr>
        <w:t>條</w:t>
      </w:r>
      <w:r>
        <w:rPr/>
        <w:tab/>
      </w:r>
      <w:r>
        <w:rPr>
          <w:spacing w:val="-2"/>
        </w:rPr>
        <w:t>契約的終止（一</w:t>
      </w:r>
      <w:r>
        <w:rPr>
          <w:spacing w:val="-10"/>
        </w:rPr>
        <w:t>）</w:t>
      </w:r>
    </w:p>
    <w:p>
      <w:pPr>
        <w:pStyle w:val="BodyText"/>
        <w:spacing w:line="235" w:lineRule="exact"/>
        <w:ind w:left="733"/>
      </w:pPr>
      <w:r>
        <w:rPr>
          <w:spacing w:val="-3"/>
        </w:rPr>
        <w:t>要保人得隨時終止本契約。</w:t>
      </w:r>
    </w:p>
    <w:p>
      <w:pPr>
        <w:pStyle w:val="BodyText"/>
        <w:spacing w:before="5"/>
        <w:ind w:left="733"/>
      </w:pPr>
      <w:r>
        <w:rPr>
          <w:spacing w:val="-3"/>
        </w:rPr>
        <w:t>前項契約之終止，自本公司收到要保人書面或其他約定方式通知時，開始生效。</w:t>
      </w:r>
    </w:p>
    <w:p>
      <w:pPr>
        <w:pStyle w:val="BodyText"/>
        <w:spacing w:line="242" w:lineRule="auto" w:before="1"/>
        <w:ind w:left="733" w:right="377"/>
      </w:pPr>
      <w:r>
        <w:rPr>
          <w:spacing w:val="-2"/>
        </w:rPr>
        <w:t>要保人依第一項約定終止本契約時，如有未到期保險費者，本公司應從當期已繳保險費扣除按日數比例</w:t>
      </w:r>
      <w:r>
        <w:rPr>
          <w:spacing w:val="-2"/>
        </w:rPr>
        <w:t>計算已經過期間之保險費後，將其未到期保險費無息退還要保人。</w:t>
      </w:r>
    </w:p>
    <w:p>
      <w:pPr>
        <w:pStyle w:val="Heading1"/>
        <w:tabs>
          <w:tab w:pos="934" w:val="left" w:leader="none"/>
        </w:tabs>
        <w:spacing w:before="199"/>
      </w:pPr>
      <w:r>
        <w:rPr>
          <w:spacing w:val="-2"/>
        </w:rPr>
        <w:t>第十</w:t>
      </w:r>
      <w:r>
        <w:rPr>
          <w:spacing w:val="-10"/>
        </w:rPr>
        <w:t>條</w:t>
      </w:r>
      <w:r>
        <w:rPr/>
        <w:tab/>
      </w:r>
      <w:r>
        <w:rPr>
          <w:spacing w:val="-2"/>
        </w:rPr>
        <w:t>契約的終止（二</w:t>
      </w:r>
      <w:r>
        <w:rPr>
          <w:spacing w:val="-10"/>
        </w:rPr>
        <w:t>）</w:t>
      </w:r>
    </w:p>
    <w:p>
      <w:pPr>
        <w:pStyle w:val="BodyText"/>
        <w:spacing w:line="235" w:lineRule="exact"/>
        <w:ind w:left="733"/>
      </w:pPr>
      <w:r>
        <w:rPr>
          <w:spacing w:val="-1"/>
        </w:rPr>
        <w:t>被保險人於本契約生效日起持續有效九十日內，經醫院醫師診斷確定罹患癌症者，本契約效力即行終</w:t>
      </w:r>
    </w:p>
    <w:p>
      <w:pPr>
        <w:pStyle w:val="BodyText"/>
        <w:spacing w:before="5"/>
        <w:ind w:left="733"/>
      </w:pPr>
      <w:r>
        <w:rPr>
          <w:spacing w:val="-3"/>
        </w:rPr>
        <w:t>止，本公司無息退還已收受之保險費。</w:t>
      </w:r>
    </w:p>
    <w:p>
      <w:pPr>
        <w:pStyle w:val="Heading1"/>
        <w:tabs>
          <w:tab w:pos="1136" w:val="left" w:leader="none"/>
        </w:tabs>
        <w:spacing w:line="348" w:lineRule="exact" w:before="196"/>
      </w:pPr>
      <w:r>
        <w:rPr>
          <w:spacing w:val="-2"/>
        </w:rPr>
        <w:t>第十一</w:t>
      </w:r>
      <w:r>
        <w:rPr>
          <w:spacing w:val="-10"/>
        </w:rPr>
        <w:t>條</w:t>
      </w:r>
      <w:r>
        <w:rPr/>
        <w:tab/>
      </w:r>
      <w:r>
        <w:rPr>
          <w:spacing w:val="-2"/>
        </w:rPr>
        <w:t>契約的終止（三</w:t>
      </w:r>
      <w:r>
        <w:rPr>
          <w:spacing w:val="-10"/>
        </w:rPr>
        <w:t>）</w:t>
      </w:r>
    </w:p>
    <w:p>
      <w:pPr>
        <w:pStyle w:val="BodyText"/>
        <w:spacing w:line="236" w:lineRule="exact"/>
        <w:ind w:left="932"/>
      </w:pPr>
      <w:r>
        <w:rPr>
          <w:spacing w:val="-3"/>
        </w:rPr>
        <w:t>本契約有下列情形之一者，其效力即行終止：</w:t>
      </w:r>
    </w:p>
    <w:p>
      <w:pPr>
        <w:pStyle w:val="BodyText"/>
        <w:spacing w:before="3"/>
        <w:ind w:left="932"/>
      </w:pPr>
      <w:r>
        <w:rPr>
          <w:spacing w:val="-3"/>
        </w:rPr>
        <w:t>一、被保險人身故日。</w:t>
      </w:r>
    </w:p>
    <w:p>
      <w:pPr>
        <w:pStyle w:val="BodyText"/>
        <w:spacing w:before="3"/>
        <w:ind w:left="932"/>
      </w:pPr>
      <w:r>
        <w:rPr>
          <w:spacing w:val="-3"/>
        </w:rPr>
        <w:t>二、保險單上所載保險期間屆滿。(被保險人保險年齡到達八十五歲之保險單週年日)</w:t>
      </w:r>
    </w:p>
    <w:p>
      <w:pPr>
        <w:pStyle w:val="BodyText"/>
        <w:spacing w:before="6"/>
        <w:ind w:left="932"/>
      </w:pPr>
      <w:r>
        <w:rPr>
          <w:spacing w:val="-2"/>
        </w:rPr>
        <w:t>三、被保險人於第一保險單年度以內符合「初次診斷確定罹患癌症（重度）」之診斷確定日（</w:t>
      </w:r>
      <w:r>
        <w:rPr>
          <w:spacing w:val="-5"/>
        </w:rPr>
        <w:t>本公司</w:t>
      </w:r>
    </w:p>
    <w:p>
      <w:pPr>
        <w:spacing w:after="0"/>
        <w:sectPr>
          <w:pgSz w:w="11910" w:h="16850"/>
          <w:pgMar w:header="0" w:footer="855" w:top="1360" w:bottom="1040" w:left="1000" w:right="760"/>
        </w:sectPr>
      </w:pPr>
    </w:p>
    <w:p>
      <w:pPr>
        <w:pStyle w:val="BodyText"/>
        <w:spacing w:before="47"/>
        <w:ind w:left="1333"/>
      </w:pPr>
      <w:r>
        <w:rPr>
          <w:spacing w:val="-2"/>
        </w:rPr>
        <w:t>按第十三條約定給付保險金）</w:t>
      </w:r>
      <w:r>
        <w:rPr>
          <w:spacing w:val="-10"/>
        </w:rPr>
        <w:t>。</w:t>
      </w:r>
    </w:p>
    <w:p>
      <w:pPr>
        <w:pStyle w:val="BodyText"/>
        <w:spacing w:line="242" w:lineRule="auto" w:before="3"/>
        <w:ind w:left="1333" w:right="371" w:hanging="401"/>
      </w:pPr>
      <w:r>
        <w:rPr>
          <w:spacing w:val="-2"/>
        </w:rPr>
        <w:t>四、被保險人於第二保險單年度(含)以後符合「初次診斷確定罹患癌症（重度）」且申領完第十三條至第十五條保險給付之日。</w:t>
      </w:r>
    </w:p>
    <w:p>
      <w:pPr>
        <w:pStyle w:val="BodyText"/>
        <w:spacing w:line="242" w:lineRule="auto" w:before="3"/>
        <w:ind w:left="932" w:right="377"/>
      </w:pPr>
      <w:r>
        <w:rPr>
          <w:spacing w:val="-2"/>
        </w:rPr>
        <w:t>本契約因前項第一款情形而終止時，如有未到期保險費時，本公司應從當期已繳保險費扣除按日數比</w:t>
      </w:r>
      <w:r>
        <w:rPr>
          <w:spacing w:val="-2"/>
        </w:rPr>
        <w:t>例計算已經過期間之保險費後，將其未到期保險費無息退還要保人。</w:t>
      </w:r>
    </w:p>
    <w:p>
      <w:pPr>
        <w:pStyle w:val="BodyText"/>
        <w:spacing w:line="244" w:lineRule="auto" w:before="1"/>
        <w:ind w:left="932" w:right="375"/>
      </w:pPr>
      <w:r>
        <w:rPr>
          <w:spacing w:val="-2"/>
        </w:rPr>
        <w:t>本契約因第一項第四款情形而終止時，要保人於本契約所附加附約之有效期間內，得繼續繳交該附約之保險費，以延續附約之效力。</w:t>
      </w:r>
    </w:p>
    <w:p>
      <w:pPr>
        <w:pStyle w:val="BodyText"/>
        <w:spacing w:before="65"/>
        <w:ind w:left="0"/>
      </w:pPr>
    </w:p>
    <w:p>
      <w:pPr>
        <w:pStyle w:val="Heading1"/>
        <w:tabs>
          <w:tab w:pos="1136" w:val="left" w:leader="none"/>
        </w:tabs>
      </w:pPr>
      <w:r>
        <w:rPr>
          <w:spacing w:val="-2"/>
        </w:rPr>
        <w:t>第十二</w:t>
      </w:r>
      <w:r>
        <w:rPr>
          <w:spacing w:val="-10"/>
        </w:rPr>
        <w:t>條</w:t>
      </w:r>
      <w:r>
        <w:rPr/>
        <w:tab/>
        <w:t>初次罹患癌症(初期)或癌症(輕度)保險金的給</w:t>
      </w:r>
      <w:r>
        <w:rPr>
          <w:spacing w:val="-10"/>
        </w:rPr>
        <w:t>付</w:t>
      </w:r>
    </w:p>
    <w:p>
      <w:pPr>
        <w:pStyle w:val="BodyText"/>
        <w:spacing w:line="235" w:lineRule="exact"/>
        <w:ind w:left="932"/>
      </w:pPr>
      <w:r>
        <w:rPr>
          <w:spacing w:val="-3"/>
        </w:rPr>
        <w:t>被保險人於本契約有效期間內，符合「初次診斷確定罹患癌症(初期)或癌症(輕度)」者，本公司按下</w:t>
      </w:r>
    </w:p>
    <w:p>
      <w:pPr>
        <w:pStyle w:val="BodyText"/>
        <w:spacing w:before="5"/>
        <w:ind w:left="932"/>
      </w:pPr>
      <w:r>
        <w:rPr>
          <w:spacing w:val="-3"/>
        </w:rPr>
        <w:t>列約定，給付「初次罹患癌症(初期)或癌症(輕度)保險金」：</w:t>
      </w:r>
    </w:p>
    <w:p>
      <w:pPr>
        <w:pStyle w:val="BodyText"/>
        <w:spacing w:line="242" w:lineRule="auto" w:before="3"/>
        <w:ind w:left="932" w:right="2411"/>
      </w:pPr>
      <w:r>
        <w:rPr>
          <w:spacing w:val="-2"/>
        </w:rPr>
        <w:t>一、診斷確定日在第一保險單年度以內：「年繳應繳保險費」的一點零六倍。</w:t>
      </w:r>
      <w:r>
        <w:rPr>
          <w:spacing w:val="-2"/>
        </w:rPr>
        <w:t>二、診斷確定日在第二保險單年度(含)以後：「保險金額」的五倍。</w:t>
      </w:r>
    </w:p>
    <w:p>
      <w:pPr>
        <w:pStyle w:val="BodyText"/>
        <w:spacing w:before="3"/>
        <w:ind w:left="932"/>
      </w:pPr>
      <w:r>
        <w:rPr/>
        <w:drawing>
          <wp:anchor distT="0" distB="0" distL="0" distR="0" allowOverlap="1" layoutInCell="1" locked="0" behindDoc="1" simplePos="0" relativeHeight="487025152">
            <wp:simplePos x="0" y="0"/>
            <wp:positionH relativeFrom="page">
              <wp:posOffset>2872181</wp:posOffset>
            </wp:positionH>
            <wp:positionV relativeFrom="paragraph">
              <wp:posOffset>21788</wp:posOffset>
            </wp:positionV>
            <wp:extent cx="1839480" cy="4424731"/>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1839480" cy="4424731"/>
                    </a:xfrm>
                    <a:prstGeom prst="rect">
                      <a:avLst/>
                    </a:prstGeom>
                  </pic:spPr>
                </pic:pic>
              </a:graphicData>
            </a:graphic>
          </wp:anchor>
        </w:drawing>
      </w:r>
      <w:r>
        <w:rPr>
          <w:spacing w:val="-3"/>
        </w:rPr>
        <w:t>「初次罹患癌症(初期)或癌症(輕度)保險金」最多以給付一次為限。</w:t>
      </w:r>
    </w:p>
    <w:p>
      <w:pPr>
        <w:pStyle w:val="Heading1"/>
        <w:tabs>
          <w:tab w:pos="1136" w:val="left" w:leader="none"/>
        </w:tabs>
        <w:spacing w:line="348" w:lineRule="exact" w:before="197"/>
      </w:pPr>
      <w:r>
        <w:rPr>
          <w:spacing w:val="-2"/>
        </w:rPr>
        <w:t>第十三</w:t>
      </w:r>
      <w:r>
        <w:rPr>
          <w:spacing w:val="-10"/>
        </w:rPr>
        <w:t>條</w:t>
      </w:r>
      <w:r>
        <w:rPr/>
        <w:tab/>
        <w:t>初次罹患癌症(重度)保險金的給</w:t>
      </w:r>
      <w:r>
        <w:rPr>
          <w:spacing w:val="-10"/>
        </w:rPr>
        <w:t>付</w:t>
      </w:r>
    </w:p>
    <w:p>
      <w:pPr>
        <w:pStyle w:val="BodyText"/>
        <w:spacing w:line="236" w:lineRule="exact"/>
        <w:ind w:left="932"/>
      </w:pPr>
      <w:r>
        <w:rPr>
          <w:spacing w:val="-3"/>
        </w:rPr>
        <w:t>被保險人於本契約有效期間內，符合「初次診斷確定罹患癌症(重度)」者，本公司按下列約定，給付</w:t>
      </w:r>
    </w:p>
    <w:p>
      <w:pPr>
        <w:pStyle w:val="BodyText"/>
        <w:spacing w:line="242" w:lineRule="auto" w:before="3"/>
        <w:ind w:left="932" w:right="369"/>
      </w:pPr>
      <w:r>
        <w:rPr>
          <w:spacing w:val="-2"/>
        </w:rPr>
        <w:t>「初次罹患癌症(重度)保險金」，但被保險人曾得申領「初次罹患癌症(初期)或癌症(輕度)保險金」者，應扣除之：</w:t>
      </w:r>
    </w:p>
    <w:p>
      <w:pPr>
        <w:pStyle w:val="BodyText"/>
        <w:spacing w:line="242" w:lineRule="auto" w:before="3"/>
        <w:ind w:left="932" w:right="2412"/>
      </w:pPr>
      <w:r>
        <w:rPr>
          <w:spacing w:val="-2"/>
        </w:rPr>
        <w:t>一、診斷確定日在第一保險單年度以內：「年繳應繳保險費」的一點零六倍。</w:t>
      </w:r>
      <w:r>
        <w:rPr>
          <w:spacing w:val="-2"/>
        </w:rPr>
        <w:t>二、診斷確定日在第二保險單年度(含)以後：「保險金額」的十二倍。</w:t>
      </w:r>
    </w:p>
    <w:p>
      <w:pPr>
        <w:pStyle w:val="Heading1"/>
        <w:spacing w:line="170" w:lineRule="auto" w:before="14"/>
        <w:ind w:left="932" w:right="368"/>
      </w:pPr>
      <w:r>
        <w:rPr>
          <w:spacing w:val="2"/>
          <w:w w:val="99"/>
        </w:rPr>
        <w:t>被保險人如先符合「初次診斷確定罹患癌症</w:t>
      </w:r>
      <w:r>
        <w:rPr>
          <w:spacing w:val="4"/>
          <w:w w:val="99"/>
        </w:rPr>
        <w:t>（</w:t>
      </w:r>
      <w:r>
        <w:rPr>
          <w:spacing w:val="3"/>
          <w:w w:val="99"/>
        </w:rPr>
        <w:t>重度</w:t>
      </w:r>
      <w:r>
        <w:rPr>
          <w:spacing w:val="-94"/>
          <w:w w:val="99"/>
        </w:rPr>
        <w:t>）</w:t>
      </w:r>
      <w:r>
        <w:rPr>
          <w:spacing w:val="2"/>
          <w:w w:val="99"/>
        </w:rPr>
        <w:t>」後符合「初次診斷確定罹患癌症</w:t>
      </w:r>
      <w:r>
        <w:rPr>
          <w:spacing w:val="4"/>
          <w:w w:val="99"/>
        </w:rPr>
        <w:t>（</w:t>
      </w:r>
      <w:r>
        <w:rPr>
          <w:spacing w:val="3"/>
          <w:w w:val="99"/>
        </w:rPr>
        <w:t>初期</w:t>
      </w:r>
      <w:r>
        <w:rPr>
          <w:spacing w:val="14"/>
          <w:w w:val="99"/>
        </w:rPr>
        <w:t>）</w:t>
      </w:r>
      <w:r>
        <w:rPr>
          <w:spacing w:val="2"/>
          <w:w w:val="99"/>
        </w:rPr>
        <w:t>或癌症</w:t>
      </w:r>
      <w:r>
        <w:rPr>
          <w:w w:val="99"/>
        </w:rPr>
        <w:t>（</w:t>
      </w:r>
      <w:r>
        <w:rPr>
          <w:spacing w:val="1"/>
          <w:w w:val="99"/>
        </w:rPr>
        <w:t>輕度</w:t>
      </w:r>
      <w:r>
        <w:rPr>
          <w:spacing w:val="-99"/>
          <w:w w:val="99"/>
        </w:rPr>
        <w:t>）</w:t>
      </w:r>
      <w:r>
        <w:rPr>
          <w:w w:val="99"/>
        </w:rPr>
        <w:t>」或同時符合前述二者，本公司僅給付「初次罹患癌症（</w:t>
      </w:r>
      <w:r>
        <w:rPr>
          <w:spacing w:val="1"/>
          <w:w w:val="99"/>
        </w:rPr>
        <w:t>重度</w:t>
      </w:r>
      <w:r>
        <w:rPr>
          <w:w w:val="99"/>
        </w:rPr>
        <w:t>）</w:t>
      </w:r>
      <w:r>
        <w:rPr>
          <w:spacing w:val="-20"/>
          <w:w w:val="99"/>
        </w:rPr>
        <w:t>保險金」。</w:t>
      </w:r>
    </w:p>
    <w:p>
      <w:pPr>
        <w:pStyle w:val="BodyText"/>
        <w:spacing w:line="244" w:lineRule="exact"/>
        <w:ind w:left="932"/>
      </w:pPr>
      <w:r>
        <w:rPr>
          <w:spacing w:val="-3"/>
        </w:rPr>
        <w:t>「初次罹患癌症(重度)保險金」最多以給付一次為限。</w:t>
      </w:r>
    </w:p>
    <w:p>
      <w:pPr>
        <w:pStyle w:val="Heading1"/>
        <w:tabs>
          <w:tab w:pos="1136" w:val="left" w:leader="none"/>
        </w:tabs>
        <w:spacing w:before="199"/>
      </w:pPr>
      <w:r>
        <w:rPr>
          <w:spacing w:val="-2"/>
        </w:rPr>
        <w:t>第十四</w:t>
      </w:r>
      <w:r>
        <w:rPr>
          <w:spacing w:val="-10"/>
        </w:rPr>
        <w:t>條</w:t>
      </w:r>
      <w:r>
        <w:rPr/>
        <w:tab/>
        <w:t>癌症(重度)追蹤照護保險金的給付或罹癌基因檢測服務的提供(第二保險單年度起適用</w:t>
      </w:r>
      <w:r>
        <w:rPr>
          <w:spacing w:val="-10"/>
        </w:rPr>
        <w:t>)</w:t>
      </w:r>
    </w:p>
    <w:p>
      <w:pPr>
        <w:pStyle w:val="BodyText"/>
        <w:spacing w:line="235" w:lineRule="exact"/>
        <w:ind w:left="932"/>
        <w:jc w:val="both"/>
      </w:pPr>
      <w:r>
        <w:rPr>
          <w:spacing w:val="12"/>
        </w:rPr>
        <w:t>被保險人於本契約第二保險單年度(含)以後的有效期間內，符合「初次診斷確定罹患癌症（</w:t>
      </w:r>
      <w:r>
        <w:rPr>
          <w:spacing w:val="-10"/>
        </w:rPr>
        <w:t>重</w:t>
      </w:r>
    </w:p>
    <w:p>
      <w:pPr>
        <w:pStyle w:val="BodyText"/>
        <w:spacing w:line="244" w:lineRule="auto" w:before="3"/>
        <w:ind w:left="932" w:right="369"/>
        <w:jc w:val="both"/>
      </w:pPr>
      <w:r>
        <w:rPr>
          <w:spacing w:val="-2"/>
        </w:rPr>
        <w:t>度）」，自「初次診斷確定罹患癌症（重度）」診斷確定日的次一保險單週年日起，每逢各保險單週年日（含保險年齡八十五歲之保險單週年日）仍生存者，本公司按「保險金額」的十二倍，給付「癌症(重度)追蹤照護保險金」。</w:t>
      </w:r>
    </w:p>
    <w:p>
      <w:pPr>
        <w:pStyle w:val="BodyText"/>
        <w:spacing w:line="253" w:lineRule="exact"/>
        <w:ind w:left="932"/>
        <w:jc w:val="both"/>
      </w:pPr>
      <w:r>
        <w:rPr>
          <w:spacing w:val="-1"/>
        </w:rPr>
        <w:t>前項「癌症(重度)追蹤照護保險金」的給付，最長以五年為限，保險期間屆滿後本公司即不負給付</w:t>
      </w:r>
    </w:p>
    <w:p>
      <w:pPr>
        <w:pStyle w:val="BodyText"/>
        <w:spacing w:before="5"/>
        <w:ind w:left="932"/>
      </w:pPr>
      <w:r>
        <w:rPr>
          <w:spacing w:val="-3"/>
        </w:rPr>
        <w:t>「癌症(重度)追蹤照護保險金」的責任。</w:t>
      </w:r>
    </w:p>
    <w:p>
      <w:pPr>
        <w:pStyle w:val="BodyText"/>
        <w:spacing w:before="3"/>
        <w:ind w:left="932"/>
      </w:pPr>
      <w:r>
        <w:rPr>
          <w:spacing w:val="-3"/>
        </w:rPr>
        <w:t>第一項情形，被保險人得擇一申領「癌症(重度)追蹤照護保險金」或「罹癌基因檢測服務」。</w:t>
      </w:r>
    </w:p>
    <w:p>
      <w:pPr>
        <w:pStyle w:val="BodyText"/>
        <w:spacing w:line="244" w:lineRule="auto" w:before="3"/>
        <w:ind w:left="932" w:right="368"/>
        <w:jc w:val="both"/>
      </w:pPr>
      <w:r>
        <w:rPr>
          <w:spacing w:val="-2"/>
        </w:rPr>
        <w:t>被保險人如依前項約定申領「罹癌基因檢測服務」時，本公司在「罹癌基因檢測服務額度」內，由本公司合作之「罹癌基因檢測服務機構」提供被保險人指定附件一所列之罹癌基因檢測服務，並將該檢測服務之報告以紙本或其他約定之方式，提供予被保險人及其主治醫師。</w:t>
      </w:r>
    </w:p>
    <w:p>
      <w:pPr>
        <w:pStyle w:val="BodyText"/>
        <w:spacing w:line="244" w:lineRule="auto"/>
        <w:ind w:left="932" w:right="371"/>
        <w:jc w:val="both"/>
      </w:pPr>
      <w:r>
        <w:rPr>
          <w:spacing w:val="-2"/>
        </w:rPr>
        <w:t>如前項「罹癌基因檢測服務額度」低於附件一所列「罹癌基因檢測服務」之服務費用者，被保險人僅得申領「癌症(重度)追蹤照護保險金」，惟被保險人得以附件一所列服務費用之金額另行向與本公司合作之「罹癌基因檢測服務機構」購買「罹癌基因檢測服務」。</w:t>
      </w:r>
    </w:p>
    <w:p>
      <w:pPr>
        <w:pStyle w:val="Heading1"/>
        <w:tabs>
          <w:tab w:pos="1136" w:val="left" w:leader="none"/>
        </w:tabs>
        <w:spacing w:before="187"/>
      </w:pPr>
      <w:r>
        <w:rPr>
          <w:spacing w:val="-2"/>
        </w:rPr>
        <w:t>第十五</w:t>
      </w:r>
      <w:r>
        <w:rPr>
          <w:spacing w:val="-10"/>
        </w:rPr>
        <w:t>條</w:t>
      </w:r>
      <w:r>
        <w:rPr/>
        <w:tab/>
        <w:t>癌症(重度)標靶藥物治療輔助保險金的給付(第二保險單年度起適用</w:t>
      </w:r>
      <w:r>
        <w:rPr>
          <w:spacing w:val="-10"/>
        </w:rPr>
        <w:t>)</w:t>
      </w:r>
    </w:p>
    <w:p>
      <w:pPr>
        <w:pStyle w:val="BodyText"/>
        <w:spacing w:line="235" w:lineRule="exact"/>
        <w:ind w:left="932"/>
      </w:pPr>
      <w:r>
        <w:rPr>
          <w:spacing w:val="-2"/>
        </w:rPr>
        <w:t>被保險人於本契約第二保險單年度(含)以後的有效期間內，診斷確定罹患「癌症（重度）</w:t>
      </w:r>
      <w:r>
        <w:rPr>
          <w:spacing w:val="-4"/>
        </w:rPr>
        <w:t>」，且於醫</w:t>
      </w:r>
    </w:p>
    <w:p>
      <w:pPr>
        <w:pStyle w:val="BodyText"/>
        <w:spacing w:before="4"/>
        <w:ind w:left="932"/>
      </w:pPr>
      <w:r>
        <w:rPr>
          <w:spacing w:val="-1"/>
        </w:rPr>
        <w:t>院實際注射或口服「標靶治療藥物」接受「標靶治療」者，本公司按「保險金額」的十二倍，給付</w:t>
      </w:r>
    </w:p>
    <w:p>
      <w:pPr>
        <w:pStyle w:val="BodyText"/>
        <w:spacing w:before="5"/>
        <w:ind w:left="932"/>
      </w:pPr>
      <w:r>
        <w:rPr>
          <w:spacing w:val="-9"/>
        </w:rPr>
        <w:t>「癌症(重度)標靶藥物治療輔助保險金」。</w:t>
      </w:r>
    </w:p>
    <w:p>
      <w:pPr>
        <w:pStyle w:val="BodyText"/>
        <w:spacing w:before="3"/>
        <w:ind w:left="932"/>
      </w:pPr>
      <w:r>
        <w:rPr>
          <w:spacing w:val="-3"/>
        </w:rPr>
        <w:t>「癌症(重度)標靶藥物治療輔助保險金」最多以給付一次為限。</w:t>
      </w:r>
    </w:p>
    <w:p>
      <w:pPr>
        <w:pStyle w:val="Heading1"/>
        <w:tabs>
          <w:tab w:pos="1136" w:val="left" w:leader="none"/>
        </w:tabs>
        <w:spacing w:line="345" w:lineRule="exact" w:before="199"/>
      </w:pPr>
      <w:r>
        <w:rPr>
          <w:spacing w:val="-2"/>
        </w:rPr>
        <w:t>第十六</w:t>
      </w:r>
      <w:r>
        <w:rPr>
          <w:spacing w:val="-10"/>
        </w:rPr>
        <w:t>條</w:t>
      </w:r>
      <w:r>
        <w:rPr/>
        <w:tab/>
        <w:t>癌症(重度)豁免保險費(第二保險單年度起適用</w:t>
      </w:r>
      <w:r>
        <w:rPr>
          <w:spacing w:val="-10"/>
        </w:rPr>
        <w:t>)</w:t>
      </w:r>
    </w:p>
    <w:p>
      <w:pPr>
        <w:pStyle w:val="BodyText"/>
        <w:spacing w:line="234" w:lineRule="exact"/>
        <w:ind w:left="932"/>
      </w:pPr>
      <w:r>
        <w:rPr>
          <w:spacing w:val="-2"/>
        </w:rPr>
        <w:t>被保險人於本契約第二保險單年度(含)以後的有效期間內，符合「初次診斷確定罹患癌症（重度）</w:t>
      </w:r>
      <w:r>
        <w:rPr>
          <w:spacing w:val="-10"/>
        </w:rPr>
        <w:t>」</w:t>
      </w:r>
    </w:p>
    <w:p>
      <w:pPr>
        <w:pStyle w:val="BodyText"/>
        <w:spacing w:line="244" w:lineRule="auto" w:before="3"/>
        <w:ind w:left="932" w:right="377"/>
      </w:pPr>
      <w:r>
        <w:rPr>
          <w:spacing w:val="-2"/>
        </w:rPr>
        <w:t>者，本公司自診斷確定日起豁免本契約（不含其他附約、附加條款及批註條款）之續期保險費，但當</w:t>
      </w:r>
      <w:r>
        <w:rPr>
          <w:spacing w:val="-2"/>
        </w:rPr>
        <w:t>期已繳付之未到期保險費將不予退還，本契約繼續有效。</w:t>
      </w:r>
    </w:p>
    <w:p>
      <w:pPr>
        <w:pStyle w:val="BodyText"/>
        <w:spacing w:line="254" w:lineRule="exact"/>
        <w:ind w:left="932"/>
      </w:pPr>
      <w:r>
        <w:rPr>
          <w:spacing w:val="-3"/>
        </w:rPr>
        <w:t>本契約豁免續期保險費後，要保人不得終止本契約及申請減少保險金額。</w:t>
      </w:r>
    </w:p>
    <w:p>
      <w:pPr>
        <w:spacing w:after="0" w:line="254" w:lineRule="exact"/>
        <w:sectPr>
          <w:pgSz w:w="11910" w:h="16850"/>
          <w:pgMar w:header="0" w:footer="855" w:top="1360" w:bottom="1040" w:left="1000" w:right="760"/>
        </w:sectPr>
      </w:pPr>
    </w:p>
    <w:p>
      <w:pPr>
        <w:pStyle w:val="Heading1"/>
        <w:tabs>
          <w:tab w:pos="1136" w:val="left" w:leader="none"/>
        </w:tabs>
        <w:spacing w:line="327" w:lineRule="exact"/>
      </w:pPr>
      <w:r>
        <w:rPr>
          <w:spacing w:val="-2"/>
        </w:rPr>
        <w:t>第十七</w:t>
      </w:r>
      <w:r>
        <w:rPr>
          <w:spacing w:val="-10"/>
        </w:rPr>
        <w:t>條</w:t>
      </w:r>
      <w:r>
        <w:rPr/>
        <w:tab/>
      </w:r>
      <w:r>
        <w:rPr>
          <w:spacing w:val="-2"/>
        </w:rPr>
        <w:t>罹癌基因檢測服務未支領金</w:t>
      </w:r>
      <w:r>
        <w:rPr>
          <w:spacing w:val="-10"/>
        </w:rPr>
        <w:t>額</w:t>
      </w:r>
    </w:p>
    <w:p>
      <w:pPr>
        <w:pStyle w:val="BodyText"/>
        <w:spacing w:line="234" w:lineRule="exact"/>
        <w:ind w:left="932"/>
      </w:pPr>
      <w:r>
        <w:rPr>
          <w:spacing w:val="-1"/>
        </w:rPr>
        <w:t>本公司依第十四條約定提供「罹癌基因檢測服務」，如有下列情事之一者，本公司應於被保險人或</w:t>
      </w:r>
    </w:p>
    <w:p>
      <w:pPr>
        <w:pStyle w:val="BodyText"/>
        <w:spacing w:line="244" w:lineRule="auto" w:before="3"/>
        <w:ind w:left="932" w:right="377"/>
      </w:pPr>
      <w:r>
        <w:rPr>
          <w:spacing w:val="-2"/>
        </w:rPr>
        <w:t>「罹癌基因檢測服務機構」通知後結算「罹癌基因檢測服務未支領金額」，並於結算後十五日內給付</w:t>
      </w:r>
      <w:r>
        <w:rPr>
          <w:spacing w:val="-2"/>
        </w:rPr>
        <w:t>予被保險人或其他應得之人：</w:t>
      </w:r>
    </w:p>
    <w:p>
      <w:pPr>
        <w:pStyle w:val="BodyText"/>
        <w:spacing w:line="242" w:lineRule="auto"/>
        <w:ind w:left="1266" w:right="377" w:hanging="334"/>
      </w:pPr>
      <w:r>
        <w:rPr>
          <w:spacing w:val="-2"/>
        </w:rPr>
        <w:t>一、被保險人於「服務區域」以外之醫院或因以下不可歸責於本公司或「罹癌基因檢測服務機構」之</w:t>
      </w:r>
      <w:r>
        <w:rPr>
          <w:spacing w:val="-2"/>
        </w:rPr>
        <w:t>事由，致「罹癌基因檢測服務機構」無法提供服務：</w:t>
      </w:r>
    </w:p>
    <w:p>
      <w:pPr>
        <w:pStyle w:val="BodyText"/>
        <w:spacing w:before="1"/>
        <w:ind w:left="1266"/>
      </w:pPr>
      <w:r>
        <w:rPr>
          <w:spacing w:val="-2"/>
        </w:rPr>
        <w:t>（一）</w:t>
      </w:r>
      <w:r>
        <w:rPr>
          <w:spacing w:val="-3"/>
        </w:rPr>
        <w:t>被保險人或「醫院」拒絕提供檢體。</w:t>
      </w:r>
    </w:p>
    <w:p>
      <w:pPr>
        <w:pStyle w:val="BodyText"/>
        <w:spacing w:before="3"/>
        <w:ind w:left="1266"/>
      </w:pPr>
      <w:r>
        <w:rPr>
          <w:spacing w:val="-2"/>
        </w:rPr>
        <w:t>（二）</w:t>
      </w:r>
      <w:r>
        <w:rPr>
          <w:spacing w:val="-3"/>
        </w:rPr>
        <w:t>被保險人或「醫院」提供錯誤檢體。</w:t>
      </w:r>
    </w:p>
    <w:p>
      <w:pPr>
        <w:pStyle w:val="BodyText"/>
        <w:spacing w:before="3"/>
        <w:ind w:left="1266"/>
      </w:pPr>
      <w:r>
        <w:rPr>
          <w:spacing w:val="-2"/>
        </w:rPr>
        <w:t>（三）</w:t>
      </w:r>
      <w:r>
        <w:rPr>
          <w:spacing w:val="-3"/>
        </w:rPr>
        <w:t>被保險人或「醫院」無檢體可提供予「罹癌基因檢測服務機構」。</w:t>
      </w:r>
    </w:p>
    <w:p>
      <w:pPr>
        <w:pStyle w:val="BodyText"/>
        <w:spacing w:line="242" w:lineRule="auto" w:before="5"/>
        <w:ind w:left="932" w:right="1081" w:firstLine="333"/>
      </w:pPr>
      <w:r>
        <w:rPr>
          <w:spacing w:val="-2"/>
        </w:rPr>
        <w:t>（四）被保險人或「醫院」提供之檢體非屬「罹癌基因檢測服務機構」認定之有效檢體。</w:t>
      </w:r>
      <w:r>
        <w:rPr>
          <w:spacing w:val="-2"/>
        </w:rPr>
        <w:t>二、被保險人身故或終止「罹癌基因檢測服務」後如有剩餘之餘額。</w:t>
      </w:r>
    </w:p>
    <w:p>
      <w:pPr>
        <w:pStyle w:val="BodyText"/>
        <w:spacing w:before="1"/>
        <w:ind w:left="932"/>
      </w:pPr>
      <w:r>
        <w:rPr>
          <w:spacing w:val="-3"/>
        </w:rPr>
        <w:t>三、被保險人於接受「罹癌基因檢測服務」後如有剩餘之餘額。</w:t>
      </w:r>
    </w:p>
    <w:p>
      <w:pPr>
        <w:pStyle w:val="Heading1"/>
        <w:tabs>
          <w:tab w:pos="1136" w:val="left" w:leader="none"/>
        </w:tabs>
        <w:spacing w:line="345" w:lineRule="exact" w:before="182"/>
      </w:pPr>
      <w:r>
        <w:rPr/>
        <w:drawing>
          <wp:anchor distT="0" distB="0" distL="0" distR="0" allowOverlap="1" layoutInCell="1" locked="0" behindDoc="1" simplePos="0" relativeHeight="487025664">
            <wp:simplePos x="0" y="0"/>
            <wp:positionH relativeFrom="page">
              <wp:posOffset>2872181</wp:posOffset>
            </wp:positionH>
            <wp:positionV relativeFrom="paragraph">
              <wp:posOffset>271464</wp:posOffset>
            </wp:positionV>
            <wp:extent cx="1839480" cy="4424731"/>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839480" cy="4424731"/>
                    </a:xfrm>
                    <a:prstGeom prst="rect">
                      <a:avLst/>
                    </a:prstGeom>
                  </pic:spPr>
                </pic:pic>
              </a:graphicData>
            </a:graphic>
          </wp:anchor>
        </w:drawing>
      </w:r>
      <w:r>
        <w:rPr>
          <w:spacing w:val="-2"/>
        </w:rPr>
        <w:t>第十八</w:t>
      </w:r>
      <w:r>
        <w:rPr>
          <w:spacing w:val="-10"/>
        </w:rPr>
        <w:t>條</w:t>
      </w:r>
      <w:r>
        <w:rPr/>
        <w:tab/>
      </w:r>
      <w:r>
        <w:rPr>
          <w:spacing w:val="-2"/>
        </w:rPr>
        <w:t>罹癌基因檢測服務之規</w:t>
      </w:r>
      <w:r>
        <w:rPr>
          <w:spacing w:val="-10"/>
        </w:rPr>
        <w:t>格</w:t>
      </w:r>
    </w:p>
    <w:p>
      <w:pPr>
        <w:pStyle w:val="BodyText"/>
        <w:spacing w:line="234" w:lineRule="exact"/>
        <w:ind w:left="932"/>
      </w:pPr>
      <w:r>
        <w:rPr>
          <w:spacing w:val="-3"/>
        </w:rPr>
        <w:t>本公司提供「罹癌基因檢測服務」之規格應符合下列標準：</w:t>
      </w:r>
    </w:p>
    <w:p>
      <w:pPr>
        <w:pStyle w:val="BodyText"/>
        <w:spacing w:before="3"/>
        <w:ind w:left="932"/>
      </w:pPr>
      <w:r>
        <w:rPr>
          <w:spacing w:val="2"/>
        </w:rPr>
        <w:t>一、「罹癌基因檢測服務機構」之資格：具有中華民國政府之精準醫療分子檢測實驗室列冊登錄</w:t>
      </w:r>
    </w:p>
    <w:p>
      <w:pPr>
        <w:pStyle w:val="BodyText"/>
        <w:spacing w:line="242" w:lineRule="auto" w:before="6"/>
        <w:ind w:left="932" w:right="3411" w:firstLine="400"/>
      </w:pPr>
      <w:r>
        <w:rPr>
          <w:spacing w:val="-2"/>
        </w:rPr>
        <w:t>（LDTS）之實驗室認證，以提供基因檢測服務為目的之機構。</w:t>
      </w:r>
      <w:r>
        <w:rPr>
          <w:spacing w:val="-2"/>
        </w:rPr>
        <w:t>二、服務內容：應符合附件一所列之內容。</w:t>
      </w:r>
    </w:p>
    <w:p>
      <w:pPr>
        <w:pStyle w:val="Heading1"/>
        <w:tabs>
          <w:tab w:pos="1136" w:val="left" w:leader="none"/>
        </w:tabs>
        <w:spacing w:line="345" w:lineRule="exact" w:before="198"/>
      </w:pPr>
      <w:r>
        <w:rPr>
          <w:spacing w:val="-2"/>
        </w:rPr>
        <w:t>第十九</w:t>
      </w:r>
      <w:r>
        <w:rPr>
          <w:spacing w:val="-10"/>
        </w:rPr>
        <w:t>條</w:t>
      </w:r>
      <w:r>
        <w:rPr/>
        <w:tab/>
      </w:r>
      <w:r>
        <w:rPr>
          <w:spacing w:val="-2"/>
        </w:rPr>
        <w:t>異動之通</w:t>
      </w:r>
      <w:r>
        <w:rPr>
          <w:spacing w:val="-10"/>
        </w:rPr>
        <w:t>知</w:t>
      </w:r>
    </w:p>
    <w:p>
      <w:pPr>
        <w:pStyle w:val="BodyText"/>
        <w:spacing w:line="234" w:lineRule="exact"/>
        <w:ind w:left="932"/>
      </w:pPr>
      <w:r>
        <w:rPr>
          <w:spacing w:val="-3"/>
        </w:rPr>
        <w:t>本契約有效期間內本公司有變更「罹癌基因檢測服務機構」、服務內容及服務費用之權利，並應於變</w:t>
      </w:r>
    </w:p>
    <w:p>
      <w:pPr>
        <w:pStyle w:val="BodyText"/>
        <w:spacing w:before="3"/>
        <w:ind w:left="932"/>
      </w:pPr>
      <w:r>
        <w:rPr>
          <w:spacing w:val="-3"/>
        </w:rPr>
        <w:t>更之一個月前於網站公告或以其他約定方式通知要保人。</w:t>
      </w:r>
    </w:p>
    <w:p>
      <w:pPr>
        <w:pStyle w:val="BodyText"/>
        <w:spacing w:before="6"/>
        <w:ind w:left="932"/>
      </w:pPr>
      <w:r>
        <w:rPr>
          <w:spacing w:val="-3"/>
        </w:rPr>
        <w:t>本公司變更「罹癌基因檢測服務機構」或服務內容時，仍應符合前條約定之規格。</w:t>
      </w:r>
    </w:p>
    <w:p>
      <w:pPr>
        <w:pStyle w:val="Heading1"/>
        <w:tabs>
          <w:tab w:pos="1136" w:val="left" w:leader="none"/>
        </w:tabs>
        <w:spacing w:before="198"/>
      </w:pPr>
      <w:r>
        <w:rPr>
          <w:spacing w:val="-2"/>
        </w:rPr>
        <w:t>第二十</w:t>
      </w:r>
      <w:r>
        <w:rPr>
          <w:spacing w:val="-10"/>
        </w:rPr>
        <w:t>條</w:t>
      </w:r>
      <w:r>
        <w:rPr/>
        <w:tab/>
      </w:r>
      <w:r>
        <w:rPr>
          <w:spacing w:val="-2"/>
        </w:rPr>
        <w:t>補償機</w:t>
      </w:r>
      <w:r>
        <w:rPr>
          <w:spacing w:val="-10"/>
        </w:rPr>
        <w:t>制</w:t>
      </w:r>
    </w:p>
    <w:p>
      <w:pPr>
        <w:pStyle w:val="BodyText"/>
        <w:spacing w:line="235" w:lineRule="exact"/>
        <w:ind w:left="932"/>
      </w:pPr>
      <w:r>
        <w:rPr>
          <w:spacing w:val="-3"/>
        </w:rPr>
        <w:t>因可歸責於本公司或「罹癌基因檢測服務機構」之事由致本公司未依基因檢測病患同意書提供服務或</w:t>
      </w:r>
    </w:p>
    <w:p>
      <w:pPr>
        <w:pStyle w:val="BodyText"/>
        <w:spacing w:line="242" w:lineRule="auto" w:before="3"/>
        <w:ind w:left="932" w:right="369"/>
      </w:pPr>
      <w:r>
        <w:rPr>
          <w:spacing w:val="-2"/>
        </w:rPr>
        <w:t>提供不符合第十八條所約定規格之服務時，除該服務不計入「罹癌基因檢測服務額度」外，本公司另</w:t>
      </w:r>
      <w:r>
        <w:rPr>
          <w:spacing w:val="-2"/>
        </w:rPr>
        <w:t>應依附件一所列之補償金額給付補償金予被保險人。</w:t>
      </w:r>
    </w:p>
    <w:p>
      <w:pPr>
        <w:pStyle w:val="Heading1"/>
        <w:tabs>
          <w:tab w:pos="1335" w:val="left" w:leader="none"/>
        </w:tabs>
        <w:spacing w:before="199"/>
      </w:pPr>
      <w:r>
        <w:rPr>
          <w:spacing w:val="-2"/>
        </w:rPr>
        <w:t>第二十一</w:t>
      </w:r>
      <w:r>
        <w:rPr>
          <w:spacing w:val="-10"/>
        </w:rPr>
        <w:t>條</w:t>
      </w:r>
      <w:r>
        <w:rPr/>
        <w:tab/>
      </w:r>
      <w:r>
        <w:rPr>
          <w:spacing w:val="-2"/>
        </w:rPr>
        <w:t>健康促進保險費折</w:t>
      </w:r>
      <w:r>
        <w:rPr>
          <w:spacing w:val="-10"/>
        </w:rPr>
        <w:t>減</w:t>
      </w:r>
    </w:p>
    <w:p>
      <w:pPr>
        <w:pStyle w:val="BodyText"/>
        <w:spacing w:line="235" w:lineRule="exact"/>
      </w:pPr>
      <w:r>
        <w:rPr>
          <w:spacing w:val="-2"/>
        </w:rPr>
        <w:t>本契約有效期間內，實際年齡達十八歲（含）</w:t>
      </w:r>
      <w:r>
        <w:rPr>
          <w:spacing w:val="-3"/>
        </w:rPr>
        <w:t>以上之被保險人使用本公司指定之程式並加入指定之</w:t>
      </w:r>
    </w:p>
    <w:p>
      <w:pPr>
        <w:pStyle w:val="BodyText"/>
        <w:spacing w:line="242" w:lineRule="auto" w:before="6" w:after="14"/>
        <w:ind w:right="368"/>
        <w:jc w:val="both"/>
      </w:pPr>
      <w:r>
        <w:rPr>
          <w:spacing w:val="-2"/>
        </w:rPr>
        <w:t>健康計劃，於「指定日期」之會員等級符合下表所定標準之一者，本公司按該表所列折減比例，折減本契約（不含其他附約、附加條款、批註條款）次一保險單年度之保險費。但復效或豁免之保險</w:t>
      </w:r>
      <w:r>
        <w:rPr>
          <w:spacing w:val="-2"/>
        </w:rPr>
        <w:t>費，不適用前述折減約定：</w:t>
      </w:r>
    </w:p>
    <w:tbl>
      <w:tblPr>
        <w:tblW w:w="0" w:type="auto"/>
        <w:jc w:val="left"/>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3"/>
        <w:gridCol w:w="4388"/>
      </w:tblGrid>
      <w:tr>
        <w:trPr>
          <w:trHeight w:val="258" w:hRule="atLeast"/>
        </w:trPr>
        <w:tc>
          <w:tcPr>
            <w:tcW w:w="4253" w:type="dxa"/>
          </w:tcPr>
          <w:p>
            <w:pPr>
              <w:pStyle w:val="TableParagraph"/>
              <w:spacing w:line="239" w:lineRule="exact" w:before="0"/>
              <w:ind w:left="13" w:right="2"/>
              <w:rPr>
                <w:rFonts w:ascii="SimSun" w:eastAsia="SimSun"/>
                <w:sz w:val="20"/>
              </w:rPr>
            </w:pPr>
            <w:r>
              <w:rPr>
                <w:rFonts w:ascii="SimSun" w:eastAsia="SimSun"/>
                <w:spacing w:val="-4"/>
                <w:sz w:val="20"/>
              </w:rPr>
              <w:t>會員等級</w:t>
            </w:r>
          </w:p>
        </w:tc>
        <w:tc>
          <w:tcPr>
            <w:tcW w:w="4388" w:type="dxa"/>
          </w:tcPr>
          <w:p>
            <w:pPr>
              <w:pStyle w:val="TableParagraph"/>
              <w:spacing w:line="239" w:lineRule="exact" w:before="0"/>
              <w:ind w:left="9" w:right="0"/>
              <w:rPr>
                <w:rFonts w:ascii="SimSun" w:eastAsia="SimSun"/>
                <w:sz w:val="20"/>
              </w:rPr>
            </w:pPr>
            <w:r>
              <w:rPr>
                <w:rFonts w:ascii="SimSun" w:eastAsia="SimSun"/>
                <w:spacing w:val="-3"/>
                <w:sz w:val="20"/>
              </w:rPr>
              <w:t>次一保險單年度之保險費折減比例</w:t>
            </w:r>
          </w:p>
        </w:tc>
      </w:tr>
      <w:tr>
        <w:trPr>
          <w:trHeight w:val="261" w:hRule="atLeast"/>
        </w:trPr>
        <w:tc>
          <w:tcPr>
            <w:tcW w:w="4253" w:type="dxa"/>
          </w:tcPr>
          <w:p>
            <w:pPr>
              <w:pStyle w:val="TableParagraph"/>
              <w:spacing w:line="241" w:lineRule="exact" w:before="0"/>
              <w:ind w:left="13" w:right="0"/>
              <w:rPr>
                <w:rFonts w:ascii="SimSun" w:eastAsia="SimSun"/>
                <w:sz w:val="20"/>
              </w:rPr>
            </w:pPr>
            <w:r>
              <w:rPr>
                <w:rFonts w:ascii="SimSun" w:eastAsia="SimSun"/>
                <w:spacing w:val="-5"/>
                <w:sz w:val="20"/>
              </w:rPr>
              <w:t>實踐家</w:t>
            </w:r>
          </w:p>
        </w:tc>
        <w:tc>
          <w:tcPr>
            <w:tcW w:w="4388" w:type="dxa"/>
          </w:tcPr>
          <w:p>
            <w:pPr>
              <w:pStyle w:val="TableParagraph"/>
              <w:spacing w:line="241" w:lineRule="exact" w:before="0"/>
              <w:ind w:left="9" w:right="2"/>
              <w:rPr>
                <w:rFonts w:ascii="SimSun" w:eastAsia="SimSun"/>
                <w:sz w:val="20"/>
              </w:rPr>
            </w:pPr>
            <w:r>
              <w:rPr>
                <w:rFonts w:ascii="SimSun" w:eastAsia="SimSun"/>
                <w:spacing w:val="-4"/>
                <w:sz w:val="20"/>
              </w:rPr>
              <w:t>百分之二</w:t>
            </w:r>
          </w:p>
        </w:tc>
      </w:tr>
      <w:tr>
        <w:trPr>
          <w:trHeight w:val="520" w:hRule="atLeast"/>
        </w:trPr>
        <w:tc>
          <w:tcPr>
            <w:tcW w:w="4253" w:type="dxa"/>
          </w:tcPr>
          <w:p>
            <w:pPr>
              <w:pStyle w:val="TableParagraph"/>
              <w:spacing w:line="246" w:lineRule="exact" w:before="0"/>
              <w:ind w:left="13" w:right="0"/>
              <w:rPr>
                <w:rFonts w:ascii="SimSun" w:eastAsia="SimSun"/>
                <w:sz w:val="20"/>
              </w:rPr>
            </w:pPr>
            <w:r>
              <w:rPr>
                <w:rFonts w:ascii="SimSun" w:eastAsia="SimSun"/>
                <w:spacing w:val="-5"/>
                <w:sz w:val="20"/>
              </w:rPr>
              <w:t>樂享家</w:t>
            </w:r>
          </w:p>
          <w:p>
            <w:pPr>
              <w:pStyle w:val="TableParagraph"/>
              <w:spacing w:line="252" w:lineRule="exact" w:before="3"/>
              <w:ind w:left="13"/>
              <w:rPr>
                <w:rFonts w:ascii="SimSun" w:eastAsia="SimSun"/>
                <w:sz w:val="20"/>
              </w:rPr>
            </w:pPr>
            <w:r>
              <w:rPr>
                <w:rFonts w:ascii="SimSun" w:eastAsia="SimSun"/>
                <w:spacing w:val="-3"/>
                <w:sz w:val="20"/>
              </w:rPr>
              <w:t>或其他高於樂享家之會員等級</w:t>
            </w:r>
          </w:p>
        </w:tc>
        <w:tc>
          <w:tcPr>
            <w:tcW w:w="4388" w:type="dxa"/>
          </w:tcPr>
          <w:p>
            <w:pPr>
              <w:pStyle w:val="TableParagraph"/>
              <w:spacing w:before="119"/>
              <w:ind w:left="9" w:right="2"/>
              <w:rPr>
                <w:rFonts w:ascii="SimSun" w:eastAsia="SimSun"/>
                <w:sz w:val="20"/>
              </w:rPr>
            </w:pPr>
            <w:r>
              <w:rPr>
                <w:rFonts w:ascii="SimSun" w:eastAsia="SimSun"/>
                <w:spacing w:val="-4"/>
                <w:sz w:val="20"/>
              </w:rPr>
              <w:t>百分之三</w:t>
            </w:r>
          </w:p>
        </w:tc>
      </w:tr>
    </w:tbl>
    <w:p>
      <w:pPr>
        <w:pStyle w:val="BodyText"/>
        <w:spacing w:line="242" w:lineRule="auto"/>
        <w:ind w:right="376"/>
        <w:jc w:val="both"/>
      </w:pPr>
      <w:r>
        <w:rPr>
          <w:spacing w:val="-2"/>
        </w:rPr>
        <w:t>被保險人應於完成本公司指定程式之註冊程序後，執行該程式及授權本公司取得被保險人裝置或程</w:t>
      </w:r>
      <w:r>
        <w:rPr>
          <w:spacing w:val="-2"/>
        </w:rPr>
        <w:t>式內與健康促進相關之電子紀錄，本公司將依該成功傳輸之電子紀錄，按本公司所訂之辦法計算被保險人之會員等級。</w:t>
      </w:r>
    </w:p>
    <w:p>
      <w:pPr>
        <w:pStyle w:val="Heading1"/>
        <w:tabs>
          <w:tab w:pos="1335" w:val="left" w:leader="none"/>
        </w:tabs>
        <w:spacing w:before="188"/>
      </w:pPr>
      <w:r>
        <w:rPr>
          <w:spacing w:val="-2"/>
        </w:rPr>
        <w:t>第二十二</w:t>
      </w:r>
      <w:r>
        <w:rPr>
          <w:spacing w:val="-10"/>
        </w:rPr>
        <w:t>條</w:t>
      </w:r>
      <w:r>
        <w:rPr/>
        <w:tab/>
      </w:r>
      <w:r>
        <w:rPr>
          <w:spacing w:val="-2"/>
        </w:rPr>
        <w:t>保險事故的通知與保險給付的申請時</w:t>
      </w:r>
      <w:r>
        <w:rPr>
          <w:spacing w:val="-10"/>
        </w:rPr>
        <w:t>間</w:t>
      </w:r>
    </w:p>
    <w:p>
      <w:pPr>
        <w:pStyle w:val="BodyText"/>
        <w:spacing w:line="235" w:lineRule="exact"/>
      </w:pPr>
      <w:r>
        <w:rPr>
          <w:spacing w:val="-3"/>
        </w:rPr>
        <w:t>要保人、被保險人或受益人應於知悉本公司應負保險責任之事故後十日內通知本公司，並於通知後</w:t>
      </w:r>
    </w:p>
    <w:p>
      <w:pPr>
        <w:pStyle w:val="BodyText"/>
        <w:spacing w:before="5"/>
      </w:pPr>
      <w:r>
        <w:rPr>
          <w:spacing w:val="-3"/>
        </w:rPr>
        <w:t>儘速檢具所需文件向本公司申請保險給付。</w:t>
      </w:r>
    </w:p>
    <w:p>
      <w:pPr>
        <w:pStyle w:val="BodyText"/>
        <w:spacing w:line="242" w:lineRule="auto" w:before="3"/>
        <w:ind w:right="368"/>
        <w:jc w:val="both"/>
      </w:pPr>
      <w:r>
        <w:rPr>
          <w:spacing w:val="-2"/>
        </w:rPr>
        <w:t>本公司之保險給付，除「罹癌基因檢測服務」外，應於收齊前項文件後十五日內給付之；「罹癌基</w:t>
      </w:r>
      <w:r>
        <w:rPr>
          <w:spacing w:val="-2"/>
        </w:rPr>
        <w:t>因檢測服務」之給付則應於「罹癌基因檢測服務機構」收到被保險人經「罹癌基因檢測服務機構」認可之有效檢體後30日內提供之。但因可歸責於本公司或「罹癌基因檢測服務機構」之事由致未在前述約定期限內為給付者，應以本公司應給付之保險金或罹癌基因檢測服務之金額，按年利一分加計利息給付。</w:t>
      </w:r>
    </w:p>
    <w:p>
      <w:pPr>
        <w:pStyle w:val="Heading1"/>
        <w:tabs>
          <w:tab w:pos="1335" w:val="left" w:leader="none"/>
        </w:tabs>
        <w:spacing w:before="197"/>
      </w:pPr>
      <w:r>
        <w:rPr>
          <w:spacing w:val="-2"/>
        </w:rPr>
        <w:t>第二十三</w:t>
      </w:r>
      <w:r>
        <w:rPr>
          <w:spacing w:val="-10"/>
        </w:rPr>
        <w:t>條</w:t>
      </w:r>
      <w:r>
        <w:rPr/>
        <w:tab/>
      </w:r>
      <w:r>
        <w:rPr>
          <w:spacing w:val="-2"/>
        </w:rPr>
        <w:t>癌症保險金或罹癌基因檢測服務的申</w:t>
      </w:r>
      <w:r>
        <w:rPr>
          <w:spacing w:val="-10"/>
        </w:rPr>
        <w:t>領</w:t>
      </w:r>
    </w:p>
    <w:p>
      <w:pPr>
        <w:pStyle w:val="BodyText"/>
        <w:spacing w:line="235" w:lineRule="exact"/>
      </w:pPr>
      <w:r>
        <w:rPr>
          <w:spacing w:val="-3"/>
        </w:rPr>
        <w:t>受益人申領「初次罹患癌症(初期)或癌症(輕度)保險金」、「初次罹患癌症(重度)保險金」、「癌</w:t>
      </w:r>
    </w:p>
    <w:p>
      <w:pPr>
        <w:spacing w:after="0" w:line="235" w:lineRule="exact"/>
        <w:sectPr>
          <w:pgSz w:w="11910" w:h="16850"/>
          <w:pgMar w:header="0" w:footer="855" w:top="1360" w:bottom="1040" w:left="1000" w:right="760"/>
        </w:sectPr>
      </w:pPr>
    </w:p>
    <w:p>
      <w:pPr>
        <w:pStyle w:val="BodyText"/>
        <w:spacing w:line="242" w:lineRule="auto" w:before="44"/>
        <w:ind w:right="366"/>
        <w:jc w:val="both"/>
      </w:pPr>
      <w:r>
        <w:rPr>
          <w:spacing w:val="-2"/>
        </w:rPr>
        <w:t>症(重度)標靶藥物治療補助保險金」、「癌症(重度)追蹤照護保險金或罹癌基因檢測服務」或「癌症(重度)豁免保險費」時，應檢具下列文件（但要保人或被保險人為醫師時，不得為被保險人出具診斷證明文件）：</w:t>
      </w:r>
    </w:p>
    <w:p>
      <w:pPr>
        <w:pStyle w:val="BodyText"/>
        <w:spacing w:line="242" w:lineRule="auto" w:before="7"/>
        <w:ind w:right="7011"/>
      </w:pPr>
      <w:r>
        <w:rPr>
          <w:spacing w:val="-2"/>
        </w:rPr>
        <w:t>一、保險單或其謄本。</w:t>
      </w:r>
      <w:r>
        <w:rPr>
          <w:spacing w:val="-2"/>
        </w:rPr>
        <w:t>二、保險金申請書。</w:t>
      </w:r>
    </w:p>
    <w:p>
      <w:pPr>
        <w:pStyle w:val="BodyText"/>
        <w:spacing w:line="244" w:lineRule="auto" w:before="1"/>
        <w:ind w:left="1532" w:right="368" w:hanging="399"/>
        <w:jc w:val="both"/>
      </w:pPr>
      <w:r>
        <w:rPr>
          <w:spacing w:val="2"/>
          <w:w w:val="99"/>
        </w:rPr>
        <w:t>三、癌症診斷證明文件及病理切片檢查、血液學或其他相關檢驗報告(申領第十五條之「癌症(重度)標靶藥物治療輔助保險金」者，於診斷證明書應載明實際注射或口服標靶治療藥物之名稱</w:t>
      </w:r>
      <w:r>
        <w:rPr>
          <w:w w:val="99"/>
        </w:rPr>
        <w:t>及日期，若診斷證明書未載明實際注射或口服標靶治療藥物之名稱及日期時，應另提供載明實</w:t>
      </w:r>
      <w:r>
        <w:rPr>
          <w:spacing w:val="2"/>
          <w:w w:val="99"/>
        </w:rPr>
        <w:t>際注射或口服標靶治療藥物日期之當次就診病歷</w:t>
      </w:r>
      <w:r>
        <w:rPr>
          <w:spacing w:val="10"/>
          <w:w w:val="99"/>
        </w:rPr>
        <w:t>）</w:t>
      </w:r>
      <w:r>
        <w:rPr>
          <w:w w:val="99"/>
        </w:rPr>
        <w:t>(申領「癌症(重度)追蹤照護保險金或罹癌基因檢測服務」時，無須檢具本款文件)。</w:t>
      </w:r>
    </w:p>
    <w:p>
      <w:pPr>
        <w:pStyle w:val="BodyText"/>
        <w:spacing w:line="250" w:lineRule="exact"/>
      </w:pPr>
      <w:r>
        <w:rPr>
          <w:spacing w:val="-3"/>
        </w:rPr>
        <w:t>四、受益人的身分證明。</w:t>
      </w:r>
    </w:p>
    <w:p>
      <w:pPr>
        <w:pStyle w:val="BodyText"/>
        <w:spacing w:line="244" w:lineRule="auto" w:before="3"/>
        <w:ind w:right="371"/>
        <w:jc w:val="both"/>
      </w:pPr>
      <w:r>
        <w:rPr/>
        <w:drawing>
          <wp:anchor distT="0" distB="0" distL="0" distR="0" allowOverlap="1" layoutInCell="1" locked="0" behindDoc="1" simplePos="0" relativeHeight="487026176">
            <wp:simplePos x="0" y="0"/>
            <wp:positionH relativeFrom="page">
              <wp:posOffset>2872181</wp:posOffset>
            </wp:positionH>
            <wp:positionV relativeFrom="paragraph">
              <wp:posOffset>434365</wp:posOffset>
            </wp:positionV>
            <wp:extent cx="1839480" cy="4424731"/>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1839480" cy="4424731"/>
                    </a:xfrm>
                    <a:prstGeom prst="rect">
                      <a:avLst/>
                    </a:prstGeom>
                  </pic:spPr>
                </pic:pic>
              </a:graphicData>
            </a:graphic>
          </wp:anchor>
        </w:drawing>
      </w:r>
      <w:r>
        <w:rPr>
          <w:spacing w:val="-2"/>
        </w:rPr>
        <w:t>受益人申領保險金時，本公司基於審核保險金之需要，得徵詢其他醫師之醫學專業意見，並得經受益人同意調閱被保險人之就醫相關資料，其費用由本公司負擔。但不因此延展本公司依第二十二條</w:t>
      </w:r>
      <w:r>
        <w:rPr>
          <w:spacing w:val="-2"/>
        </w:rPr>
        <w:t>第二項約定應給付之期限。</w:t>
      </w:r>
    </w:p>
    <w:p>
      <w:pPr>
        <w:pStyle w:val="Heading1"/>
        <w:tabs>
          <w:tab w:pos="1335" w:val="left" w:leader="none"/>
        </w:tabs>
        <w:spacing w:line="345" w:lineRule="exact" w:before="192"/>
      </w:pPr>
      <w:r>
        <w:rPr>
          <w:spacing w:val="-2"/>
        </w:rPr>
        <w:t>第二十四</w:t>
      </w:r>
      <w:r>
        <w:rPr>
          <w:spacing w:val="-10"/>
        </w:rPr>
        <w:t>條</w:t>
      </w:r>
      <w:r>
        <w:rPr/>
        <w:tab/>
      </w:r>
      <w:r>
        <w:rPr>
          <w:spacing w:val="-2"/>
        </w:rPr>
        <w:t>罹癌基因檢測服務未支領金額的申</w:t>
      </w:r>
      <w:r>
        <w:rPr>
          <w:spacing w:val="-10"/>
        </w:rPr>
        <w:t>領</w:t>
      </w:r>
    </w:p>
    <w:p>
      <w:pPr>
        <w:pStyle w:val="BodyText"/>
        <w:spacing w:line="234" w:lineRule="exact"/>
      </w:pPr>
      <w:r>
        <w:rPr>
          <w:spacing w:val="-3"/>
        </w:rPr>
        <w:t>受益人或其他應得之人申領「罹癌基因檢測服務未支領金額」時，應檢具下列文件：</w:t>
      </w:r>
    </w:p>
    <w:p>
      <w:pPr>
        <w:pStyle w:val="BodyText"/>
        <w:spacing w:before="3"/>
      </w:pPr>
      <w:r>
        <w:rPr>
          <w:spacing w:val="-4"/>
        </w:rPr>
        <w:t>一、申請書。</w:t>
      </w:r>
    </w:p>
    <w:p>
      <w:pPr>
        <w:pStyle w:val="BodyText"/>
        <w:spacing w:before="5"/>
      </w:pPr>
      <w:r>
        <w:rPr>
          <w:spacing w:val="-3"/>
        </w:rPr>
        <w:t>二、受益人或其他應得之人的身分證明。</w:t>
      </w:r>
    </w:p>
    <w:p>
      <w:pPr>
        <w:pStyle w:val="BodyText"/>
        <w:spacing w:line="242" w:lineRule="auto" w:before="3"/>
        <w:ind w:left="1532" w:right="370" w:hanging="399"/>
      </w:pPr>
      <w:r>
        <w:rPr>
          <w:spacing w:val="-2"/>
        </w:rPr>
        <w:t>三、因被保險人身故而申領「罹癌基因檢測服務未支領金額」者，應檢附被保險人死亡證明書及除戶戶籍謄本。</w:t>
      </w:r>
    </w:p>
    <w:p>
      <w:pPr>
        <w:pStyle w:val="Heading1"/>
        <w:tabs>
          <w:tab w:pos="1335" w:val="left" w:leader="none"/>
        </w:tabs>
        <w:spacing w:line="348" w:lineRule="exact" w:before="196"/>
      </w:pPr>
      <w:r>
        <w:rPr>
          <w:spacing w:val="-2"/>
        </w:rPr>
        <w:t>第二十五</w:t>
      </w:r>
      <w:r>
        <w:rPr>
          <w:spacing w:val="-10"/>
        </w:rPr>
        <w:t>條</w:t>
      </w:r>
      <w:r>
        <w:rPr/>
        <w:tab/>
      </w:r>
      <w:r>
        <w:rPr>
          <w:spacing w:val="-2"/>
        </w:rPr>
        <w:t>欠繳保險費扣</w:t>
      </w:r>
      <w:r>
        <w:rPr>
          <w:spacing w:val="-10"/>
        </w:rPr>
        <w:t>除</w:t>
      </w:r>
    </w:p>
    <w:p>
      <w:pPr>
        <w:pStyle w:val="BodyText"/>
        <w:spacing w:line="236" w:lineRule="exact"/>
      </w:pPr>
      <w:r>
        <w:rPr>
          <w:spacing w:val="-3"/>
        </w:rPr>
        <w:t>本公司給付各項保險金、「罹癌基因檢測服務未支領金額」時，如要保人有欠繳保險費者，本公司</w:t>
      </w:r>
    </w:p>
    <w:p>
      <w:pPr>
        <w:pStyle w:val="BodyText"/>
        <w:spacing w:before="6"/>
      </w:pPr>
      <w:r>
        <w:rPr>
          <w:spacing w:val="-3"/>
        </w:rPr>
        <w:t>得先抵銷上述欠繳保險費後給付其餘額。</w:t>
      </w:r>
    </w:p>
    <w:p>
      <w:pPr>
        <w:pStyle w:val="Heading1"/>
        <w:tabs>
          <w:tab w:pos="1335" w:val="left" w:leader="none"/>
        </w:tabs>
        <w:spacing w:line="348" w:lineRule="exact" w:before="196"/>
      </w:pPr>
      <w:r>
        <w:rPr>
          <w:spacing w:val="-2"/>
        </w:rPr>
        <w:t>第二十六</w:t>
      </w:r>
      <w:r>
        <w:rPr>
          <w:spacing w:val="-10"/>
        </w:rPr>
        <w:t>條</w:t>
      </w:r>
      <w:r>
        <w:rPr/>
        <w:tab/>
      </w:r>
      <w:r>
        <w:rPr>
          <w:spacing w:val="-2"/>
        </w:rPr>
        <w:t>保險金額之減</w:t>
      </w:r>
      <w:r>
        <w:rPr>
          <w:spacing w:val="-10"/>
        </w:rPr>
        <w:t>少</w:t>
      </w:r>
    </w:p>
    <w:p>
      <w:pPr>
        <w:pStyle w:val="BodyText"/>
        <w:spacing w:line="236" w:lineRule="exact"/>
      </w:pPr>
      <w:r>
        <w:rPr>
          <w:spacing w:val="-3"/>
        </w:rPr>
        <w:t>要保人在本契約有效期間內，得申請減少保險金額，但是減額後的保險金額，不得低於本保險最低</w:t>
      </w:r>
    </w:p>
    <w:p>
      <w:pPr>
        <w:pStyle w:val="BodyText"/>
        <w:spacing w:before="3"/>
      </w:pPr>
      <w:r>
        <w:rPr>
          <w:spacing w:val="-3"/>
        </w:rPr>
        <w:t>承保金額，其減少部分依第九條第三項契約終止之約定處理。</w:t>
      </w:r>
    </w:p>
    <w:p>
      <w:pPr>
        <w:pStyle w:val="Heading1"/>
        <w:tabs>
          <w:tab w:pos="1335" w:val="left" w:leader="none"/>
        </w:tabs>
        <w:spacing w:before="196"/>
      </w:pPr>
      <w:r>
        <w:rPr>
          <w:spacing w:val="-2"/>
        </w:rPr>
        <w:t>第二十七</w:t>
      </w:r>
      <w:r>
        <w:rPr>
          <w:spacing w:val="-10"/>
        </w:rPr>
        <w:t>條</w:t>
      </w:r>
      <w:r>
        <w:rPr/>
        <w:tab/>
      </w:r>
      <w:r>
        <w:rPr>
          <w:spacing w:val="-2"/>
        </w:rPr>
        <w:t>投保年齡的計算及錯誤的處</w:t>
      </w:r>
      <w:r>
        <w:rPr>
          <w:spacing w:val="-10"/>
        </w:rPr>
        <w:t>理</w:t>
      </w:r>
    </w:p>
    <w:p>
      <w:pPr>
        <w:pStyle w:val="BodyText"/>
        <w:spacing w:line="235" w:lineRule="exact"/>
      </w:pPr>
      <w:r>
        <w:rPr>
          <w:spacing w:val="-1"/>
        </w:rPr>
        <w:t>要保人在申請投保時，應將被保險人出生年月日在要保書填明。被保險人的投保年齡，以足歲計</w:t>
      </w:r>
    </w:p>
    <w:p>
      <w:pPr>
        <w:pStyle w:val="BodyText"/>
        <w:spacing w:line="244" w:lineRule="auto" w:before="3"/>
        <w:ind w:left="1143" w:right="4401" w:hanging="10"/>
      </w:pPr>
      <w:r>
        <w:rPr>
          <w:spacing w:val="-2"/>
        </w:rPr>
        <w:t>算，但未滿一歲的零數超過六個月者，加算一歲。</w:t>
      </w:r>
      <w:r>
        <w:rPr>
          <w:spacing w:val="40"/>
        </w:rPr>
        <w:t> </w:t>
      </w:r>
      <w:r>
        <w:rPr>
          <w:spacing w:val="-2"/>
        </w:rPr>
        <w:t>被保險人的投保年齡發生錯誤時，依下列規定辦理：</w:t>
      </w:r>
    </w:p>
    <w:p>
      <w:pPr>
        <w:pStyle w:val="BodyText"/>
        <w:spacing w:line="242" w:lineRule="auto"/>
        <w:ind w:left="1544" w:right="376" w:hanging="401"/>
      </w:pPr>
      <w:r>
        <w:rPr>
          <w:spacing w:val="-2"/>
        </w:rPr>
        <w:t>一、真實投保年齡較本公司保險費率表所載最高年齡為大者，本契約無效，其已繳保險費無息退還</w:t>
      </w:r>
      <w:r>
        <w:rPr>
          <w:spacing w:val="-4"/>
        </w:rPr>
        <w:t>要保人。</w:t>
      </w:r>
    </w:p>
    <w:p>
      <w:pPr>
        <w:pStyle w:val="BodyText"/>
        <w:spacing w:line="242" w:lineRule="auto" w:before="1"/>
        <w:ind w:left="1544" w:right="376" w:hanging="401"/>
        <w:jc w:val="both"/>
      </w:pPr>
      <w:r>
        <w:rPr>
          <w:spacing w:val="-2"/>
          <w:w w:val="99"/>
        </w:rPr>
        <w:t>二、因投保年齡的錯誤，而致溢繳保險費者，本公司無息退還溢繳部分的保險費。但在發生保險事</w:t>
      </w:r>
      <w:r>
        <w:rPr>
          <w:spacing w:val="2"/>
          <w:w w:val="99"/>
        </w:rPr>
        <w:t>故後始發覺且其錯誤發生在本公司者，本公司按原繳保險費與應繳保險費的比例提高保險金</w:t>
      </w:r>
      <w:r>
        <w:rPr>
          <w:w w:val="99"/>
        </w:rPr>
        <w:t>額，而不退還溢繳部分的保險費。</w:t>
      </w:r>
    </w:p>
    <w:p>
      <w:pPr>
        <w:pStyle w:val="BodyText"/>
        <w:spacing w:line="242" w:lineRule="auto" w:before="4"/>
        <w:ind w:left="1566" w:right="369" w:hanging="399"/>
        <w:jc w:val="both"/>
      </w:pPr>
      <w:r>
        <w:rPr>
          <w:spacing w:val="-2"/>
        </w:rPr>
        <w:t>三、因投保年齡的錯誤，而致短繳保險費者，要保人得補繳短繳的保險費或按照所付的保險費與被</w:t>
      </w:r>
      <w:r>
        <w:rPr>
          <w:spacing w:val="-2"/>
        </w:rPr>
        <w:t>保險人的真實年齡比例減少保險金額。但在發生保險事故後始發覺且其錯誤不可歸責於本公司者，要保人不得要求補繳短繳的保險費。</w:t>
      </w:r>
    </w:p>
    <w:p>
      <w:pPr>
        <w:pStyle w:val="BodyText"/>
        <w:spacing w:line="223" w:lineRule="auto" w:before="18"/>
        <w:ind w:right="369"/>
      </w:pPr>
      <w:r>
        <w:rPr>
          <w:spacing w:val="-2"/>
        </w:rPr>
        <w:t>前項第一款</w:t>
      </w:r>
      <w:r>
        <w:rPr>
          <w:rFonts w:ascii="MingLiU-ExtB" w:eastAsia="MingLiU-ExtB"/>
          <w:spacing w:val="-2"/>
        </w:rPr>
        <w:t>、</w:t>
      </w:r>
      <w:r>
        <w:rPr>
          <w:spacing w:val="-2"/>
        </w:rPr>
        <w:t>第二款前段情形，其錯誤原因歸責於本公司者，應加計利息退還保險費，其利息按民</w:t>
      </w:r>
      <w:r>
        <w:rPr>
          <w:spacing w:val="-2"/>
        </w:rPr>
        <w:t>法第二百零三條法定週年利率計算。</w:t>
      </w:r>
    </w:p>
    <w:p>
      <w:pPr>
        <w:pStyle w:val="Heading1"/>
        <w:tabs>
          <w:tab w:pos="1335" w:val="left" w:leader="none"/>
        </w:tabs>
        <w:spacing w:before="204"/>
      </w:pPr>
      <w:r>
        <w:rPr>
          <w:spacing w:val="-2"/>
        </w:rPr>
        <w:t>第二十八</w:t>
      </w:r>
      <w:r>
        <w:rPr>
          <w:spacing w:val="-10"/>
        </w:rPr>
        <w:t>條</w:t>
      </w:r>
      <w:r>
        <w:rPr/>
        <w:tab/>
      </w:r>
      <w:r>
        <w:rPr>
          <w:spacing w:val="-2"/>
        </w:rPr>
        <w:t>受益</w:t>
      </w:r>
      <w:r>
        <w:rPr>
          <w:spacing w:val="-10"/>
        </w:rPr>
        <w:t>人</w:t>
      </w:r>
    </w:p>
    <w:p>
      <w:pPr>
        <w:pStyle w:val="BodyText"/>
        <w:spacing w:line="235" w:lineRule="exact"/>
      </w:pPr>
      <w:r>
        <w:rPr>
          <w:spacing w:val="-3"/>
        </w:rPr>
        <w:t>本契約各項保險金之受益人為被保險人本人，本公司不受理其指定或變更。</w:t>
      </w:r>
    </w:p>
    <w:p>
      <w:pPr>
        <w:pStyle w:val="BodyText"/>
        <w:spacing w:line="244" w:lineRule="auto" w:before="3"/>
        <w:ind w:right="376"/>
      </w:pPr>
      <w:r>
        <w:rPr>
          <w:spacing w:val="-2"/>
        </w:rPr>
        <w:t>被保險人身故時，如本契約保險金尚未給付或未完全給付，則以被保險人身故時之法定繼承人為該</w:t>
      </w:r>
      <w:r>
        <w:rPr>
          <w:spacing w:val="-2"/>
        </w:rPr>
        <w:t>部分保險金之受益人。</w:t>
      </w:r>
    </w:p>
    <w:p>
      <w:pPr>
        <w:pStyle w:val="BodyText"/>
        <w:spacing w:line="254" w:lineRule="exact"/>
      </w:pPr>
      <w:r>
        <w:rPr>
          <w:spacing w:val="-3"/>
        </w:rPr>
        <w:t>本契約受益人為法定繼承人時，其受益順序及應得比例適用民法繼承編之相關規定。</w:t>
      </w:r>
    </w:p>
    <w:p>
      <w:pPr>
        <w:pStyle w:val="Heading1"/>
        <w:tabs>
          <w:tab w:pos="1335" w:val="left" w:leader="none"/>
        </w:tabs>
        <w:spacing w:before="198"/>
      </w:pPr>
      <w:r>
        <w:rPr>
          <w:spacing w:val="-2"/>
        </w:rPr>
        <w:t>第二十九</w:t>
      </w:r>
      <w:r>
        <w:rPr>
          <w:spacing w:val="-10"/>
        </w:rPr>
        <w:t>條</w:t>
      </w:r>
      <w:r>
        <w:rPr/>
        <w:tab/>
      </w:r>
      <w:r>
        <w:rPr>
          <w:spacing w:val="-2"/>
        </w:rPr>
        <w:t>變更住</w:t>
      </w:r>
      <w:r>
        <w:rPr>
          <w:spacing w:val="-10"/>
        </w:rPr>
        <w:t>所</w:t>
      </w:r>
    </w:p>
    <w:p>
      <w:pPr>
        <w:pStyle w:val="BodyText"/>
        <w:spacing w:line="235" w:lineRule="exact"/>
      </w:pPr>
      <w:r>
        <w:rPr>
          <w:spacing w:val="-3"/>
        </w:rPr>
        <w:t>要保人的住所有變更時，應即以書面或其他約定方式通知本公司。</w:t>
      </w:r>
    </w:p>
    <w:p>
      <w:pPr>
        <w:spacing w:after="0" w:line="235" w:lineRule="exact"/>
        <w:sectPr>
          <w:pgSz w:w="11910" w:h="16850"/>
          <w:pgMar w:header="0" w:footer="855" w:top="1360" w:bottom="1040" w:left="1000" w:right="760"/>
        </w:sectPr>
      </w:pPr>
    </w:p>
    <w:p>
      <w:pPr>
        <w:pStyle w:val="BodyText"/>
        <w:spacing w:before="47"/>
      </w:pPr>
      <w:r>
        <w:rPr>
          <w:spacing w:val="-3"/>
        </w:rPr>
        <w:t>要保人不為前項通知者，本公司之各項通知，得以本契約所載要保人之最後住所發送之。</w:t>
      </w:r>
    </w:p>
    <w:p>
      <w:pPr>
        <w:pStyle w:val="Heading1"/>
        <w:tabs>
          <w:tab w:pos="1136" w:val="left" w:leader="none"/>
        </w:tabs>
        <w:spacing w:before="196"/>
      </w:pPr>
      <w:r>
        <w:rPr>
          <w:spacing w:val="-2"/>
        </w:rPr>
        <w:t>第三十</w:t>
      </w:r>
      <w:r>
        <w:rPr>
          <w:spacing w:val="-10"/>
        </w:rPr>
        <w:t>條</w:t>
      </w:r>
      <w:r>
        <w:rPr/>
        <w:tab/>
      </w:r>
      <w:r>
        <w:rPr>
          <w:spacing w:val="-2"/>
        </w:rPr>
        <w:t>時</w:t>
      </w:r>
      <w:r>
        <w:rPr>
          <w:spacing w:val="-10"/>
        </w:rPr>
        <w:t>效</w:t>
      </w:r>
    </w:p>
    <w:p>
      <w:pPr>
        <w:pStyle w:val="BodyText"/>
        <w:spacing w:line="235" w:lineRule="exact"/>
        <w:ind w:left="932"/>
      </w:pPr>
      <w:r>
        <w:rPr>
          <w:spacing w:val="-3"/>
        </w:rPr>
        <w:t>由本契約所生的權利，自得為請求之日起，經過兩年不行使而消滅。</w:t>
      </w:r>
    </w:p>
    <w:p>
      <w:pPr>
        <w:pStyle w:val="Heading1"/>
        <w:tabs>
          <w:tab w:pos="1335" w:val="left" w:leader="none"/>
        </w:tabs>
        <w:spacing w:line="348" w:lineRule="exact" w:before="199"/>
      </w:pPr>
      <w:r>
        <w:rPr>
          <w:spacing w:val="-2"/>
        </w:rPr>
        <w:t>第三十一</w:t>
      </w:r>
      <w:r>
        <w:rPr>
          <w:spacing w:val="-10"/>
        </w:rPr>
        <w:t>條</w:t>
      </w:r>
      <w:r>
        <w:rPr/>
        <w:tab/>
      </w:r>
      <w:r>
        <w:rPr>
          <w:spacing w:val="-2"/>
        </w:rPr>
        <w:t>批</w:t>
      </w:r>
      <w:r>
        <w:rPr>
          <w:spacing w:val="-10"/>
        </w:rPr>
        <w:t>註</w:t>
      </w:r>
    </w:p>
    <w:p>
      <w:pPr>
        <w:pStyle w:val="BodyText"/>
        <w:spacing w:line="236" w:lineRule="exact"/>
      </w:pPr>
      <w:r>
        <w:rPr>
          <w:spacing w:val="-3"/>
        </w:rPr>
        <w:t>本契約內容的變更，或記載事項的增刪，應經要保人與本公司雙方書面或其他約定方式同意，並由</w:t>
      </w:r>
    </w:p>
    <w:p>
      <w:pPr>
        <w:pStyle w:val="BodyText"/>
        <w:spacing w:before="3"/>
      </w:pPr>
      <w:r>
        <w:rPr>
          <w:spacing w:val="-3"/>
        </w:rPr>
        <w:t>本公司即予批註或發給批註書。</w:t>
      </w:r>
    </w:p>
    <w:p>
      <w:pPr>
        <w:pStyle w:val="Heading1"/>
        <w:tabs>
          <w:tab w:pos="1335" w:val="left" w:leader="none"/>
        </w:tabs>
        <w:spacing w:before="198"/>
      </w:pPr>
      <w:r>
        <w:rPr>
          <w:spacing w:val="-2"/>
        </w:rPr>
        <w:t>第三十二</w:t>
      </w:r>
      <w:r>
        <w:rPr>
          <w:spacing w:val="-10"/>
        </w:rPr>
        <w:t>條</w:t>
      </w:r>
      <w:r>
        <w:rPr/>
        <w:tab/>
      </w:r>
      <w:r>
        <w:rPr>
          <w:spacing w:val="-2"/>
        </w:rPr>
        <w:t>管轄法</w:t>
      </w:r>
      <w:r>
        <w:rPr>
          <w:spacing w:val="-10"/>
        </w:rPr>
        <w:t>院</w:t>
      </w:r>
    </w:p>
    <w:p>
      <w:pPr>
        <w:pStyle w:val="BodyText"/>
        <w:spacing w:line="235" w:lineRule="exact"/>
      </w:pPr>
      <w:r>
        <w:rPr>
          <w:spacing w:val="-3"/>
        </w:rPr>
        <w:t>因本契約涉訟者，同意以要保人住所地地方法院為第一審管轄法院，要保人的住所在中華民國境外</w:t>
      </w:r>
    </w:p>
    <w:p>
      <w:pPr>
        <w:pStyle w:val="BodyText"/>
        <w:spacing w:line="244" w:lineRule="auto" w:before="3"/>
        <w:ind w:right="376"/>
      </w:pPr>
      <w:r>
        <w:rPr/>
        <w:drawing>
          <wp:anchor distT="0" distB="0" distL="0" distR="0" allowOverlap="1" layoutInCell="1" locked="0" behindDoc="1" simplePos="0" relativeHeight="487026688">
            <wp:simplePos x="0" y="0"/>
            <wp:positionH relativeFrom="page">
              <wp:posOffset>2872181</wp:posOffset>
            </wp:positionH>
            <wp:positionV relativeFrom="paragraph">
              <wp:posOffset>434882</wp:posOffset>
            </wp:positionV>
            <wp:extent cx="1839480" cy="4424731"/>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1839480" cy="4424731"/>
                    </a:xfrm>
                    <a:prstGeom prst="rect">
                      <a:avLst/>
                    </a:prstGeom>
                  </pic:spPr>
                </pic:pic>
              </a:graphicData>
            </a:graphic>
          </wp:anchor>
        </w:drawing>
      </w:r>
      <w:r>
        <w:rPr>
          <w:spacing w:val="-2"/>
        </w:rPr>
        <w:t>時，以本公司總公司所在地之地方法院為第一審管轄法院。但不得排除消費者保護法第四十七條及</w:t>
      </w:r>
      <w:r>
        <w:rPr>
          <w:spacing w:val="-2"/>
        </w:rPr>
        <w:t>民事訴訟法第四百三十六條之九小額訴訟管轄法院之適用。</w:t>
      </w:r>
    </w:p>
    <w:p>
      <w:pPr>
        <w:spacing w:after="0" w:line="244" w:lineRule="auto"/>
        <w:sectPr>
          <w:pgSz w:w="11910" w:h="16850"/>
          <w:pgMar w:header="0" w:footer="855" w:top="1360" w:bottom="1040" w:left="1000" w:right="760"/>
        </w:sectPr>
      </w:pPr>
    </w:p>
    <w:p>
      <w:pPr>
        <w:spacing w:line="388" w:lineRule="exact" w:before="0"/>
        <w:ind w:left="132" w:right="0" w:firstLine="0"/>
        <w:jc w:val="left"/>
        <w:rPr>
          <w:rFonts w:ascii="Microsoft JhengHei" w:eastAsia="Microsoft JhengHei"/>
          <w:b/>
          <w:sz w:val="24"/>
        </w:rPr>
      </w:pPr>
      <w:r>
        <w:rPr>
          <w:rFonts w:ascii="Microsoft JhengHei" w:eastAsia="Microsoft JhengHei"/>
          <w:b/>
          <w:spacing w:val="-1"/>
          <w:sz w:val="24"/>
        </w:rPr>
        <w:t>附件一：罹癌基因檢測服務之項目、服務費用及補償金額表</w:t>
      </w:r>
    </w:p>
    <w:tbl>
      <w:tblPr>
        <w:tblW w:w="0" w:type="auto"/>
        <w:jc w:val="left"/>
        <w:tblInd w:w="1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84"/>
        <w:gridCol w:w="4938"/>
        <w:gridCol w:w="1129"/>
        <w:gridCol w:w="1152"/>
      </w:tblGrid>
      <w:tr>
        <w:trPr>
          <w:trHeight w:val="383" w:hRule="atLeast"/>
        </w:trPr>
        <w:tc>
          <w:tcPr>
            <w:tcW w:w="2384" w:type="dxa"/>
            <w:tcBorders>
              <w:bottom w:val="single" w:sz="4" w:space="0" w:color="000000"/>
              <w:right w:val="single" w:sz="4" w:space="0" w:color="000000"/>
            </w:tcBorders>
          </w:tcPr>
          <w:p>
            <w:pPr>
              <w:pStyle w:val="TableParagraph"/>
              <w:spacing w:before="13"/>
              <w:ind w:left="21" w:right="0"/>
              <w:rPr>
                <w:rFonts w:ascii="SimSun" w:eastAsia="SimSun"/>
                <w:sz w:val="20"/>
              </w:rPr>
            </w:pPr>
            <w:r>
              <w:rPr>
                <w:rFonts w:ascii="SimSun" w:eastAsia="SimSun"/>
                <w:spacing w:val="-5"/>
                <w:sz w:val="20"/>
              </w:rPr>
              <w:t>項目</w:t>
            </w:r>
          </w:p>
        </w:tc>
        <w:tc>
          <w:tcPr>
            <w:tcW w:w="4938" w:type="dxa"/>
            <w:tcBorders>
              <w:left w:val="single" w:sz="4" w:space="0" w:color="000000"/>
              <w:bottom w:val="single" w:sz="4" w:space="0" w:color="000000"/>
              <w:right w:val="single" w:sz="4" w:space="0" w:color="000000"/>
            </w:tcBorders>
          </w:tcPr>
          <w:p>
            <w:pPr>
              <w:pStyle w:val="TableParagraph"/>
              <w:spacing w:before="13"/>
              <w:ind w:left="1377" w:right="0"/>
              <w:jc w:val="left"/>
              <w:rPr>
                <w:rFonts w:ascii="SimSun" w:eastAsia="SimSun"/>
                <w:sz w:val="20"/>
              </w:rPr>
            </w:pPr>
            <w:r>
              <w:rPr>
                <w:rFonts w:ascii="SimSun" w:eastAsia="SimSun"/>
                <w:spacing w:val="-3"/>
                <w:sz w:val="20"/>
              </w:rPr>
              <w:t>可提供之服務項目及內容</w:t>
            </w:r>
          </w:p>
        </w:tc>
        <w:tc>
          <w:tcPr>
            <w:tcW w:w="1129" w:type="dxa"/>
            <w:tcBorders>
              <w:left w:val="single" w:sz="4" w:space="0" w:color="000000"/>
              <w:bottom w:val="single" w:sz="4" w:space="0" w:color="000000"/>
              <w:right w:val="single" w:sz="4" w:space="0" w:color="000000"/>
            </w:tcBorders>
          </w:tcPr>
          <w:p>
            <w:pPr>
              <w:pStyle w:val="TableParagraph"/>
              <w:spacing w:before="13"/>
              <w:ind w:left="174" w:right="0"/>
              <w:jc w:val="left"/>
              <w:rPr>
                <w:rFonts w:ascii="SimSun" w:eastAsia="SimSun"/>
                <w:sz w:val="20"/>
              </w:rPr>
            </w:pPr>
            <w:r>
              <w:rPr>
                <w:rFonts w:ascii="SimSun" w:eastAsia="SimSun"/>
                <w:spacing w:val="-4"/>
                <w:sz w:val="20"/>
              </w:rPr>
              <w:t>服務費用</w:t>
            </w:r>
          </w:p>
        </w:tc>
        <w:tc>
          <w:tcPr>
            <w:tcW w:w="1152" w:type="dxa"/>
            <w:tcBorders>
              <w:left w:val="single" w:sz="4" w:space="0" w:color="000000"/>
              <w:bottom w:val="single" w:sz="4" w:space="0" w:color="000000"/>
            </w:tcBorders>
          </w:tcPr>
          <w:p>
            <w:pPr>
              <w:pStyle w:val="TableParagraph"/>
              <w:spacing w:before="13"/>
              <w:ind w:left="186" w:right="0"/>
              <w:jc w:val="left"/>
              <w:rPr>
                <w:rFonts w:ascii="SimSun" w:eastAsia="SimSun"/>
                <w:sz w:val="20"/>
              </w:rPr>
            </w:pPr>
            <w:r>
              <w:rPr>
                <w:rFonts w:ascii="SimSun" w:eastAsia="SimSun"/>
                <w:spacing w:val="-4"/>
                <w:sz w:val="20"/>
              </w:rPr>
              <w:t>補償金額</w:t>
            </w:r>
          </w:p>
        </w:tc>
      </w:tr>
      <w:tr>
        <w:trPr>
          <w:trHeight w:val="1192" w:hRule="atLeast"/>
        </w:trPr>
        <w:tc>
          <w:tcPr>
            <w:tcW w:w="2384" w:type="dxa"/>
            <w:tcBorders>
              <w:top w:val="single" w:sz="4" w:space="0" w:color="000000"/>
              <w:right w:val="single" w:sz="4" w:space="0" w:color="000000"/>
            </w:tcBorders>
          </w:tcPr>
          <w:p>
            <w:pPr>
              <w:pStyle w:val="TableParagraph"/>
              <w:spacing w:line="247" w:lineRule="auto" w:before="189"/>
              <w:ind w:left="463" w:right="0" w:hanging="161"/>
              <w:jc w:val="left"/>
              <w:rPr>
                <w:sz w:val="20"/>
              </w:rPr>
            </w:pPr>
            <w:r>
              <w:rPr>
                <w:rFonts w:ascii="SimSun" w:eastAsia="SimSun"/>
                <w:spacing w:val="-2"/>
                <w:sz w:val="20"/>
              </w:rPr>
              <w:t>癌監控基因檢測</w:t>
            </w:r>
            <w:r>
              <w:rPr>
                <w:spacing w:val="-2"/>
                <w:sz w:val="20"/>
              </w:rPr>
              <w:t>v2.2 </w:t>
            </w:r>
            <w:r>
              <w:rPr>
                <w:sz w:val="20"/>
              </w:rPr>
              <w:t>(Roche AVENIO Surveillance Kit)</w:t>
            </w:r>
          </w:p>
        </w:tc>
        <w:tc>
          <w:tcPr>
            <w:tcW w:w="4938" w:type="dxa"/>
            <w:tcBorders>
              <w:top w:val="single" w:sz="4" w:space="0" w:color="000000"/>
              <w:left w:val="single" w:sz="4" w:space="0" w:color="000000"/>
              <w:right w:val="single" w:sz="4" w:space="0" w:color="000000"/>
            </w:tcBorders>
          </w:tcPr>
          <w:p>
            <w:pPr>
              <w:pStyle w:val="TableParagraph"/>
              <w:numPr>
                <w:ilvl w:val="0"/>
                <w:numId w:val="1"/>
              </w:numPr>
              <w:tabs>
                <w:tab w:pos="265" w:val="left" w:leader="none"/>
              </w:tabs>
              <w:spacing w:line="240" w:lineRule="auto" w:before="136" w:after="0"/>
              <w:ind w:left="265" w:right="0" w:hanging="148"/>
              <w:jc w:val="left"/>
              <w:rPr>
                <w:rFonts w:ascii="SimSun" w:hAnsi="SimSun" w:eastAsia="SimSun"/>
                <w:sz w:val="20"/>
              </w:rPr>
            </w:pPr>
            <w:r>
              <w:rPr>
                <w:rFonts w:ascii="SimSun" w:hAnsi="SimSun" w:eastAsia="SimSun"/>
                <w:spacing w:val="-2"/>
                <w:sz w:val="20"/>
              </w:rPr>
              <w:t>針對實體腫瘤患者之血液檢體檢測197</w:t>
            </w:r>
            <w:r>
              <w:rPr>
                <w:rFonts w:ascii="SimSun" w:hAnsi="SimSun" w:eastAsia="SimSun"/>
                <w:spacing w:val="-5"/>
                <w:sz w:val="20"/>
              </w:rPr>
              <w:t>個基因</w:t>
            </w:r>
          </w:p>
          <w:p>
            <w:pPr>
              <w:pStyle w:val="TableParagraph"/>
              <w:numPr>
                <w:ilvl w:val="0"/>
                <w:numId w:val="1"/>
              </w:numPr>
              <w:tabs>
                <w:tab w:pos="265" w:val="left" w:leader="none"/>
              </w:tabs>
              <w:spacing w:line="226" w:lineRule="exact" w:before="144" w:after="0"/>
              <w:ind w:left="265" w:right="0" w:hanging="148"/>
              <w:jc w:val="left"/>
              <w:rPr>
                <w:rFonts w:ascii="SimSun" w:hAnsi="SimSun" w:eastAsia="SimSun"/>
                <w:sz w:val="20"/>
              </w:rPr>
            </w:pPr>
            <w:r>
              <w:rPr>
                <w:rFonts w:ascii="SimSun" w:hAnsi="SimSun" w:eastAsia="SimSun"/>
                <w:spacing w:val="-3"/>
                <w:sz w:val="20"/>
              </w:rPr>
              <w:t>監控癌症轉移及評估復發風險或監控癌症治療效果</w:t>
            </w:r>
          </w:p>
          <w:p>
            <w:pPr>
              <w:pStyle w:val="TableParagraph"/>
              <w:spacing w:line="374" w:lineRule="exact" w:before="0"/>
              <w:ind w:left="117" w:right="0"/>
              <w:jc w:val="left"/>
              <w:rPr>
                <w:rFonts w:ascii="Microsoft JhengHei" w:hAnsi="Microsoft JhengHei" w:eastAsia="Microsoft JhengHei"/>
                <w:b/>
                <w:sz w:val="22"/>
              </w:rPr>
            </w:pPr>
            <w:r>
              <w:rPr>
                <w:rFonts w:ascii="Microsoft JhengHei" w:hAnsi="Microsoft JhengHei" w:eastAsia="Microsoft JhengHei"/>
                <w:b/>
                <w:spacing w:val="-1"/>
                <w:sz w:val="22"/>
              </w:rPr>
              <w:t>※本項罹癌基因檢測服務不含檢體申請之費用</w:t>
            </w:r>
          </w:p>
        </w:tc>
        <w:tc>
          <w:tcPr>
            <w:tcW w:w="1129" w:type="dxa"/>
            <w:tcBorders>
              <w:top w:val="single" w:sz="4" w:space="0" w:color="000000"/>
              <w:left w:val="single" w:sz="4" w:space="0" w:color="000000"/>
              <w:right w:val="single" w:sz="4" w:space="0" w:color="000000"/>
            </w:tcBorders>
          </w:tcPr>
          <w:p>
            <w:pPr>
              <w:pStyle w:val="TableParagraph"/>
              <w:spacing w:before="287"/>
              <w:ind w:left="31" w:right="0"/>
              <w:rPr>
                <w:rFonts w:ascii="SimSun" w:eastAsia="SimSun"/>
                <w:sz w:val="20"/>
              </w:rPr>
            </w:pPr>
            <w:r>
              <w:rPr>
                <w:rFonts w:ascii="SimSun" w:eastAsia="SimSun"/>
                <w:spacing w:val="-5"/>
                <w:sz w:val="20"/>
              </w:rPr>
              <w:t>新臺幣</w:t>
            </w:r>
          </w:p>
          <w:p>
            <w:pPr>
              <w:pStyle w:val="TableParagraph"/>
              <w:spacing w:before="5"/>
              <w:ind w:left="31" w:right="2"/>
              <w:rPr>
                <w:rFonts w:ascii="SimSun" w:eastAsia="SimSun"/>
                <w:sz w:val="20"/>
              </w:rPr>
            </w:pPr>
            <w:r>
              <w:rPr>
                <w:spacing w:val="-2"/>
                <w:sz w:val="20"/>
              </w:rPr>
              <w:t>60,000</w:t>
            </w:r>
            <w:r>
              <w:rPr>
                <w:rFonts w:ascii="SimSun" w:eastAsia="SimSun"/>
                <w:spacing w:val="-10"/>
                <w:sz w:val="20"/>
              </w:rPr>
              <w:t>元</w:t>
            </w:r>
          </w:p>
        </w:tc>
        <w:tc>
          <w:tcPr>
            <w:tcW w:w="1152" w:type="dxa"/>
            <w:tcBorders>
              <w:top w:val="single" w:sz="4" w:space="0" w:color="000000"/>
              <w:left w:val="single" w:sz="4" w:space="0" w:color="000000"/>
            </w:tcBorders>
          </w:tcPr>
          <w:p>
            <w:pPr>
              <w:pStyle w:val="TableParagraph"/>
              <w:spacing w:before="287"/>
              <w:ind w:left="286" w:right="0"/>
              <w:jc w:val="left"/>
              <w:rPr>
                <w:rFonts w:ascii="SimSun" w:eastAsia="SimSun"/>
                <w:sz w:val="20"/>
              </w:rPr>
            </w:pPr>
            <w:r>
              <w:rPr>
                <w:rFonts w:ascii="SimSun" w:eastAsia="SimSun"/>
                <w:spacing w:val="-5"/>
                <w:sz w:val="20"/>
              </w:rPr>
              <w:t>新臺幣</w:t>
            </w:r>
          </w:p>
          <w:p>
            <w:pPr>
              <w:pStyle w:val="TableParagraph"/>
              <w:spacing w:before="5"/>
              <w:ind w:left="236" w:right="0"/>
              <w:jc w:val="left"/>
              <w:rPr>
                <w:rFonts w:ascii="SimSun" w:eastAsia="SimSun"/>
                <w:sz w:val="20"/>
              </w:rPr>
            </w:pPr>
            <w:r>
              <w:rPr>
                <w:spacing w:val="-2"/>
                <w:sz w:val="20"/>
              </w:rPr>
              <w:t>1,000</w:t>
            </w:r>
            <w:r>
              <w:rPr>
                <w:rFonts w:ascii="SimSun" w:eastAsia="SimSun"/>
                <w:spacing w:val="-10"/>
                <w:sz w:val="20"/>
              </w:rPr>
              <w:t>元</w:t>
            </w:r>
          </w:p>
        </w:tc>
      </w:tr>
    </w:tbl>
    <w:p>
      <w:pPr>
        <w:pStyle w:val="BodyText"/>
        <w:spacing w:line="244" w:lineRule="auto"/>
        <w:ind w:left="331" w:right="368" w:hanging="200"/>
        <w:jc w:val="both"/>
      </w:pPr>
      <w:r>
        <w:rPr>
          <w:spacing w:val="2"/>
          <w:w w:val="99"/>
        </w:rPr>
        <w:t>※最新之服務內容、服務費用與補償金額將公告於國泰人壽官方網站</w:t>
      </w:r>
      <w:r>
        <w:rPr>
          <w:rFonts w:ascii="Arial MT" w:hAnsi="Arial MT" w:eastAsia="Arial MT"/>
          <w:w w:val="99"/>
        </w:rPr>
        <w:t>ht</w:t>
      </w:r>
      <w:r>
        <w:rPr>
          <w:rFonts w:ascii="Arial MT" w:hAnsi="Arial MT" w:eastAsia="Arial MT"/>
          <w:spacing w:val="-1"/>
          <w:w w:val="99"/>
        </w:rPr>
        <w:t>t</w:t>
      </w:r>
      <w:r>
        <w:rPr>
          <w:rFonts w:ascii="Arial MT" w:hAnsi="Arial MT" w:eastAsia="Arial MT"/>
          <w:w w:val="99"/>
        </w:rPr>
        <w:t>ps</w:t>
      </w:r>
      <w:hyperlink r:id="rId8">
        <w:r>
          <w:rPr>
            <w:rFonts w:ascii="Arial MT" w:hAnsi="Arial MT" w:eastAsia="Arial MT"/>
            <w:spacing w:val="-1"/>
            <w:w w:val="99"/>
          </w:rPr>
          <w:t>://ww</w:t>
        </w:r>
        <w:r>
          <w:rPr>
            <w:rFonts w:ascii="Arial MT" w:hAnsi="Arial MT" w:eastAsia="Arial MT"/>
            <w:spacing w:val="-3"/>
            <w:w w:val="99"/>
          </w:rPr>
          <w:t>w</w:t>
        </w:r>
      </w:hyperlink>
      <w:r>
        <w:rPr>
          <w:rFonts w:ascii="Arial MT" w:hAnsi="Arial MT" w:eastAsia="Arial MT"/>
          <w:w w:val="99"/>
        </w:rPr>
        <w:t>.</w:t>
      </w:r>
      <w:r>
        <w:rPr>
          <w:rFonts w:ascii="Arial MT" w:hAnsi="Arial MT" w:eastAsia="Arial MT"/>
          <w:spacing w:val="3"/>
          <w:w w:val="99"/>
        </w:rPr>
        <w:t>c</w:t>
      </w:r>
      <w:hyperlink r:id="rId8">
        <w:r>
          <w:rPr>
            <w:rFonts w:ascii="Arial MT" w:hAnsi="Arial MT" w:eastAsia="Arial MT"/>
            <w:spacing w:val="-1"/>
            <w:w w:val="99"/>
          </w:rPr>
          <w:t>ath</w:t>
        </w:r>
      </w:hyperlink>
      <w:r>
        <w:rPr>
          <w:rFonts w:ascii="Arial MT" w:hAnsi="Arial MT" w:eastAsia="Arial MT"/>
          <w:spacing w:val="4"/>
          <w:w w:val="99"/>
        </w:rPr>
        <w:t>a</w:t>
      </w:r>
      <w:hyperlink r:id="rId8">
        <w:r>
          <w:rPr>
            <w:rFonts w:ascii="Arial MT" w:hAnsi="Arial MT" w:eastAsia="Arial MT"/>
            <w:spacing w:val="-4"/>
            <w:w w:val="99"/>
          </w:rPr>
          <w:t>y</w:t>
        </w:r>
        <w:r>
          <w:rPr>
            <w:rFonts w:ascii="Arial MT" w:hAnsi="Arial MT" w:eastAsia="Arial MT"/>
            <w:spacing w:val="1"/>
            <w:w w:val="99"/>
          </w:rPr>
          <w:t>h</w:t>
        </w:r>
        <w:r>
          <w:rPr>
            <w:rFonts w:ascii="Arial MT" w:hAnsi="Arial MT" w:eastAsia="Arial MT"/>
            <w:spacing w:val="-1"/>
            <w:w w:val="99"/>
          </w:rPr>
          <w:t>o</w:t>
        </w:r>
        <w:r>
          <w:rPr>
            <w:rFonts w:ascii="Arial MT" w:hAnsi="Arial MT" w:eastAsia="Arial MT"/>
            <w:spacing w:val="-2"/>
            <w:w w:val="99"/>
          </w:rPr>
          <w:t>l</w:t>
        </w:r>
        <w:r>
          <w:rPr>
            <w:rFonts w:ascii="Arial MT" w:hAnsi="Arial MT" w:eastAsia="Arial MT"/>
            <w:spacing w:val="1"/>
            <w:w w:val="99"/>
          </w:rPr>
          <w:t>d</w:t>
        </w:r>
        <w:r>
          <w:rPr>
            <w:rFonts w:ascii="Arial MT" w:hAnsi="Arial MT" w:eastAsia="Arial MT"/>
            <w:spacing w:val="-2"/>
            <w:w w:val="99"/>
          </w:rPr>
          <w:t>i</w:t>
        </w:r>
        <w:r>
          <w:rPr>
            <w:rFonts w:ascii="Arial MT" w:hAnsi="Arial MT" w:eastAsia="Arial MT"/>
            <w:spacing w:val="1"/>
            <w:w w:val="99"/>
          </w:rPr>
          <w:t>n</w:t>
        </w:r>
        <w:r>
          <w:rPr>
            <w:rFonts w:ascii="Arial MT" w:hAnsi="Arial MT" w:eastAsia="Arial MT"/>
            <w:w w:val="99"/>
          </w:rPr>
          <w:t>gs</w:t>
        </w:r>
        <w:r>
          <w:rPr>
            <w:rFonts w:ascii="Arial MT" w:hAnsi="Arial MT" w:eastAsia="Arial MT"/>
            <w:w w:val="99"/>
          </w:rPr>
          <w:t>.c</w:t>
        </w:r>
        <w:r>
          <w:rPr>
            <w:rFonts w:ascii="Arial MT" w:hAnsi="Arial MT" w:eastAsia="Arial MT"/>
            <w:w w:val="99"/>
          </w:rPr>
          <w:t>o</w:t>
        </w:r>
        <w:r>
          <w:rPr>
            <w:rFonts w:ascii="Arial MT" w:hAnsi="Arial MT" w:eastAsia="Arial MT"/>
            <w:spacing w:val="3"/>
            <w:w w:val="99"/>
          </w:rPr>
          <w:t>m</w:t>
        </w:r>
        <w:r>
          <w:rPr>
            <w:rFonts w:ascii="Arial MT" w:hAnsi="Arial MT" w:eastAsia="Arial MT"/>
            <w:spacing w:val="-1"/>
            <w:w w:val="99"/>
          </w:rPr>
          <w:t>/</w:t>
        </w:r>
        <w:r>
          <w:rPr>
            <w:rFonts w:ascii="Arial MT" w:hAnsi="Arial MT" w:eastAsia="Arial MT"/>
            <w:spacing w:val="-2"/>
            <w:w w:val="99"/>
          </w:rPr>
          <w:t>l</w:t>
        </w:r>
        <w:r>
          <w:rPr>
            <w:rFonts w:ascii="Arial MT" w:hAnsi="Arial MT" w:eastAsia="Arial MT"/>
            <w:spacing w:val="-2"/>
            <w:w w:val="99"/>
          </w:rPr>
          <w:t>i</w:t>
        </w:r>
        <w:r>
          <w:rPr>
            <w:rFonts w:ascii="Arial MT" w:hAnsi="Arial MT" w:eastAsia="Arial MT"/>
            <w:spacing w:val="2"/>
            <w:w w:val="99"/>
          </w:rPr>
          <w:t>f</w:t>
        </w:r>
        <w:r>
          <w:rPr>
            <w:rFonts w:ascii="Arial MT" w:hAnsi="Arial MT" w:eastAsia="Arial MT"/>
            <w:spacing w:val="4"/>
            <w:w w:val="99"/>
          </w:rPr>
          <w:t>e</w:t>
        </w:r>
      </w:hyperlink>
      <w:r>
        <w:rPr>
          <w:spacing w:val="2"/>
          <w:w w:val="99"/>
        </w:rPr>
        <w:t>，本公司應於調整之</w:t>
      </w:r>
      <w:r>
        <w:rPr>
          <w:spacing w:val="3"/>
          <w:w w:val="99"/>
        </w:rPr>
        <w:t>1</w:t>
      </w:r>
      <w:r>
        <w:rPr>
          <w:spacing w:val="1"/>
          <w:w w:val="99"/>
        </w:rPr>
        <w:t>個月前公告於國泰人壽官方網站。服務內容、服務費用與補償金額以服務提供當時之公告</w:t>
      </w:r>
      <w:r>
        <w:rPr>
          <w:w w:val="99"/>
        </w:rPr>
        <w:t>為準。</w:t>
      </w:r>
    </w:p>
    <w:p>
      <w:pPr>
        <w:pStyle w:val="BodyText"/>
        <w:spacing w:before="111"/>
        <w:ind w:left="0"/>
      </w:pPr>
    </w:p>
    <w:p>
      <w:pPr>
        <w:spacing w:before="0"/>
        <w:ind w:left="132" w:right="0" w:firstLine="0"/>
        <w:jc w:val="left"/>
        <w:rPr>
          <w:rFonts w:ascii="Microsoft JhengHei" w:eastAsia="Microsoft JhengHei"/>
          <w:b/>
          <w:sz w:val="24"/>
        </w:rPr>
      </w:pPr>
      <w:r>
        <w:rPr/>
        <w:drawing>
          <wp:anchor distT="0" distB="0" distL="0" distR="0" allowOverlap="1" layoutInCell="1" locked="0" behindDoc="1" simplePos="0" relativeHeight="487027200">
            <wp:simplePos x="0" y="0"/>
            <wp:positionH relativeFrom="page">
              <wp:posOffset>2872181</wp:posOffset>
            </wp:positionH>
            <wp:positionV relativeFrom="paragraph">
              <wp:posOffset>243248</wp:posOffset>
            </wp:positionV>
            <wp:extent cx="1839480" cy="4424731"/>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1839480" cy="4424731"/>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672083</wp:posOffset>
                </wp:positionH>
                <wp:positionV relativeFrom="paragraph">
                  <wp:posOffset>256232</wp:posOffset>
                </wp:positionV>
                <wp:extent cx="6216650" cy="652208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216650" cy="6522084"/>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10"/>
                              <w:gridCol w:w="2693"/>
                              <w:gridCol w:w="4537"/>
                            </w:tblGrid>
                            <w:tr>
                              <w:trPr>
                                <w:trHeight w:val="402" w:hRule="atLeast"/>
                              </w:trPr>
                              <w:tc>
                                <w:tcPr>
                                  <w:tcW w:w="2410" w:type="dxa"/>
                                  <w:tcBorders>
                                    <w:bottom w:val="single" w:sz="4" w:space="0" w:color="000000"/>
                                    <w:right w:val="single" w:sz="4" w:space="0" w:color="000000"/>
                                  </w:tcBorders>
                                </w:tcPr>
                                <w:p>
                                  <w:pPr>
                                    <w:pStyle w:val="TableParagraph"/>
                                    <w:spacing w:before="123"/>
                                    <w:ind w:left="19" w:right="3"/>
                                    <w:rPr>
                                      <w:rFonts w:ascii="SimSun" w:eastAsia="SimSun"/>
                                      <w:sz w:val="20"/>
                                    </w:rPr>
                                  </w:pPr>
                                  <w:r>
                                    <w:rPr>
                                      <w:rFonts w:ascii="SimSun" w:eastAsia="SimSun"/>
                                      <w:spacing w:val="-4"/>
                                      <w:sz w:val="20"/>
                                    </w:rPr>
                                    <w:t>中文藥品名</w:t>
                                  </w:r>
                                </w:p>
                              </w:tc>
                              <w:tc>
                                <w:tcPr>
                                  <w:tcW w:w="2693" w:type="dxa"/>
                                  <w:tcBorders>
                                    <w:left w:val="single" w:sz="4" w:space="0" w:color="000000"/>
                                    <w:bottom w:val="single" w:sz="4" w:space="0" w:color="000000"/>
                                    <w:right w:val="single" w:sz="4" w:space="0" w:color="000000"/>
                                  </w:tcBorders>
                                </w:tcPr>
                                <w:p>
                                  <w:pPr>
                                    <w:pStyle w:val="TableParagraph"/>
                                    <w:spacing w:before="123"/>
                                    <w:ind w:left="36" w:right="5"/>
                                    <w:rPr>
                                      <w:rFonts w:ascii="SimSun" w:eastAsia="SimSun"/>
                                      <w:sz w:val="20"/>
                                    </w:rPr>
                                  </w:pPr>
                                  <w:r>
                                    <w:rPr>
                                      <w:rFonts w:ascii="SimSun" w:eastAsia="SimSun"/>
                                      <w:spacing w:val="-4"/>
                                      <w:sz w:val="20"/>
                                    </w:rPr>
                                    <w:t>英文藥品名</w:t>
                                  </w:r>
                                </w:p>
                              </w:tc>
                              <w:tc>
                                <w:tcPr>
                                  <w:tcW w:w="4537" w:type="dxa"/>
                                  <w:tcBorders>
                                    <w:left w:val="single" w:sz="4" w:space="0" w:color="000000"/>
                                    <w:bottom w:val="single" w:sz="4" w:space="0" w:color="000000"/>
                                  </w:tcBorders>
                                </w:tcPr>
                                <w:p>
                                  <w:pPr>
                                    <w:pStyle w:val="TableParagraph"/>
                                    <w:spacing w:before="123"/>
                                    <w:ind w:right="2"/>
                                    <w:rPr>
                                      <w:rFonts w:ascii="SimSun" w:eastAsia="SimSun"/>
                                      <w:sz w:val="20"/>
                                    </w:rPr>
                                  </w:pPr>
                                  <w:r>
                                    <w:rPr>
                                      <w:rFonts w:ascii="SimSun" w:eastAsia="SimSun"/>
                                      <w:spacing w:val="-5"/>
                                      <w:sz w:val="20"/>
                                    </w:rPr>
                                    <w:t>藥學名</w:t>
                                  </w:r>
                                </w:p>
                              </w:tc>
                            </w:tr>
                            <w:tr>
                              <w:trPr>
                                <w:trHeight w:val="397" w:hRule="atLeast"/>
                              </w:trPr>
                              <w:tc>
                                <w:tcPr>
                                  <w:tcW w:w="2410" w:type="dxa"/>
                                  <w:tcBorders>
                                    <w:top w:val="single" w:sz="4" w:space="0" w:color="000000"/>
                                    <w:bottom w:val="single" w:sz="4" w:space="0" w:color="000000"/>
                                    <w:right w:val="single" w:sz="4" w:space="0" w:color="000000"/>
                                  </w:tcBorders>
                                </w:tcPr>
                                <w:p>
                                  <w:pPr>
                                    <w:pStyle w:val="TableParagraph"/>
                                    <w:spacing w:before="119"/>
                                    <w:ind w:left="19"/>
                                    <w:rPr>
                                      <w:rFonts w:ascii="SimSun" w:eastAsia="SimSun"/>
                                      <w:sz w:val="20"/>
                                    </w:rPr>
                                  </w:pPr>
                                  <w:r>
                                    <w:rPr>
                                      <w:rFonts w:ascii="SimSun" w:eastAsia="SimSun"/>
                                      <w:spacing w:val="-5"/>
                                      <w:sz w:val="20"/>
                                    </w:rPr>
                                    <w:t>捷癌寧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131"/>
                                    <w:ind w:left="36" w:right="4"/>
                                    <w:rPr>
                                      <w:sz w:val="20"/>
                                    </w:rPr>
                                  </w:pPr>
                                  <w:r>
                                    <w:rPr>
                                      <w:spacing w:val="-2"/>
                                      <w:sz w:val="20"/>
                                    </w:rPr>
                                    <w:t>Verzenio</w:t>
                                  </w:r>
                                </w:p>
                              </w:tc>
                              <w:tc>
                                <w:tcPr>
                                  <w:tcW w:w="4537" w:type="dxa"/>
                                  <w:tcBorders>
                                    <w:top w:val="single" w:sz="4" w:space="0" w:color="000000"/>
                                    <w:left w:val="single" w:sz="4" w:space="0" w:color="000000"/>
                                    <w:bottom w:val="single" w:sz="4" w:space="0" w:color="000000"/>
                                  </w:tcBorders>
                                </w:tcPr>
                                <w:p>
                                  <w:pPr>
                                    <w:pStyle w:val="TableParagraph"/>
                                    <w:spacing w:before="131"/>
                                    <w:ind w:right="6"/>
                                    <w:rPr>
                                      <w:sz w:val="20"/>
                                    </w:rPr>
                                  </w:pPr>
                                  <w:r>
                                    <w:rPr>
                                      <w:spacing w:val="-2"/>
                                      <w:sz w:val="20"/>
                                    </w:rPr>
                                    <w:t>Abemaciclib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妥復克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Giotrif</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Afatinib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柔癌捕</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7"/>
                                    <w:rPr>
                                      <w:sz w:val="20"/>
                                    </w:rPr>
                                  </w:pPr>
                                  <w:r>
                                    <w:rPr>
                                      <w:spacing w:val="-2"/>
                                      <w:sz w:val="20"/>
                                    </w:rPr>
                                    <w:t>Zaltrap</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Aflibercept</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安立適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7"/>
                                    <w:rPr>
                                      <w:sz w:val="20"/>
                                    </w:rPr>
                                  </w:pPr>
                                  <w:r>
                                    <w:rPr>
                                      <w:spacing w:val="-2"/>
                                      <w:sz w:val="20"/>
                                    </w:rPr>
                                    <w:t>Alecensa</w:t>
                                  </w:r>
                                </w:p>
                              </w:tc>
                              <w:tc>
                                <w:tcPr>
                                  <w:tcW w:w="4537" w:type="dxa"/>
                                  <w:tcBorders>
                                    <w:top w:val="single" w:sz="4" w:space="0" w:color="000000"/>
                                    <w:left w:val="single" w:sz="4" w:space="0" w:color="000000"/>
                                    <w:bottom w:val="single" w:sz="4" w:space="0" w:color="000000"/>
                                  </w:tcBorders>
                                </w:tcPr>
                                <w:p>
                                  <w:pPr>
                                    <w:pStyle w:val="TableParagraph"/>
                                    <w:ind w:right="6"/>
                                    <w:rPr>
                                      <w:sz w:val="20"/>
                                    </w:rPr>
                                  </w:pPr>
                                  <w:r>
                                    <w:rPr>
                                      <w:spacing w:val="-2"/>
                                      <w:sz w:val="20"/>
                                    </w:rPr>
                                    <w:t>Alectinib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抑癌特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Inlyta</w:t>
                                  </w:r>
                                </w:p>
                              </w:tc>
                              <w:tc>
                                <w:tcPr>
                                  <w:tcW w:w="4537" w:type="dxa"/>
                                  <w:tcBorders>
                                    <w:top w:val="single" w:sz="4" w:space="0" w:color="000000"/>
                                    <w:left w:val="single" w:sz="4" w:space="0" w:color="000000"/>
                                    <w:bottom w:val="single" w:sz="4" w:space="0" w:color="000000"/>
                                  </w:tcBorders>
                                </w:tcPr>
                                <w:p>
                                  <w:pPr>
                                    <w:pStyle w:val="TableParagraph"/>
                                    <w:ind w:right="6"/>
                                    <w:rPr>
                                      <w:sz w:val="20"/>
                                    </w:rPr>
                                  </w:pPr>
                                  <w:r>
                                    <w:rPr>
                                      <w:spacing w:val="-2"/>
                                      <w:sz w:val="20"/>
                                    </w:rPr>
                                    <w:t>Axitinib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癌思停</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Avastin</w:t>
                                  </w:r>
                                </w:p>
                              </w:tc>
                              <w:tc>
                                <w:tcPr>
                                  <w:tcW w:w="4537" w:type="dxa"/>
                                  <w:tcBorders>
                                    <w:top w:val="single" w:sz="4" w:space="0" w:color="000000"/>
                                    <w:left w:val="single" w:sz="4" w:space="0" w:color="000000"/>
                                    <w:bottom w:val="single" w:sz="4" w:space="0" w:color="000000"/>
                                  </w:tcBorders>
                                </w:tcPr>
                                <w:p>
                                  <w:pPr>
                                    <w:pStyle w:val="TableParagraph"/>
                                    <w:rPr>
                                      <w:sz w:val="20"/>
                                    </w:rPr>
                                  </w:pPr>
                                  <w:r>
                                    <w:rPr>
                                      <w:spacing w:val="-2"/>
                                      <w:sz w:val="20"/>
                                    </w:rPr>
                                    <w:t>Bevacizumab</w:t>
                                  </w:r>
                                </w:p>
                              </w:tc>
                            </w:tr>
                            <w:tr>
                              <w:trPr>
                                <w:trHeight w:val="397" w:hRule="atLeast"/>
                              </w:trPr>
                              <w:tc>
                                <w:tcPr>
                                  <w:tcW w:w="2410" w:type="dxa"/>
                                  <w:tcBorders>
                                    <w:top w:val="single" w:sz="4" w:space="0" w:color="000000"/>
                                    <w:bottom w:val="single" w:sz="4" w:space="0" w:color="000000"/>
                                    <w:right w:val="single" w:sz="4" w:space="0" w:color="000000"/>
                                  </w:tcBorders>
                                </w:tcPr>
                                <w:p>
                                  <w:pPr>
                                    <w:pStyle w:val="TableParagraph"/>
                                    <w:spacing w:before="119"/>
                                    <w:ind w:left="19" w:right="0"/>
                                    <w:rPr>
                                      <w:rFonts w:ascii="SimSun" w:eastAsia="SimSun"/>
                                      <w:sz w:val="20"/>
                                    </w:rPr>
                                  </w:pPr>
                                  <w:r>
                                    <w:rPr>
                                      <w:rFonts w:ascii="SimSun" w:eastAsia="SimSun"/>
                                      <w:spacing w:val="-5"/>
                                      <w:sz w:val="20"/>
                                    </w:rPr>
                                    <w:t>萬科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131"/>
                                    <w:ind w:left="36" w:right="7"/>
                                    <w:rPr>
                                      <w:sz w:val="20"/>
                                    </w:rPr>
                                  </w:pPr>
                                  <w:r>
                                    <w:rPr>
                                      <w:spacing w:val="-2"/>
                                      <w:sz w:val="20"/>
                                    </w:rPr>
                                    <w:t>Velcade</w:t>
                                  </w:r>
                                </w:p>
                              </w:tc>
                              <w:tc>
                                <w:tcPr>
                                  <w:tcW w:w="4537" w:type="dxa"/>
                                  <w:tcBorders>
                                    <w:top w:val="single" w:sz="4" w:space="0" w:color="000000"/>
                                    <w:left w:val="single" w:sz="4" w:space="0" w:color="000000"/>
                                    <w:bottom w:val="single" w:sz="4" w:space="0" w:color="000000"/>
                                  </w:tcBorders>
                                </w:tcPr>
                                <w:p>
                                  <w:pPr>
                                    <w:pStyle w:val="TableParagraph"/>
                                    <w:spacing w:before="131"/>
                                    <w:ind w:right="4"/>
                                    <w:rPr>
                                      <w:sz w:val="20"/>
                                    </w:rPr>
                                  </w:pPr>
                                  <w:r>
                                    <w:rPr>
                                      <w:spacing w:val="-2"/>
                                      <w:sz w:val="20"/>
                                    </w:rPr>
                                    <w:t>Bortezomib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雅詩力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8"/>
                                    <w:rPr>
                                      <w:sz w:val="20"/>
                                    </w:rPr>
                                  </w:pPr>
                                  <w:r>
                                    <w:rPr>
                                      <w:spacing w:val="-2"/>
                                      <w:sz w:val="20"/>
                                    </w:rPr>
                                    <w:t>Adcetris</w:t>
                                  </w:r>
                                </w:p>
                              </w:tc>
                              <w:tc>
                                <w:tcPr>
                                  <w:tcW w:w="4537" w:type="dxa"/>
                                  <w:tcBorders>
                                    <w:top w:val="single" w:sz="4" w:space="0" w:color="000000"/>
                                    <w:left w:val="single" w:sz="4" w:space="0" w:color="000000"/>
                                    <w:bottom w:val="single" w:sz="4" w:space="0" w:color="000000"/>
                                  </w:tcBorders>
                                </w:tcPr>
                                <w:p>
                                  <w:pPr>
                                    <w:pStyle w:val="TableParagraph"/>
                                    <w:ind w:right="5"/>
                                    <w:rPr>
                                      <w:sz w:val="20"/>
                                    </w:rPr>
                                  </w:pPr>
                                  <w:r>
                                    <w:rPr>
                                      <w:spacing w:val="-2"/>
                                      <w:sz w:val="20"/>
                                    </w:rPr>
                                    <w:t>Brentuximabvedotin</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癌能畢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5"/>
                                    <w:rPr>
                                      <w:sz w:val="20"/>
                                    </w:rPr>
                                  </w:pPr>
                                  <w:r>
                                    <w:rPr>
                                      <w:spacing w:val="-2"/>
                                      <w:sz w:val="20"/>
                                    </w:rPr>
                                    <w:t>Alunbrig</w:t>
                                  </w:r>
                                </w:p>
                              </w:tc>
                              <w:tc>
                                <w:tcPr>
                                  <w:tcW w:w="4537" w:type="dxa"/>
                                  <w:tcBorders>
                                    <w:top w:val="single" w:sz="4" w:space="0" w:color="000000"/>
                                    <w:left w:val="single" w:sz="4" w:space="0" w:color="000000"/>
                                    <w:bottom w:val="single" w:sz="4" w:space="0" w:color="000000"/>
                                  </w:tcBorders>
                                </w:tcPr>
                                <w:p>
                                  <w:pPr>
                                    <w:pStyle w:val="TableParagraph"/>
                                    <w:ind w:right="6"/>
                                    <w:rPr>
                                      <w:sz w:val="20"/>
                                    </w:rPr>
                                  </w:pPr>
                                  <w:r>
                                    <w:rPr>
                                      <w:spacing w:val="-2"/>
                                      <w:sz w:val="20"/>
                                    </w:rPr>
                                    <w:t>Brigatinib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癌必定</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8"/>
                                    <w:rPr>
                                      <w:sz w:val="20"/>
                                    </w:rPr>
                                  </w:pPr>
                                  <w:r>
                                    <w:rPr>
                                      <w:spacing w:val="-2"/>
                                      <w:sz w:val="20"/>
                                    </w:rPr>
                                    <w:t>Cabometyx</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Cabozantinib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凱博斯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Kyprolis</w:t>
                                  </w:r>
                                </w:p>
                              </w:tc>
                              <w:tc>
                                <w:tcPr>
                                  <w:tcW w:w="4537" w:type="dxa"/>
                                  <w:tcBorders>
                                    <w:top w:val="single" w:sz="4" w:space="0" w:color="000000"/>
                                    <w:left w:val="single" w:sz="4" w:space="0" w:color="000000"/>
                                    <w:bottom w:val="single" w:sz="4" w:space="0" w:color="000000"/>
                                  </w:tcBorders>
                                </w:tcPr>
                                <w:p>
                                  <w:pPr>
                                    <w:pStyle w:val="TableParagraph"/>
                                    <w:ind w:right="6"/>
                                    <w:rPr>
                                      <w:sz w:val="20"/>
                                    </w:rPr>
                                  </w:pPr>
                                  <w:r>
                                    <w:rPr>
                                      <w:spacing w:val="-2"/>
                                      <w:sz w:val="20"/>
                                    </w:rPr>
                                    <w:t>Carfilzomib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立克癌</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Zykadia</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Ceritinib</w:t>
                                  </w:r>
                                </w:p>
                              </w:tc>
                            </w:tr>
                            <w:tr>
                              <w:trPr>
                                <w:trHeight w:val="397" w:hRule="atLeast"/>
                              </w:trPr>
                              <w:tc>
                                <w:tcPr>
                                  <w:tcW w:w="2410" w:type="dxa"/>
                                  <w:tcBorders>
                                    <w:top w:val="single" w:sz="4" w:space="0" w:color="000000"/>
                                    <w:bottom w:val="single" w:sz="4" w:space="0" w:color="000000"/>
                                    <w:right w:val="single" w:sz="4" w:space="0" w:color="000000"/>
                                  </w:tcBorders>
                                </w:tcPr>
                                <w:p>
                                  <w:pPr>
                                    <w:pStyle w:val="TableParagraph"/>
                                    <w:spacing w:before="119"/>
                                    <w:ind w:left="19" w:right="3"/>
                                    <w:rPr>
                                      <w:rFonts w:ascii="SimSun" w:eastAsia="SimSun"/>
                                      <w:sz w:val="20"/>
                                    </w:rPr>
                                  </w:pPr>
                                  <w:r>
                                    <w:rPr>
                                      <w:rFonts w:ascii="SimSun" w:eastAsia="SimSun"/>
                                      <w:spacing w:val="-4"/>
                                      <w:sz w:val="20"/>
                                    </w:rPr>
                                    <w:t>爾必得舒</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131"/>
                                    <w:ind w:left="36" w:right="6"/>
                                    <w:rPr>
                                      <w:sz w:val="20"/>
                                    </w:rPr>
                                  </w:pPr>
                                  <w:r>
                                    <w:rPr>
                                      <w:spacing w:val="-2"/>
                                      <w:sz w:val="20"/>
                                    </w:rPr>
                                    <w:t>Erbitux</w:t>
                                  </w:r>
                                </w:p>
                              </w:tc>
                              <w:tc>
                                <w:tcPr>
                                  <w:tcW w:w="4537" w:type="dxa"/>
                                  <w:tcBorders>
                                    <w:top w:val="single" w:sz="4" w:space="0" w:color="000000"/>
                                    <w:left w:val="single" w:sz="4" w:space="0" w:color="000000"/>
                                    <w:bottom w:val="single" w:sz="4" w:space="0" w:color="000000"/>
                                  </w:tcBorders>
                                </w:tcPr>
                                <w:p>
                                  <w:pPr>
                                    <w:pStyle w:val="TableParagraph"/>
                                    <w:spacing w:before="131"/>
                                    <w:rPr>
                                      <w:sz w:val="20"/>
                                    </w:rPr>
                                  </w:pPr>
                                  <w:r>
                                    <w:rPr>
                                      <w:spacing w:val="-2"/>
                                      <w:sz w:val="20"/>
                                    </w:rPr>
                                    <w:t>Cetuximab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可泰利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6"/>
                                    <w:rPr>
                                      <w:sz w:val="20"/>
                                    </w:rPr>
                                  </w:pPr>
                                  <w:r>
                                    <w:rPr>
                                      <w:spacing w:val="-2"/>
                                      <w:sz w:val="20"/>
                                    </w:rPr>
                                    <w:t>Cotellic</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Cobimetinib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截剋瘤</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Xalkori</w:t>
                                  </w:r>
                                </w:p>
                              </w:tc>
                              <w:tc>
                                <w:tcPr>
                                  <w:tcW w:w="4537" w:type="dxa"/>
                                  <w:tcBorders>
                                    <w:top w:val="single" w:sz="4" w:space="0" w:color="000000"/>
                                    <w:left w:val="single" w:sz="4" w:space="0" w:color="000000"/>
                                    <w:bottom w:val="single" w:sz="4" w:space="0" w:color="000000"/>
                                  </w:tcBorders>
                                </w:tcPr>
                                <w:p>
                                  <w:pPr>
                                    <w:pStyle w:val="TableParagraph"/>
                                    <w:ind w:right="7"/>
                                    <w:rPr>
                                      <w:sz w:val="20"/>
                                    </w:rPr>
                                  </w:pPr>
                                  <w:r>
                                    <w:rPr>
                                      <w:spacing w:val="-2"/>
                                      <w:sz w:val="20"/>
                                    </w:rPr>
                                    <w:t>Crizotinib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泰伏樂</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7"/>
                                    <w:rPr>
                                      <w:sz w:val="20"/>
                                    </w:rPr>
                                  </w:pPr>
                                  <w:r>
                                    <w:rPr>
                                      <w:spacing w:val="-2"/>
                                      <w:sz w:val="20"/>
                                    </w:rPr>
                                    <w:t>Tafinlar</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Dabrafenib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ight="0"/>
                                    <w:rPr>
                                      <w:rFonts w:ascii="SimSun" w:eastAsia="SimSun"/>
                                      <w:sz w:val="20"/>
                                    </w:rPr>
                                  </w:pPr>
                                  <w:r>
                                    <w:rPr>
                                      <w:rFonts w:ascii="SimSun" w:eastAsia="SimSun"/>
                                      <w:spacing w:val="-5"/>
                                      <w:sz w:val="20"/>
                                    </w:rPr>
                                    <w:t>兆科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8"/>
                                    <w:rPr>
                                      <w:sz w:val="20"/>
                                    </w:rPr>
                                  </w:pPr>
                                  <w:r>
                                    <w:rPr>
                                      <w:spacing w:val="-2"/>
                                      <w:sz w:val="20"/>
                                    </w:rPr>
                                    <w:t>Darzalex</w:t>
                                  </w:r>
                                </w:p>
                              </w:tc>
                              <w:tc>
                                <w:tcPr>
                                  <w:tcW w:w="4537" w:type="dxa"/>
                                  <w:tcBorders>
                                    <w:top w:val="single" w:sz="4" w:space="0" w:color="000000"/>
                                    <w:left w:val="single" w:sz="4" w:space="0" w:color="000000"/>
                                    <w:bottom w:val="single" w:sz="4" w:space="0" w:color="000000"/>
                                  </w:tcBorders>
                                </w:tcPr>
                                <w:p>
                                  <w:pPr>
                                    <w:pStyle w:val="TableParagraph"/>
                                    <w:rPr>
                                      <w:sz w:val="20"/>
                                    </w:rPr>
                                  </w:pPr>
                                  <w:r>
                                    <w:rPr>
                                      <w:spacing w:val="-2"/>
                                      <w:sz w:val="20"/>
                                    </w:rPr>
                                    <w:t>Daratumumab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2"/>
                                    <w:ind w:left="19" w:right="0"/>
                                    <w:rPr>
                                      <w:rFonts w:ascii="SimSun" w:eastAsia="SimSun"/>
                                      <w:sz w:val="20"/>
                                    </w:rPr>
                                  </w:pPr>
                                  <w:r>
                                    <w:rPr>
                                      <w:rFonts w:ascii="SimSun" w:eastAsia="SimSun"/>
                                      <w:spacing w:val="-5"/>
                                      <w:sz w:val="20"/>
                                    </w:rPr>
                                    <w:t>柏萊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Sprycel</w:t>
                                  </w:r>
                                </w:p>
                              </w:tc>
                              <w:tc>
                                <w:tcPr>
                                  <w:tcW w:w="4537" w:type="dxa"/>
                                  <w:tcBorders>
                                    <w:top w:val="single" w:sz="4" w:space="0" w:color="000000"/>
                                    <w:left w:val="single" w:sz="4" w:space="0" w:color="000000"/>
                                    <w:bottom w:val="single" w:sz="4" w:space="0" w:color="000000"/>
                                  </w:tcBorders>
                                </w:tcPr>
                                <w:p>
                                  <w:pPr>
                                    <w:pStyle w:val="TableParagraph"/>
                                    <w:ind w:right="6"/>
                                    <w:rPr>
                                      <w:sz w:val="20"/>
                                    </w:rPr>
                                  </w:pPr>
                                  <w:r>
                                    <w:rPr>
                                      <w:spacing w:val="-2"/>
                                      <w:sz w:val="20"/>
                                    </w:rPr>
                                    <w:t>Dasatinib</w:t>
                                  </w:r>
                                </w:p>
                              </w:tc>
                            </w:tr>
                            <w:tr>
                              <w:trPr>
                                <w:trHeight w:val="398" w:hRule="atLeast"/>
                              </w:trPr>
                              <w:tc>
                                <w:tcPr>
                                  <w:tcW w:w="2410" w:type="dxa"/>
                                  <w:tcBorders>
                                    <w:top w:val="single" w:sz="4" w:space="0" w:color="000000"/>
                                    <w:bottom w:val="single" w:sz="4" w:space="0" w:color="000000"/>
                                    <w:right w:val="single" w:sz="4" w:space="0" w:color="000000"/>
                                  </w:tcBorders>
                                </w:tcPr>
                                <w:p>
                                  <w:pPr>
                                    <w:pStyle w:val="TableParagraph"/>
                                    <w:spacing w:before="119"/>
                                    <w:ind w:left="19"/>
                                    <w:rPr>
                                      <w:rFonts w:ascii="SimSun" w:eastAsia="SimSun"/>
                                      <w:sz w:val="20"/>
                                    </w:rPr>
                                  </w:pPr>
                                  <w:r>
                                    <w:rPr>
                                      <w:rFonts w:ascii="SimSun" w:eastAsia="SimSun"/>
                                      <w:spacing w:val="-5"/>
                                      <w:sz w:val="20"/>
                                    </w:rPr>
                                    <w:t>癌骨瓦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131"/>
                                    <w:ind w:left="36" w:right="4"/>
                                    <w:rPr>
                                      <w:sz w:val="20"/>
                                    </w:rPr>
                                  </w:pPr>
                                  <w:r>
                                    <w:rPr>
                                      <w:spacing w:val="-2"/>
                                      <w:sz w:val="20"/>
                                    </w:rPr>
                                    <w:t>Xgeva</w:t>
                                  </w:r>
                                </w:p>
                              </w:tc>
                              <w:tc>
                                <w:tcPr>
                                  <w:tcW w:w="4537" w:type="dxa"/>
                                  <w:tcBorders>
                                    <w:top w:val="single" w:sz="4" w:space="0" w:color="000000"/>
                                    <w:left w:val="single" w:sz="4" w:space="0" w:color="000000"/>
                                    <w:bottom w:val="single" w:sz="4" w:space="0" w:color="000000"/>
                                  </w:tcBorders>
                                </w:tcPr>
                                <w:p>
                                  <w:pPr>
                                    <w:pStyle w:val="TableParagraph"/>
                                    <w:spacing w:before="131"/>
                                    <w:ind w:right="3"/>
                                    <w:rPr>
                                      <w:sz w:val="20"/>
                                    </w:rPr>
                                  </w:pPr>
                                  <w:r>
                                    <w:rPr>
                                      <w:spacing w:val="-2"/>
                                      <w:sz w:val="20"/>
                                    </w:rPr>
                                    <w:t>Denosumab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得舒緩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Tarceva</w:t>
                                  </w:r>
                                </w:p>
                              </w:tc>
                              <w:tc>
                                <w:tcPr>
                                  <w:tcW w:w="4537" w:type="dxa"/>
                                  <w:tcBorders>
                                    <w:top w:val="single" w:sz="4" w:space="0" w:color="000000"/>
                                    <w:left w:val="single" w:sz="4" w:space="0" w:color="000000"/>
                                    <w:bottom w:val="single" w:sz="4" w:space="0" w:color="000000"/>
                                  </w:tcBorders>
                                </w:tcPr>
                                <w:p>
                                  <w:pPr>
                                    <w:pStyle w:val="TableParagraph"/>
                                    <w:ind w:right="6"/>
                                    <w:rPr>
                                      <w:sz w:val="20"/>
                                    </w:rPr>
                                  </w:pPr>
                                  <w:r>
                                    <w:rPr>
                                      <w:spacing w:val="-2"/>
                                      <w:sz w:val="20"/>
                                    </w:rPr>
                                    <w:t>Erlotinib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癌伏妥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5"/>
                                    <w:rPr>
                                      <w:sz w:val="20"/>
                                    </w:rPr>
                                  </w:pPr>
                                  <w:r>
                                    <w:rPr>
                                      <w:spacing w:val="-2"/>
                                      <w:sz w:val="20"/>
                                    </w:rPr>
                                    <w:t>Afinitor</w:t>
                                  </w:r>
                                </w:p>
                              </w:tc>
                              <w:tc>
                                <w:tcPr>
                                  <w:tcW w:w="4537" w:type="dxa"/>
                                  <w:tcBorders>
                                    <w:top w:val="single" w:sz="4" w:space="0" w:color="000000"/>
                                    <w:left w:val="single" w:sz="4" w:space="0" w:color="000000"/>
                                    <w:bottom w:val="single" w:sz="4" w:space="0" w:color="000000"/>
                                  </w:tcBorders>
                                </w:tcPr>
                                <w:p>
                                  <w:pPr>
                                    <w:pStyle w:val="TableParagraph"/>
                                    <w:ind w:right="0"/>
                                    <w:rPr>
                                      <w:sz w:val="20"/>
                                    </w:rPr>
                                  </w:pPr>
                                  <w:r>
                                    <w:rPr>
                                      <w:spacing w:val="-2"/>
                                      <w:sz w:val="20"/>
                                    </w:rPr>
                                    <w:t>Everolimus</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艾瑞莎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5"/>
                                    <w:rPr>
                                      <w:sz w:val="20"/>
                                    </w:rPr>
                                  </w:pPr>
                                  <w:r>
                                    <w:rPr>
                                      <w:spacing w:val="-2"/>
                                      <w:sz w:val="20"/>
                                    </w:rPr>
                                    <w:t>Iressa</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Gefitinib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ight="0"/>
                                    <w:rPr>
                                      <w:rFonts w:ascii="SimSun" w:eastAsia="SimSun"/>
                                      <w:sz w:val="20"/>
                                    </w:rPr>
                                  </w:pPr>
                                  <w:r>
                                    <w:rPr>
                                      <w:rFonts w:ascii="SimSun" w:eastAsia="SimSun"/>
                                      <w:spacing w:val="-5"/>
                                      <w:sz w:val="20"/>
                                    </w:rPr>
                                    <w:t>億珂</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Imbruvica</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Ibrutinib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基利克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5"/>
                                    <w:rPr>
                                      <w:sz w:val="20"/>
                                    </w:rPr>
                                  </w:pPr>
                                  <w:r>
                                    <w:rPr>
                                      <w:spacing w:val="-2"/>
                                      <w:sz w:val="20"/>
                                    </w:rPr>
                                    <w:t>Glivec</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Imatinib</w:t>
                                  </w:r>
                                </w:p>
                              </w:tc>
                            </w:tr>
                          </w:tbl>
                          <w:p>
                            <w:pPr>
                              <w:pStyle w:val="BodyText"/>
                              <w:ind w:left="0"/>
                            </w:pPr>
                          </w:p>
                        </w:txbxContent>
                      </wps:txbx>
                      <wps:bodyPr wrap="square" lIns="0" tIns="0" rIns="0" bIns="0" rtlCol="0">
                        <a:noAutofit/>
                      </wps:bodyPr>
                    </wps:wsp>
                  </a:graphicData>
                </a:graphic>
              </wp:anchor>
            </w:drawing>
          </mc:Choice>
          <mc:Fallback>
            <w:pict>
              <v:shape style="position:absolute;margin-left:52.919998pt;margin-top:20.175753pt;width:489.5pt;height:513.5500pt;mso-position-horizontal-relative:page;mso-position-vertical-relative:paragraph;z-index:15732736" type="#_x0000_t202" id="docshape2"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10"/>
                        <w:gridCol w:w="2693"/>
                        <w:gridCol w:w="4537"/>
                      </w:tblGrid>
                      <w:tr>
                        <w:trPr>
                          <w:trHeight w:val="402" w:hRule="atLeast"/>
                        </w:trPr>
                        <w:tc>
                          <w:tcPr>
                            <w:tcW w:w="2410" w:type="dxa"/>
                            <w:tcBorders>
                              <w:bottom w:val="single" w:sz="4" w:space="0" w:color="000000"/>
                              <w:right w:val="single" w:sz="4" w:space="0" w:color="000000"/>
                            </w:tcBorders>
                          </w:tcPr>
                          <w:p>
                            <w:pPr>
                              <w:pStyle w:val="TableParagraph"/>
                              <w:spacing w:before="123"/>
                              <w:ind w:left="19" w:right="3"/>
                              <w:rPr>
                                <w:rFonts w:ascii="SimSun" w:eastAsia="SimSun"/>
                                <w:sz w:val="20"/>
                              </w:rPr>
                            </w:pPr>
                            <w:r>
                              <w:rPr>
                                <w:rFonts w:ascii="SimSun" w:eastAsia="SimSun"/>
                                <w:spacing w:val="-4"/>
                                <w:sz w:val="20"/>
                              </w:rPr>
                              <w:t>中文藥品名</w:t>
                            </w:r>
                          </w:p>
                        </w:tc>
                        <w:tc>
                          <w:tcPr>
                            <w:tcW w:w="2693" w:type="dxa"/>
                            <w:tcBorders>
                              <w:left w:val="single" w:sz="4" w:space="0" w:color="000000"/>
                              <w:bottom w:val="single" w:sz="4" w:space="0" w:color="000000"/>
                              <w:right w:val="single" w:sz="4" w:space="0" w:color="000000"/>
                            </w:tcBorders>
                          </w:tcPr>
                          <w:p>
                            <w:pPr>
                              <w:pStyle w:val="TableParagraph"/>
                              <w:spacing w:before="123"/>
                              <w:ind w:left="36" w:right="5"/>
                              <w:rPr>
                                <w:rFonts w:ascii="SimSun" w:eastAsia="SimSun"/>
                                <w:sz w:val="20"/>
                              </w:rPr>
                            </w:pPr>
                            <w:r>
                              <w:rPr>
                                <w:rFonts w:ascii="SimSun" w:eastAsia="SimSun"/>
                                <w:spacing w:val="-4"/>
                                <w:sz w:val="20"/>
                              </w:rPr>
                              <w:t>英文藥品名</w:t>
                            </w:r>
                          </w:p>
                        </w:tc>
                        <w:tc>
                          <w:tcPr>
                            <w:tcW w:w="4537" w:type="dxa"/>
                            <w:tcBorders>
                              <w:left w:val="single" w:sz="4" w:space="0" w:color="000000"/>
                              <w:bottom w:val="single" w:sz="4" w:space="0" w:color="000000"/>
                            </w:tcBorders>
                          </w:tcPr>
                          <w:p>
                            <w:pPr>
                              <w:pStyle w:val="TableParagraph"/>
                              <w:spacing w:before="123"/>
                              <w:ind w:right="2"/>
                              <w:rPr>
                                <w:rFonts w:ascii="SimSun" w:eastAsia="SimSun"/>
                                <w:sz w:val="20"/>
                              </w:rPr>
                            </w:pPr>
                            <w:r>
                              <w:rPr>
                                <w:rFonts w:ascii="SimSun" w:eastAsia="SimSun"/>
                                <w:spacing w:val="-5"/>
                                <w:sz w:val="20"/>
                              </w:rPr>
                              <w:t>藥學名</w:t>
                            </w:r>
                          </w:p>
                        </w:tc>
                      </w:tr>
                      <w:tr>
                        <w:trPr>
                          <w:trHeight w:val="397" w:hRule="atLeast"/>
                        </w:trPr>
                        <w:tc>
                          <w:tcPr>
                            <w:tcW w:w="2410" w:type="dxa"/>
                            <w:tcBorders>
                              <w:top w:val="single" w:sz="4" w:space="0" w:color="000000"/>
                              <w:bottom w:val="single" w:sz="4" w:space="0" w:color="000000"/>
                              <w:right w:val="single" w:sz="4" w:space="0" w:color="000000"/>
                            </w:tcBorders>
                          </w:tcPr>
                          <w:p>
                            <w:pPr>
                              <w:pStyle w:val="TableParagraph"/>
                              <w:spacing w:before="119"/>
                              <w:ind w:left="19"/>
                              <w:rPr>
                                <w:rFonts w:ascii="SimSun" w:eastAsia="SimSun"/>
                                <w:sz w:val="20"/>
                              </w:rPr>
                            </w:pPr>
                            <w:r>
                              <w:rPr>
                                <w:rFonts w:ascii="SimSun" w:eastAsia="SimSun"/>
                                <w:spacing w:val="-5"/>
                                <w:sz w:val="20"/>
                              </w:rPr>
                              <w:t>捷癌寧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131"/>
                              <w:ind w:left="36" w:right="4"/>
                              <w:rPr>
                                <w:sz w:val="20"/>
                              </w:rPr>
                            </w:pPr>
                            <w:r>
                              <w:rPr>
                                <w:spacing w:val="-2"/>
                                <w:sz w:val="20"/>
                              </w:rPr>
                              <w:t>Verzenio</w:t>
                            </w:r>
                          </w:p>
                        </w:tc>
                        <w:tc>
                          <w:tcPr>
                            <w:tcW w:w="4537" w:type="dxa"/>
                            <w:tcBorders>
                              <w:top w:val="single" w:sz="4" w:space="0" w:color="000000"/>
                              <w:left w:val="single" w:sz="4" w:space="0" w:color="000000"/>
                              <w:bottom w:val="single" w:sz="4" w:space="0" w:color="000000"/>
                            </w:tcBorders>
                          </w:tcPr>
                          <w:p>
                            <w:pPr>
                              <w:pStyle w:val="TableParagraph"/>
                              <w:spacing w:before="131"/>
                              <w:ind w:right="6"/>
                              <w:rPr>
                                <w:sz w:val="20"/>
                              </w:rPr>
                            </w:pPr>
                            <w:r>
                              <w:rPr>
                                <w:spacing w:val="-2"/>
                                <w:sz w:val="20"/>
                              </w:rPr>
                              <w:t>Abemaciclib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妥復克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Giotrif</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Afatinib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柔癌捕</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7"/>
                              <w:rPr>
                                <w:sz w:val="20"/>
                              </w:rPr>
                            </w:pPr>
                            <w:r>
                              <w:rPr>
                                <w:spacing w:val="-2"/>
                                <w:sz w:val="20"/>
                              </w:rPr>
                              <w:t>Zaltrap</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Aflibercept</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安立適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7"/>
                              <w:rPr>
                                <w:sz w:val="20"/>
                              </w:rPr>
                            </w:pPr>
                            <w:r>
                              <w:rPr>
                                <w:spacing w:val="-2"/>
                                <w:sz w:val="20"/>
                              </w:rPr>
                              <w:t>Alecensa</w:t>
                            </w:r>
                          </w:p>
                        </w:tc>
                        <w:tc>
                          <w:tcPr>
                            <w:tcW w:w="4537" w:type="dxa"/>
                            <w:tcBorders>
                              <w:top w:val="single" w:sz="4" w:space="0" w:color="000000"/>
                              <w:left w:val="single" w:sz="4" w:space="0" w:color="000000"/>
                              <w:bottom w:val="single" w:sz="4" w:space="0" w:color="000000"/>
                            </w:tcBorders>
                          </w:tcPr>
                          <w:p>
                            <w:pPr>
                              <w:pStyle w:val="TableParagraph"/>
                              <w:ind w:right="6"/>
                              <w:rPr>
                                <w:sz w:val="20"/>
                              </w:rPr>
                            </w:pPr>
                            <w:r>
                              <w:rPr>
                                <w:spacing w:val="-2"/>
                                <w:sz w:val="20"/>
                              </w:rPr>
                              <w:t>Alectinib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抑癌特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Inlyta</w:t>
                            </w:r>
                          </w:p>
                        </w:tc>
                        <w:tc>
                          <w:tcPr>
                            <w:tcW w:w="4537" w:type="dxa"/>
                            <w:tcBorders>
                              <w:top w:val="single" w:sz="4" w:space="0" w:color="000000"/>
                              <w:left w:val="single" w:sz="4" w:space="0" w:color="000000"/>
                              <w:bottom w:val="single" w:sz="4" w:space="0" w:color="000000"/>
                            </w:tcBorders>
                          </w:tcPr>
                          <w:p>
                            <w:pPr>
                              <w:pStyle w:val="TableParagraph"/>
                              <w:ind w:right="6"/>
                              <w:rPr>
                                <w:sz w:val="20"/>
                              </w:rPr>
                            </w:pPr>
                            <w:r>
                              <w:rPr>
                                <w:spacing w:val="-2"/>
                                <w:sz w:val="20"/>
                              </w:rPr>
                              <w:t>Axitinib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癌思停</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Avastin</w:t>
                            </w:r>
                          </w:p>
                        </w:tc>
                        <w:tc>
                          <w:tcPr>
                            <w:tcW w:w="4537" w:type="dxa"/>
                            <w:tcBorders>
                              <w:top w:val="single" w:sz="4" w:space="0" w:color="000000"/>
                              <w:left w:val="single" w:sz="4" w:space="0" w:color="000000"/>
                              <w:bottom w:val="single" w:sz="4" w:space="0" w:color="000000"/>
                            </w:tcBorders>
                          </w:tcPr>
                          <w:p>
                            <w:pPr>
                              <w:pStyle w:val="TableParagraph"/>
                              <w:rPr>
                                <w:sz w:val="20"/>
                              </w:rPr>
                            </w:pPr>
                            <w:r>
                              <w:rPr>
                                <w:spacing w:val="-2"/>
                                <w:sz w:val="20"/>
                              </w:rPr>
                              <w:t>Bevacizumab</w:t>
                            </w:r>
                          </w:p>
                        </w:tc>
                      </w:tr>
                      <w:tr>
                        <w:trPr>
                          <w:trHeight w:val="397" w:hRule="atLeast"/>
                        </w:trPr>
                        <w:tc>
                          <w:tcPr>
                            <w:tcW w:w="2410" w:type="dxa"/>
                            <w:tcBorders>
                              <w:top w:val="single" w:sz="4" w:space="0" w:color="000000"/>
                              <w:bottom w:val="single" w:sz="4" w:space="0" w:color="000000"/>
                              <w:right w:val="single" w:sz="4" w:space="0" w:color="000000"/>
                            </w:tcBorders>
                          </w:tcPr>
                          <w:p>
                            <w:pPr>
                              <w:pStyle w:val="TableParagraph"/>
                              <w:spacing w:before="119"/>
                              <w:ind w:left="19" w:right="0"/>
                              <w:rPr>
                                <w:rFonts w:ascii="SimSun" w:eastAsia="SimSun"/>
                                <w:sz w:val="20"/>
                              </w:rPr>
                            </w:pPr>
                            <w:r>
                              <w:rPr>
                                <w:rFonts w:ascii="SimSun" w:eastAsia="SimSun"/>
                                <w:spacing w:val="-5"/>
                                <w:sz w:val="20"/>
                              </w:rPr>
                              <w:t>萬科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131"/>
                              <w:ind w:left="36" w:right="7"/>
                              <w:rPr>
                                <w:sz w:val="20"/>
                              </w:rPr>
                            </w:pPr>
                            <w:r>
                              <w:rPr>
                                <w:spacing w:val="-2"/>
                                <w:sz w:val="20"/>
                              </w:rPr>
                              <w:t>Velcade</w:t>
                            </w:r>
                          </w:p>
                        </w:tc>
                        <w:tc>
                          <w:tcPr>
                            <w:tcW w:w="4537" w:type="dxa"/>
                            <w:tcBorders>
                              <w:top w:val="single" w:sz="4" w:space="0" w:color="000000"/>
                              <w:left w:val="single" w:sz="4" w:space="0" w:color="000000"/>
                              <w:bottom w:val="single" w:sz="4" w:space="0" w:color="000000"/>
                            </w:tcBorders>
                          </w:tcPr>
                          <w:p>
                            <w:pPr>
                              <w:pStyle w:val="TableParagraph"/>
                              <w:spacing w:before="131"/>
                              <w:ind w:right="4"/>
                              <w:rPr>
                                <w:sz w:val="20"/>
                              </w:rPr>
                            </w:pPr>
                            <w:r>
                              <w:rPr>
                                <w:spacing w:val="-2"/>
                                <w:sz w:val="20"/>
                              </w:rPr>
                              <w:t>Bortezomib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雅詩力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8"/>
                              <w:rPr>
                                <w:sz w:val="20"/>
                              </w:rPr>
                            </w:pPr>
                            <w:r>
                              <w:rPr>
                                <w:spacing w:val="-2"/>
                                <w:sz w:val="20"/>
                              </w:rPr>
                              <w:t>Adcetris</w:t>
                            </w:r>
                          </w:p>
                        </w:tc>
                        <w:tc>
                          <w:tcPr>
                            <w:tcW w:w="4537" w:type="dxa"/>
                            <w:tcBorders>
                              <w:top w:val="single" w:sz="4" w:space="0" w:color="000000"/>
                              <w:left w:val="single" w:sz="4" w:space="0" w:color="000000"/>
                              <w:bottom w:val="single" w:sz="4" w:space="0" w:color="000000"/>
                            </w:tcBorders>
                          </w:tcPr>
                          <w:p>
                            <w:pPr>
                              <w:pStyle w:val="TableParagraph"/>
                              <w:ind w:right="5"/>
                              <w:rPr>
                                <w:sz w:val="20"/>
                              </w:rPr>
                            </w:pPr>
                            <w:r>
                              <w:rPr>
                                <w:spacing w:val="-2"/>
                                <w:sz w:val="20"/>
                              </w:rPr>
                              <w:t>Brentuximabvedotin</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癌能畢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5"/>
                              <w:rPr>
                                <w:sz w:val="20"/>
                              </w:rPr>
                            </w:pPr>
                            <w:r>
                              <w:rPr>
                                <w:spacing w:val="-2"/>
                                <w:sz w:val="20"/>
                              </w:rPr>
                              <w:t>Alunbrig</w:t>
                            </w:r>
                          </w:p>
                        </w:tc>
                        <w:tc>
                          <w:tcPr>
                            <w:tcW w:w="4537" w:type="dxa"/>
                            <w:tcBorders>
                              <w:top w:val="single" w:sz="4" w:space="0" w:color="000000"/>
                              <w:left w:val="single" w:sz="4" w:space="0" w:color="000000"/>
                              <w:bottom w:val="single" w:sz="4" w:space="0" w:color="000000"/>
                            </w:tcBorders>
                          </w:tcPr>
                          <w:p>
                            <w:pPr>
                              <w:pStyle w:val="TableParagraph"/>
                              <w:ind w:right="6"/>
                              <w:rPr>
                                <w:sz w:val="20"/>
                              </w:rPr>
                            </w:pPr>
                            <w:r>
                              <w:rPr>
                                <w:spacing w:val="-2"/>
                                <w:sz w:val="20"/>
                              </w:rPr>
                              <w:t>Brigatinib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癌必定</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8"/>
                              <w:rPr>
                                <w:sz w:val="20"/>
                              </w:rPr>
                            </w:pPr>
                            <w:r>
                              <w:rPr>
                                <w:spacing w:val="-2"/>
                                <w:sz w:val="20"/>
                              </w:rPr>
                              <w:t>Cabometyx</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Cabozantinib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凱博斯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Kyprolis</w:t>
                            </w:r>
                          </w:p>
                        </w:tc>
                        <w:tc>
                          <w:tcPr>
                            <w:tcW w:w="4537" w:type="dxa"/>
                            <w:tcBorders>
                              <w:top w:val="single" w:sz="4" w:space="0" w:color="000000"/>
                              <w:left w:val="single" w:sz="4" w:space="0" w:color="000000"/>
                              <w:bottom w:val="single" w:sz="4" w:space="0" w:color="000000"/>
                            </w:tcBorders>
                          </w:tcPr>
                          <w:p>
                            <w:pPr>
                              <w:pStyle w:val="TableParagraph"/>
                              <w:ind w:right="6"/>
                              <w:rPr>
                                <w:sz w:val="20"/>
                              </w:rPr>
                            </w:pPr>
                            <w:r>
                              <w:rPr>
                                <w:spacing w:val="-2"/>
                                <w:sz w:val="20"/>
                              </w:rPr>
                              <w:t>Carfilzomib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立克癌</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Zykadia</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Ceritinib</w:t>
                            </w:r>
                          </w:p>
                        </w:tc>
                      </w:tr>
                      <w:tr>
                        <w:trPr>
                          <w:trHeight w:val="397" w:hRule="atLeast"/>
                        </w:trPr>
                        <w:tc>
                          <w:tcPr>
                            <w:tcW w:w="2410" w:type="dxa"/>
                            <w:tcBorders>
                              <w:top w:val="single" w:sz="4" w:space="0" w:color="000000"/>
                              <w:bottom w:val="single" w:sz="4" w:space="0" w:color="000000"/>
                              <w:right w:val="single" w:sz="4" w:space="0" w:color="000000"/>
                            </w:tcBorders>
                          </w:tcPr>
                          <w:p>
                            <w:pPr>
                              <w:pStyle w:val="TableParagraph"/>
                              <w:spacing w:before="119"/>
                              <w:ind w:left="19" w:right="3"/>
                              <w:rPr>
                                <w:rFonts w:ascii="SimSun" w:eastAsia="SimSun"/>
                                <w:sz w:val="20"/>
                              </w:rPr>
                            </w:pPr>
                            <w:r>
                              <w:rPr>
                                <w:rFonts w:ascii="SimSun" w:eastAsia="SimSun"/>
                                <w:spacing w:val="-4"/>
                                <w:sz w:val="20"/>
                              </w:rPr>
                              <w:t>爾必得舒</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131"/>
                              <w:ind w:left="36" w:right="6"/>
                              <w:rPr>
                                <w:sz w:val="20"/>
                              </w:rPr>
                            </w:pPr>
                            <w:r>
                              <w:rPr>
                                <w:spacing w:val="-2"/>
                                <w:sz w:val="20"/>
                              </w:rPr>
                              <w:t>Erbitux</w:t>
                            </w:r>
                          </w:p>
                        </w:tc>
                        <w:tc>
                          <w:tcPr>
                            <w:tcW w:w="4537" w:type="dxa"/>
                            <w:tcBorders>
                              <w:top w:val="single" w:sz="4" w:space="0" w:color="000000"/>
                              <w:left w:val="single" w:sz="4" w:space="0" w:color="000000"/>
                              <w:bottom w:val="single" w:sz="4" w:space="0" w:color="000000"/>
                            </w:tcBorders>
                          </w:tcPr>
                          <w:p>
                            <w:pPr>
                              <w:pStyle w:val="TableParagraph"/>
                              <w:spacing w:before="131"/>
                              <w:rPr>
                                <w:sz w:val="20"/>
                              </w:rPr>
                            </w:pPr>
                            <w:r>
                              <w:rPr>
                                <w:spacing w:val="-2"/>
                                <w:sz w:val="20"/>
                              </w:rPr>
                              <w:t>Cetuximab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可泰利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6"/>
                              <w:rPr>
                                <w:sz w:val="20"/>
                              </w:rPr>
                            </w:pPr>
                            <w:r>
                              <w:rPr>
                                <w:spacing w:val="-2"/>
                                <w:sz w:val="20"/>
                              </w:rPr>
                              <w:t>Cotellic</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Cobimetinib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截剋瘤</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Xalkori</w:t>
                            </w:r>
                          </w:p>
                        </w:tc>
                        <w:tc>
                          <w:tcPr>
                            <w:tcW w:w="4537" w:type="dxa"/>
                            <w:tcBorders>
                              <w:top w:val="single" w:sz="4" w:space="0" w:color="000000"/>
                              <w:left w:val="single" w:sz="4" w:space="0" w:color="000000"/>
                              <w:bottom w:val="single" w:sz="4" w:space="0" w:color="000000"/>
                            </w:tcBorders>
                          </w:tcPr>
                          <w:p>
                            <w:pPr>
                              <w:pStyle w:val="TableParagraph"/>
                              <w:ind w:right="7"/>
                              <w:rPr>
                                <w:sz w:val="20"/>
                              </w:rPr>
                            </w:pPr>
                            <w:r>
                              <w:rPr>
                                <w:spacing w:val="-2"/>
                                <w:sz w:val="20"/>
                              </w:rPr>
                              <w:t>Crizotinib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泰伏樂</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7"/>
                              <w:rPr>
                                <w:sz w:val="20"/>
                              </w:rPr>
                            </w:pPr>
                            <w:r>
                              <w:rPr>
                                <w:spacing w:val="-2"/>
                                <w:sz w:val="20"/>
                              </w:rPr>
                              <w:t>Tafinlar</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Dabrafenib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ight="0"/>
                              <w:rPr>
                                <w:rFonts w:ascii="SimSun" w:eastAsia="SimSun"/>
                                <w:sz w:val="20"/>
                              </w:rPr>
                            </w:pPr>
                            <w:r>
                              <w:rPr>
                                <w:rFonts w:ascii="SimSun" w:eastAsia="SimSun"/>
                                <w:spacing w:val="-5"/>
                                <w:sz w:val="20"/>
                              </w:rPr>
                              <w:t>兆科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8"/>
                              <w:rPr>
                                <w:sz w:val="20"/>
                              </w:rPr>
                            </w:pPr>
                            <w:r>
                              <w:rPr>
                                <w:spacing w:val="-2"/>
                                <w:sz w:val="20"/>
                              </w:rPr>
                              <w:t>Darzalex</w:t>
                            </w:r>
                          </w:p>
                        </w:tc>
                        <w:tc>
                          <w:tcPr>
                            <w:tcW w:w="4537" w:type="dxa"/>
                            <w:tcBorders>
                              <w:top w:val="single" w:sz="4" w:space="0" w:color="000000"/>
                              <w:left w:val="single" w:sz="4" w:space="0" w:color="000000"/>
                              <w:bottom w:val="single" w:sz="4" w:space="0" w:color="000000"/>
                            </w:tcBorders>
                          </w:tcPr>
                          <w:p>
                            <w:pPr>
                              <w:pStyle w:val="TableParagraph"/>
                              <w:rPr>
                                <w:sz w:val="20"/>
                              </w:rPr>
                            </w:pPr>
                            <w:r>
                              <w:rPr>
                                <w:spacing w:val="-2"/>
                                <w:sz w:val="20"/>
                              </w:rPr>
                              <w:t>Daratumumab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2"/>
                              <w:ind w:left="19" w:right="0"/>
                              <w:rPr>
                                <w:rFonts w:ascii="SimSun" w:eastAsia="SimSun"/>
                                <w:sz w:val="20"/>
                              </w:rPr>
                            </w:pPr>
                            <w:r>
                              <w:rPr>
                                <w:rFonts w:ascii="SimSun" w:eastAsia="SimSun"/>
                                <w:spacing w:val="-5"/>
                                <w:sz w:val="20"/>
                              </w:rPr>
                              <w:t>柏萊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Sprycel</w:t>
                            </w:r>
                          </w:p>
                        </w:tc>
                        <w:tc>
                          <w:tcPr>
                            <w:tcW w:w="4537" w:type="dxa"/>
                            <w:tcBorders>
                              <w:top w:val="single" w:sz="4" w:space="0" w:color="000000"/>
                              <w:left w:val="single" w:sz="4" w:space="0" w:color="000000"/>
                              <w:bottom w:val="single" w:sz="4" w:space="0" w:color="000000"/>
                            </w:tcBorders>
                          </w:tcPr>
                          <w:p>
                            <w:pPr>
                              <w:pStyle w:val="TableParagraph"/>
                              <w:ind w:right="6"/>
                              <w:rPr>
                                <w:sz w:val="20"/>
                              </w:rPr>
                            </w:pPr>
                            <w:r>
                              <w:rPr>
                                <w:spacing w:val="-2"/>
                                <w:sz w:val="20"/>
                              </w:rPr>
                              <w:t>Dasatinib</w:t>
                            </w:r>
                          </w:p>
                        </w:tc>
                      </w:tr>
                      <w:tr>
                        <w:trPr>
                          <w:trHeight w:val="398" w:hRule="atLeast"/>
                        </w:trPr>
                        <w:tc>
                          <w:tcPr>
                            <w:tcW w:w="2410" w:type="dxa"/>
                            <w:tcBorders>
                              <w:top w:val="single" w:sz="4" w:space="0" w:color="000000"/>
                              <w:bottom w:val="single" w:sz="4" w:space="0" w:color="000000"/>
                              <w:right w:val="single" w:sz="4" w:space="0" w:color="000000"/>
                            </w:tcBorders>
                          </w:tcPr>
                          <w:p>
                            <w:pPr>
                              <w:pStyle w:val="TableParagraph"/>
                              <w:spacing w:before="119"/>
                              <w:ind w:left="19"/>
                              <w:rPr>
                                <w:rFonts w:ascii="SimSun" w:eastAsia="SimSun"/>
                                <w:sz w:val="20"/>
                              </w:rPr>
                            </w:pPr>
                            <w:r>
                              <w:rPr>
                                <w:rFonts w:ascii="SimSun" w:eastAsia="SimSun"/>
                                <w:spacing w:val="-5"/>
                                <w:sz w:val="20"/>
                              </w:rPr>
                              <w:t>癌骨瓦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131"/>
                              <w:ind w:left="36" w:right="4"/>
                              <w:rPr>
                                <w:sz w:val="20"/>
                              </w:rPr>
                            </w:pPr>
                            <w:r>
                              <w:rPr>
                                <w:spacing w:val="-2"/>
                                <w:sz w:val="20"/>
                              </w:rPr>
                              <w:t>Xgeva</w:t>
                            </w:r>
                          </w:p>
                        </w:tc>
                        <w:tc>
                          <w:tcPr>
                            <w:tcW w:w="4537" w:type="dxa"/>
                            <w:tcBorders>
                              <w:top w:val="single" w:sz="4" w:space="0" w:color="000000"/>
                              <w:left w:val="single" w:sz="4" w:space="0" w:color="000000"/>
                              <w:bottom w:val="single" w:sz="4" w:space="0" w:color="000000"/>
                            </w:tcBorders>
                          </w:tcPr>
                          <w:p>
                            <w:pPr>
                              <w:pStyle w:val="TableParagraph"/>
                              <w:spacing w:before="131"/>
                              <w:ind w:right="3"/>
                              <w:rPr>
                                <w:sz w:val="20"/>
                              </w:rPr>
                            </w:pPr>
                            <w:r>
                              <w:rPr>
                                <w:spacing w:val="-2"/>
                                <w:sz w:val="20"/>
                              </w:rPr>
                              <w:t>Denosumab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得舒緩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Tarceva</w:t>
                            </w:r>
                          </w:p>
                        </w:tc>
                        <w:tc>
                          <w:tcPr>
                            <w:tcW w:w="4537" w:type="dxa"/>
                            <w:tcBorders>
                              <w:top w:val="single" w:sz="4" w:space="0" w:color="000000"/>
                              <w:left w:val="single" w:sz="4" w:space="0" w:color="000000"/>
                              <w:bottom w:val="single" w:sz="4" w:space="0" w:color="000000"/>
                            </w:tcBorders>
                          </w:tcPr>
                          <w:p>
                            <w:pPr>
                              <w:pStyle w:val="TableParagraph"/>
                              <w:ind w:right="6"/>
                              <w:rPr>
                                <w:sz w:val="20"/>
                              </w:rPr>
                            </w:pPr>
                            <w:r>
                              <w:rPr>
                                <w:spacing w:val="-2"/>
                                <w:sz w:val="20"/>
                              </w:rPr>
                              <w:t>Erlotinib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癌伏妥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5"/>
                              <w:rPr>
                                <w:sz w:val="20"/>
                              </w:rPr>
                            </w:pPr>
                            <w:r>
                              <w:rPr>
                                <w:spacing w:val="-2"/>
                                <w:sz w:val="20"/>
                              </w:rPr>
                              <w:t>Afinitor</w:t>
                            </w:r>
                          </w:p>
                        </w:tc>
                        <w:tc>
                          <w:tcPr>
                            <w:tcW w:w="4537" w:type="dxa"/>
                            <w:tcBorders>
                              <w:top w:val="single" w:sz="4" w:space="0" w:color="000000"/>
                              <w:left w:val="single" w:sz="4" w:space="0" w:color="000000"/>
                              <w:bottom w:val="single" w:sz="4" w:space="0" w:color="000000"/>
                            </w:tcBorders>
                          </w:tcPr>
                          <w:p>
                            <w:pPr>
                              <w:pStyle w:val="TableParagraph"/>
                              <w:ind w:right="0"/>
                              <w:rPr>
                                <w:sz w:val="20"/>
                              </w:rPr>
                            </w:pPr>
                            <w:r>
                              <w:rPr>
                                <w:spacing w:val="-2"/>
                                <w:sz w:val="20"/>
                              </w:rPr>
                              <w:t>Everolimus</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艾瑞莎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5"/>
                              <w:rPr>
                                <w:sz w:val="20"/>
                              </w:rPr>
                            </w:pPr>
                            <w:r>
                              <w:rPr>
                                <w:spacing w:val="-2"/>
                                <w:sz w:val="20"/>
                              </w:rPr>
                              <w:t>Iressa</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Gefitinib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ight="0"/>
                              <w:rPr>
                                <w:rFonts w:ascii="SimSun" w:eastAsia="SimSun"/>
                                <w:sz w:val="20"/>
                              </w:rPr>
                            </w:pPr>
                            <w:r>
                              <w:rPr>
                                <w:rFonts w:ascii="SimSun" w:eastAsia="SimSun"/>
                                <w:spacing w:val="-5"/>
                                <w:sz w:val="20"/>
                              </w:rPr>
                              <w:t>億珂</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4"/>
                              <w:rPr>
                                <w:sz w:val="20"/>
                              </w:rPr>
                            </w:pPr>
                            <w:r>
                              <w:rPr>
                                <w:spacing w:val="-2"/>
                                <w:sz w:val="20"/>
                              </w:rPr>
                              <w:t>Imbruvica</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Ibrutinib</w:t>
                            </w:r>
                          </w:p>
                        </w:tc>
                      </w:tr>
                      <w:tr>
                        <w:trPr>
                          <w:trHeight w:val="400" w:hRule="atLeast"/>
                        </w:trPr>
                        <w:tc>
                          <w:tcPr>
                            <w:tcW w:w="2410" w:type="dxa"/>
                            <w:tcBorders>
                              <w:top w:val="single" w:sz="4" w:space="0" w:color="000000"/>
                              <w:bottom w:val="single" w:sz="4" w:space="0" w:color="000000"/>
                              <w:right w:val="single" w:sz="4" w:space="0" w:color="000000"/>
                            </w:tcBorders>
                          </w:tcPr>
                          <w:p>
                            <w:pPr>
                              <w:pStyle w:val="TableParagraph"/>
                              <w:spacing w:before="121"/>
                              <w:ind w:left="19"/>
                              <w:rPr>
                                <w:rFonts w:ascii="SimSun" w:eastAsia="SimSun"/>
                                <w:sz w:val="20"/>
                              </w:rPr>
                            </w:pPr>
                            <w:r>
                              <w:rPr>
                                <w:rFonts w:ascii="SimSun" w:eastAsia="SimSun"/>
                                <w:spacing w:val="-5"/>
                                <w:sz w:val="20"/>
                              </w:rPr>
                              <w:t>基利克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36" w:right="5"/>
                              <w:rPr>
                                <w:sz w:val="20"/>
                              </w:rPr>
                            </w:pPr>
                            <w:r>
                              <w:rPr>
                                <w:spacing w:val="-2"/>
                                <w:sz w:val="20"/>
                              </w:rPr>
                              <w:t>Glivec</w:t>
                            </w:r>
                          </w:p>
                        </w:tc>
                        <w:tc>
                          <w:tcPr>
                            <w:tcW w:w="4537" w:type="dxa"/>
                            <w:tcBorders>
                              <w:top w:val="single" w:sz="4" w:space="0" w:color="000000"/>
                              <w:left w:val="single" w:sz="4" w:space="0" w:color="000000"/>
                              <w:bottom w:val="single" w:sz="4" w:space="0" w:color="000000"/>
                            </w:tcBorders>
                          </w:tcPr>
                          <w:p>
                            <w:pPr>
                              <w:pStyle w:val="TableParagraph"/>
                              <w:ind w:right="4"/>
                              <w:rPr>
                                <w:sz w:val="20"/>
                              </w:rPr>
                            </w:pPr>
                            <w:r>
                              <w:rPr>
                                <w:spacing w:val="-2"/>
                                <w:sz w:val="20"/>
                              </w:rPr>
                              <w:t>Imatinib</w:t>
                            </w:r>
                          </w:p>
                        </w:tc>
                      </w:tr>
                    </w:tbl>
                    <w:p>
                      <w:pPr>
                        <w:pStyle w:val="BodyText"/>
                        <w:ind w:left="0"/>
                      </w:pPr>
                    </w:p>
                  </w:txbxContent>
                </v:textbox>
                <w10:wrap type="none"/>
              </v:shape>
            </w:pict>
          </mc:Fallback>
        </mc:AlternateContent>
      </w:r>
      <w:r>
        <w:rPr>
          <w:rFonts w:ascii="Microsoft JhengHei" w:eastAsia="Microsoft JhengHei"/>
          <w:b/>
          <w:spacing w:val="-1"/>
          <w:sz w:val="24"/>
        </w:rPr>
        <w:t>附件二：標靶治療藥物表</w:t>
      </w:r>
    </w:p>
    <w:p>
      <w:pPr>
        <w:spacing w:after="0"/>
        <w:jc w:val="left"/>
        <w:rPr>
          <w:rFonts w:ascii="Microsoft JhengHei" w:eastAsia="Microsoft JhengHei"/>
          <w:sz w:val="24"/>
        </w:rPr>
        <w:sectPr>
          <w:pgSz w:w="11910" w:h="16850"/>
          <w:pgMar w:header="0" w:footer="855" w:top="1380" w:bottom="1040" w:left="1000" w:right="760"/>
        </w:sect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2693"/>
        <w:gridCol w:w="4537"/>
      </w:tblGrid>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沛斯博</w:t>
            </w:r>
          </w:p>
        </w:tc>
        <w:tc>
          <w:tcPr>
            <w:tcW w:w="2693" w:type="dxa"/>
          </w:tcPr>
          <w:p>
            <w:pPr>
              <w:pStyle w:val="TableParagraph"/>
              <w:ind w:left="36" w:right="7"/>
              <w:rPr>
                <w:sz w:val="20"/>
              </w:rPr>
            </w:pPr>
            <w:r>
              <w:rPr>
                <w:spacing w:val="-2"/>
                <w:sz w:val="20"/>
              </w:rPr>
              <w:t>Besponsa</w:t>
            </w:r>
          </w:p>
        </w:tc>
        <w:tc>
          <w:tcPr>
            <w:tcW w:w="4537" w:type="dxa"/>
            <w:tcBorders>
              <w:right w:val="single" w:sz="12" w:space="0" w:color="000000"/>
            </w:tcBorders>
          </w:tcPr>
          <w:p>
            <w:pPr>
              <w:pStyle w:val="TableParagraph"/>
              <w:ind w:right="7"/>
              <w:rPr>
                <w:sz w:val="20"/>
              </w:rPr>
            </w:pPr>
            <w:r>
              <w:rPr>
                <w:spacing w:val="-2"/>
                <w:sz w:val="20"/>
              </w:rPr>
              <w:t>Inotuzumabozogamicin</w:t>
            </w:r>
          </w:p>
        </w:tc>
      </w:tr>
      <w:tr>
        <w:trPr>
          <w:trHeight w:val="397" w:hRule="atLeast"/>
        </w:trPr>
        <w:tc>
          <w:tcPr>
            <w:tcW w:w="2410" w:type="dxa"/>
            <w:tcBorders>
              <w:left w:val="single" w:sz="12" w:space="0" w:color="000000"/>
            </w:tcBorders>
          </w:tcPr>
          <w:p>
            <w:pPr>
              <w:pStyle w:val="TableParagraph"/>
              <w:spacing w:before="119"/>
              <w:ind w:left="19"/>
              <w:rPr>
                <w:rFonts w:ascii="SimSun" w:eastAsia="SimSun"/>
                <w:sz w:val="20"/>
              </w:rPr>
            </w:pPr>
            <w:r>
              <w:rPr>
                <w:rFonts w:ascii="SimSun" w:eastAsia="SimSun"/>
                <w:spacing w:val="-5"/>
                <w:sz w:val="20"/>
              </w:rPr>
              <w:t>免瘤諾</w:t>
            </w:r>
          </w:p>
        </w:tc>
        <w:tc>
          <w:tcPr>
            <w:tcW w:w="2693" w:type="dxa"/>
          </w:tcPr>
          <w:p>
            <w:pPr>
              <w:pStyle w:val="TableParagraph"/>
              <w:spacing w:before="131"/>
              <w:ind w:left="36" w:right="5"/>
              <w:rPr>
                <w:sz w:val="20"/>
              </w:rPr>
            </w:pPr>
            <w:r>
              <w:rPr>
                <w:spacing w:val="-2"/>
                <w:sz w:val="20"/>
              </w:rPr>
              <w:t>Ninlaro</w:t>
            </w:r>
          </w:p>
        </w:tc>
        <w:tc>
          <w:tcPr>
            <w:tcW w:w="4537" w:type="dxa"/>
            <w:tcBorders>
              <w:right w:val="single" w:sz="12" w:space="0" w:color="000000"/>
            </w:tcBorders>
          </w:tcPr>
          <w:p>
            <w:pPr>
              <w:pStyle w:val="TableParagraph"/>
              <w:spacing w:before="131"/>
              <w:ind w:right="4"/>
              <w:rPr>
                <w:sz w:val="20"/>
              </w:rPr>
            </w:pPr>
            <w:r>
              <w:rPr>
                <w:spacing w:val="-2"/>
                <w:sz w:val="20"/>
              </w:rPr>
              <w:t>Ixazomib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泰嘉錠</w:t>
            </w:r>
          </w:p>
        </w:tc>
        <w:tc>
          <w:tcPr>
            <w:tcW w:w="2693" w:type="dxa"/>
          </w:tcPr>
          <w:p>
            <w:pPr>
              <w:pStyle w:val="TableParagraph"/>
              <w:ind w:left="36" w:right="2"/>
              <w:rPr>
                <w:sz w:val="20"/>
              </w:rPr>
            </w:pPr>
            <w:r>
              <w:rPr>
                <w:spacing w:val="-2"/>
                <w:sz w:val="20"/>
              </w:rPr>
              <w:t>Tykerb</w:t>
            </w:r>
          </w:p>
        </w:tc>
        <w:tc>
          <w:tcPr>
            <w:tcW w:w="4537" w:type="dxa"/>
            <w:tcBorders>
              <w:right w:val="single" w:sz="12" w:space="0" w:color="000000"/>
            </w:tcBorders>
          </w:tcPr>
          <w:p>
            <w:pPr>
              <w:pStyle w:val="TableParagraph"/>
              <w:ind w:right="6"/>
              <w:rPr>
                <w:sz w:val="20"/>
              </w:rPr>
            </w:pPr>
            <w:r>
              <w:rPr>
                <w:spacing w:val="-2"/>
                <w:sz w:val="20"/>
              </w:rPr>
              <w:t>Lapatinib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瑞復美</w:t>
            </w:r>
          </w:p>
        </w:tc>
        <w:tc>
          <w:tcPr>
            <w:tcW w:w="2693" w:type="dxa"/>
          </w:tcPr>
          <w:p>
            <w:pPr>
              <w:pStyle w:val="TableParagraph"/>
              <w:ind w:left="36" w:right="4"/>
              <w:rPr>
                <w:sz w:val="20"/>
              </w:rPr>
            </w:pPr>
            <w:r>
              <w:rPr>
                <w:spacing w:val="-2"/>
                <w:sz w:val="20"/>
              </w:rPr>
              <w:t>Revlimid</w:t>
            </w:r>
          </w:p>
        </w:tc>
        <w:tc>
          <w:tcPr>
            <w:tcW w:w="4537" w:type="dxa"/>
            <w:tcBorders>
              <w:right w:val="single" w:sz="12" w:space="0" w:color="000000"/>
            </w:tcBorders>
          </w:tcPr>
          <w:p>
            <w:pPr>
              <w:pStyle w:val="TableParagraph"/>
              <w:ind w:right="4"/>
              <w:rPr>
                <w:sz w:val="20"/>
              </w:rPr>
            </w:pPr>
            <w:r>
              <w:rPr>
                <w:spacing w:val="-2"/>
                <w:sz w:val="20"/>
              </w:rPr>
              <w:t>Lenalidomide</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樂衛瑪</w:t>
            </w:r>
          </w:p>
        </w:tc>
        <w:tc>
          <w:tcPr>
            <w:tcW w:w="2693" w:type="dxa"/>
          </w:tcPr>
          <w:p>
            <w:pPr>
              <w:pStyle w:val="TableParagraph"/>
              <w:ind w:left="36" w:right="5"/>
              <w:rPr>
                <w:sz w:val="20"/>
              </w:rPr>
            </w:pPr>
            <w:r>
              <w:rPr>
                <w:spacing w:val="-2"/>
                <w:sz w:val="20"/>
              </w:rPr>
              <w:t>Lenvima</w:t>
            </w:r>
          </w:p>
        </w:tc>
        <w:tc>
          <w:tcPr>
            <w:tcW w:w="4537" w:type="dxa"/>
            <w:tcBorders>
              <w:right w:val="single" w:sz="12" w:space="0" w:color="000000"/>
            </w:tcBorders>
          </w:tcPr>
          <w:p>
            <w:pPr>
              <w:pStyle w:val="TableParagraph"/>
              <w:ind w:right="4"/>
              <w:rPr>
                <w:sz w:val="20"/>
              </w:rPr>
            </w:pPr>
            <w:r>
              <w:rPr>
                <w:spacing w:val="-2"/>
                <w:sz w:val="20"/>
              </w:rPr>
              <w:t>Lenvatinib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瘤利剋</w:t>
            </w:r>
          </w:p>
        </w:tc>
        <w:tc>
          <w:tcPr>
            <w:tcW w:w="2693" w:type="dxa"/>
          </w:tcPr>
          <w:p>
            <w:pPr>
              <w:pStyle w:val="TableParagraph"/>
              <w:ind w:left="36" w:right="5"/>
              <w:rPr>
                <w:sz w:val="20"/>
              </w:rPr>
            </w:pPr>
            <w:r>
              <w:rPr>
                <w:spacing w:val="-2"/>
                <w:sz w:val="20"/>
              </w:rPr>
              <w:t>Lorviqua</w:t>
            </w:r>
          </w:p>
        </w:tc>
        <w:tc>
          <w:tcPr>
            <w:tcW w:w="4537" w:type="dxa"/>
            <w:tcBorders>
              <w:right w:val="single" w:sz="12" w:space="0" w:color="000000"/>
            </w:tcBorders>
          </w:tcPr>
          <w:p>
            <w:pPr>
              <w:pStyle w:val="TableParagraph"/>
              <w:ind w:right="4"/>
              <w:rPr>
                <w:sz w:val="20"/>
              </w:rPr>
            </w:pPr>
            <w:r>
              <w:rPr>
                <w:spacing w:val="-2"/>
                <w:sz w:val="20"/>
              </w:rPr>
              <w:t>Lorlatinib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療德妥</w:t>
            </w:r>
          </w:p>
        </w:tc>
        <w:tc>
          <w:tcPr>
            <w:tcW w:w="2693" w:type="dxa"/>
          </w:tcPr>
          <w:p>
            <w:pPr>
              <w:pStyle w:val="TableParagraph"/>
              <w:ind w:left="36" w:right="5"/>
              <w:rPr>
                <w:sz w:val="20"/>
              </w:rPr>
            </w:pPr>
            <w:r>
              <w:rPr>
                <w:spacing w:val="-2"/>
                <w:sz w:val="20"/>
              </w:rPr>
              <w:t>Rydapt</w:t>
            </w:r>
          </w:p>
        </w:tc>
        <w:tc>
          <w:tcPr>
            <w:tcW w:w="4537" w:type="dxa"/>
            <w:tcBorders>
              <w:right w:val="single" w:sz="12" w:space="0" w:color="000000"/>
            </w:tcBorders>
          </w:tcPr>
          <w:p>
            <w:pPr>
              <w:pStyle w:val="TableParagraph"/>
              <w:ind w:right="4"/>
              <w:rPr>
                <w:sz w:val="20"/>
              </w:rPr>
            </w:pPr>
            <w:r>
              <w:rPr>
                <w:spacing w:val="-2"/>
                <w:sz w:val="20"/>
              </w:rPr>
              <w:t>Midostaurin</w:t>
            </w:r>
          </w:p>
        </w:tc>
      </w:tr>
      <w:tr>
        <w:trPr>
          <w:trHeight w:val="397" w:hRule="atLeast"/>
        </w:trPr>
        <w:tc>
          <w:tcPr>
            <w:tcW w:w="2410" w:type="dxa"/>
            <w:tcBorders>
              <w:left w:val="single" w:sz="12" w:space="0" w:color="000000"/>
            </w:tcBorders>
          </w:tcPr>
          <w:p>
            <w:pPr>
              <w:pStyle w:val="TableParagraph"/>
              <w:spacing w:before="119"/>
              <w:ind w:left="19"/>
              <w:rPr>
                <w:rFonts w:ascii="SimSun" w:eastAsia="SimSun"/>
                <w:sz w:val="20"/>
              </w:rPr>
            </w:pPr>
            <w:r>
              <w:rPr>
                <w:rFonts w:ascii="SimSun" w:eastAsia="SimSun"/>
                <w:spacing w:val="-5"/>
                <w:sz w:val="20"/>
              </w:rPr>
              <w:t>泰息安</w:t>
            </w:r>
          </w:p>
        </w:tc>
        <w:tc>
          <w:tcPr>
            <w:tcW w:w="2693" w:type="dxa"/>
          </w:tcPr>
          <w:p>
            <w:pPr>
              <w:pStyle w:val="TableParagraph"/>
              <w:spacing w:before="131"/>
              <w:ind w:left="36" w:right="4"/>
              <w:rPr>
                <w:sz w:val="20"/>
              </w:rPr>
            </w:pPr>
            <w:r>
              <w:rPr>
                <w:spacing w:val="-2"/>
                <w:sz w:val="20"/>
              </w:rPr>
              <w:t>Tasigna</w:t>
            </w:r>
          </w:p>
        </w:tc>
        <w:tc>
          <w:tcPr>
            <w:tcW w:w="4537" w:type="dxa"/>
            <w:tcBorders>
              <w:right w:val="single" w:sz="12" w:space="0" w:color="000000"/>
            </w:tcBorders>
          </w:tcPr>
          <w:p>
            <w:pPr>
              <w:pStyle w:val="TableParagraph"/>
              <w:spacing w:before="131"/>
              <w:ind w:right="4"/>
              <w:rPr>
                <w:sz w:val="20"/>
              </w:rPr>
            </w:pPr>
            <w:r>
              <w:rPr>
                <w:spacing w:val="-2"/>
                <w:sz w:val="20"/>
              </w:rPr>
              <w:t>Nilotinib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癌即瓦</w:t>
            </w:r>
          </w:p>
        </w:tc>
        <w:tc>
          <w:tcPr>
            <w:tcW w:w="2693" w:type="dxa"/>
          </w:tcPr>
          <w:p>
            <w:pPr>
              <w:pStyle w:val="TableParagraph"/>
              <w:ind w:left="36" w:right="7"/>
              <w:rPr>
                <w:sz w:val="20"/>
              </w:rPr>
            </w:pPr>
            <w:r>
              <w:rPr/>
              <mc:AlternateContent>
                <mc:Choice Requires="wps">
                  <w:drawing>
                    <wp:anchor distT="0" distB="0" distL="0" distR="0" allowOverlap="1" layoutInCell="1" locked="0" behindDoc="1" simplePos="0" relativeHeight="487028224">
                      <wp:simplePos x="0" y="0"/>
                      <wp:positionH relativeFrom="column">
                        <wp:posOffset>622503</wp:posOffset>
                      </wp:positionH>
                      <wp:positionV relativeFrom="paragraph">
                        <wp:posOffset>153130</wp:posOffset>
                      </wp:positionV>
                      <wp:extent cx="1839595" cy="44253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839595" cy="4425315"/>
                                <a:chExt cx="1839595" cy="4425315"/>
                              </a:xfrm>
                            </wpg:grpSpPr>
                            <pic:pic>
                              <pic:nvPicPr>
                                <pic:cNvPr id="12" name="Image 12"/>
                                <pic:cNvPicPr/>
                              </pic:nvPicPr>
                              <pic:blipFill>
                                <a:blip r:embed="rId6" cstate="print"/>
                                <a:stretch>
                                  <a:fillRect/>
                                </a:stretch>
                              </pic:blipFill>
                              <pic:spPr>
                                <a:xfrm>
                                  <a:off x="0" y="0"/>
                                  <a:ext cx="1839480" cy="4424731"/>
                                </a:xfrm>
                                <a:prstGeom prst="rect">
                                  <a:avLst/>
                                </a:prstGeom>
                              </pic:spPr>
                            </pic:pic>
                          </wpg:wgp>
                        </a:graphicData>
                      </a:graphic>
                    </wp:anchor>
                  </w:drawing>
                </mc:Choice>
                <mc:Fallback>
                  <w:pict>
                    <v:group style="position:absolute;margin-left:49.015999pt;margin-top:12.057517pt;width:144.85pt;height:348.45pt;mso-position-horizontal-relative:column;mso-position-vertical-relative:paragraph;z-index:-16288256" id="docshapegroup3" coordorigin="980,241" coordsize="2897,6969">
                      <v:shape style="position:absolute;left:980;top:241;width:2897;height:6969" type="#_x0000_t75" id="docshape4" stroked="false">
                        <v:imagedata r:id="rId6" o:title=""/>
                      </v:shape>
                      <w10:wrap type="none"/>
                    </v:group>
                  </w:pict>
                </mc:Fallback>
              </mc:AlternateContent>
            </w:r>
            <w:r>
              <w:rPr>
                <w:spacing w:val="-2"/>
                <w:sz w:val="20"/>
              </w:rPr>
              <w:t>Gazyva</w:t>
            </w:r>
          </w:p>
        </w:tc>
        <w:tc>
          <w:tcPr>
            <w:tcW w:w="4537" w:type="dxa"/>
            <w:tcBorders>
              <w:right w:val="single" w:sz="12" w:space="0" w:color="000000"/>
            </w:tcBorders>
          </w:tcPr>
          <w:p>
            <w:pPr>
              <w:pStyle w:val="TableParagraph"/>
              <w:ind w:right="2"/>
              <w:rPr>
                <w:sz w:val="20"/>
              </w:rPr>
            </w:pPr>
            <w:r>
              <w:rPr>
                <w:spacing w:val="-2"/>
                <w:sz w:val="20"/>
              </w:rPr>
              <w:t>Obinutuzumab</w:t>
            </w:r>
          </w:p>
        </w:tc>
      </w:tr>
      <w:tr>
        <w:trPr>
          <w:trHeight w:val="401" w:hRule="atLeast"/>
        </w:trPr>
        <w:tc>
          <w:tcPr>
            <w:tcW w:w="2410" w:type="dxa"/>
            <w:tcBorders>
              <w:left w:val="single" w:sz="12" w:space="0" w:color="000000"/>
            </w:tcBorders>
          </w:tcPr>
          <w:p>
            <w:pPr>
              <w:pStyle w:val="TableParagraph"/>
              <w:spacing w:before="122"/>
              <w:ind w:left="19"/>
              <w:rPr>
                <w:rFonts w:ascii="SimSun" w:eastAsia="SimSun"/>
                <w:sz w:val="20"/>
              </w:rPr>
            </w:pPr>
            <w:r>
              <w:rPr>
                <w:rFonts w:ascii="SimSun" w:eastAsia="SimSun"/>
                <w:spacing w:val="-5"/>
                <w:sz w:val="20"/>
              </w:rPr>
              <w:t>令癌莎</w:t>
            </w:r>
          </w:p>
        </w:tc>
        <w:tc>
          <w:tcPr>
            <w:tcW w:w="2693" w:type="dxa"/>
          </w:tcPr>
          <w:p>
            <w:pPr>
              <w:pStyle w:val="TableParagraph"/>
              <w:ind w:left="36" w:right="6"/>
              <w:rPr>
                <w:sz w:val="20"/>
              </w:rPr>
            </w:pPr>
            <w:r>
              <w:rPr>
                <w:spacing w:val="-2"/>
                <w:sz w:val="20"/>
              </w:rPr>
              <w:t>Lynparza</w:t>
            </w:r>
          </w:p>
        </w:tc>
        <w:tc>
          <w:tcPr>
            <w:tcW w:w="4537" w:type="dxa"/>
            <w:tcBorders>
              <w:right w:val="single" w:sz="12" w:space="0" w:color="000000"/>
            </w:tcBorders>
          </w:tcPr>
          <w:p>
            <w:pPr>
              <w:pStyle w:val="TableParagraph"/>
              <w:ind w:right="4"/>
              <w:rPr>
                <w:sz w:val="20"/>
              </w:rPr>
            </w:pPr>
            <w:r>
              <w:rPr>
                <w:spacing w:val="-2"/>
                <w:sz w:val="20"/>
              </w:rPr>
              <w:t>Olaparib</w:t>
            </w:r>
          </w:p>
        </w:tc>
      </w:tr>
      <w:tr>
        <w:trPr>
          <w:trHeight w:val="400" w:hRule="atLeast"/>
        </w:trPr>
        <w:tc>
          <w:tcPr>
            <w:tcW w:w="2410" w:type="dxa"/>
            <w:tcBorders>
              <w:left w:val="single" w:sz="12" w:space="0" w:color="000000"/>
            </w:tcBorders>
          </w:tcPr>
          <w:p>
            <w:pPr>
              <w:pStyle w:val="TableParagraph"/>
              <w:spacing w:before="121"/>
              <w:ind w:left="19" w:right="0"/>
              <w:rPr>
                <w:rFonts w:ascii="SimSun" w:eastAsia="SimSun"/>
                <w:sz w:val="20"/>
              </w:rPr>
            </w:pPr>
            <w:r>
              <w:rPr>
                <w:rFonts w:ascii="SimSun" w:eastAsia="SimSun"/>
                <w:spacing w:val="-5"/>
                <w:sz w:val="20"/>
              </w:rPr>
              <w:t>泰格莎</w:t>
            </w:r>
          </w:p>
        </w:tc>
        <w:tc>
          <w:tcPr>
            <w:tcW w:w="2693" w:type="dxa"/>
          </w:tcPr>
          <w:p>
            <w:pPr>
              <w:pStyle w:val="TableParagraph"/>
              <w:ind w:left="36" w:right="0"/>
              <w:rPr>
                <w:sz w:val="20"/>
              </w:rPr>
            </w:pPr>
            <w:r>
              <w:rPr>
                <w:spacing w:val="-2"/>
                <w:sz w:val="20"/>
              </w:rPr>
              <w:t>Tagrisso</w:t>
            </w:r>
          </w:p>
        </w:tc>
        <w:tc>
          <w:tcPr>
            <w:tcW w:w="4537" w:type="dxa"/>
            <w:tcBorders>
              <w:right w:val="single" w:sz="12" w:space="0" w:color="000000"/>
            </w:tcBorders>
          </w:tcPr>
          <w:p>
            <w:pPr>
              <w:pStyle w:val="TableParagraph"/>
              <w:ind w:right="6"/>
              <w:rPr>
                <w:sz w:val="20"/>
              </w:rPr>
            </w:pPr>
            <w:r>
              <w:rPr>
                <w:spacing w:val="-2"/>
                <w:sz w:val="20"/>
              </w:rPr>
              <w:t>Osimertinib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愛乳適</w:t>
            </w:r>
          </w:p>
        </w:tc>
        <w:tc>
          <w:tcPr>
            <w:tcW w:w="2693" w:type="dxa"/>
          </w:tcPr>
          <w:p>
            <w:pPr>
              <w:pStyle w:val="TableParagraph"/>
              <w:ind w:left="36" w:right="4"/>
              <w:rPr>
                <w:sz w:val="20"/>
              </w:rPr>
            </w:pPr>
            <w:r>
              <w:rPr>
                <w:spacing w:val="-2"/>
                <w:sz w:val="20"/>
              </w:rPr>
              <w:t>Ibrance</w:t>
            </w:r>
          </w:p>
        </w:tc>
        <w:tc>
          <w:tcPr>
            <w:tcW w:w="4537" w:type="dxa"/>
            <w:tcBorders>
              <w:right w:val="single" w:sz="12" w:space="0" w:color="000000"/>
            </w:tcBorders>
          </w:tcPr>
          <w:p>
            <w:pPr>
              <w:pStyle w:val="TableParagraph"/>
              <w:ind w:right="4"/>
              <w:rPr>
                <w:sz w:val="20"/>
              </w:rPr>
            </w:pPr>
            <w:r>
              <w:rPr>
                <w:spacing w:val="-2"/>
                <w:sz w:val="20"/>
              </w:rPr>
              <w:t>Palbociclib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維必施</w:t>
            </w:r>
          </w:p>
        </w:tc>
        <w:tc>
          <w:tcPr>
            <w:tcW w:w="2693" w:type="dxa"/>
          </w:tcPr>
          <w:p>
            <w:pPr>
              <w:pStyle w:val="TableParagraph"/>
              <w:ind w:left="36" w:right="6"/>
              <w:rPr>
                <w:sz w:val="20"/>
              </w:rPr>
            </w:pPr>
            <w:r>
              <w:rPr>
                <w:spacing w:val="-2"/>
                <w:sz w:val="20"/>
              </w:rPr>
              <w:t>Vectibix</w:t>
            </w:r>
          </w:p>
        </w:tc>
        <w:tc>
          <w:tcPr>
            <w:tcW w:w="4537" w:type="dxa"/>
            <w:tcBorders>
              <w:right w:val="single" w:sz="12" w:space="0" w:color="000000"/>
            </w:tcBorders>
          </w:tcPr>
          <w:p>
            <w:pPr>
              <w:pStyle w:val="TableParagraph"/>
              <w:rPr>
                <w:sz w:val="20"/>
              </w:rPr>
            </w:pPr>
            <w:r>
              <w:rPr>
                <w:spacing w:val="-2"/>
                <w:sz w:val="20"/>
              </w:rPr>
              <w:t>Panitumumab</w:t>
            </w:r>
          </w:p>
        </w:tc>
      </w:tr>
      <w:tr>
        <w:trPr>
          <w:trHeight w:val="397" w:hRule="atLeast"/>
        </w:trPr>
        <w:tc>
          <w:tcPr>
            <w:tcW w:w="2410" w:type="dxa"/>
            <w:tcBorders>
              <w:left w:val="single" w:sz="12" w:space="0" w:color="000000"/>
            </w:tcBorders>
          </w:tcPr>
          <w:p>
            <w:pPr>
              <w:pStyle w:val="TableParagraph"/>
              <w:spacing w:before="119"/>
              <w:ind w:left="19"/>
              <w:rPr>
                <w:rFonts w:ascii="SimSun" w:eastAsia="SimSun"/>
                <w:sz w:val="20"/>
              </w:rPr>
            </w:pPr>
            <w:r>
              <w:rPr>
                <w:rFonts w:ascii="SimSun" w:eastAsia="SimSun"/>
                <w:spacing w:val="-5"/>
                <w:sz w:val="20"/>
              </w:rPr>
              <w:t>福退癌</w:t>
            </w:r>
          </w:p>
        </w:tc>
        <w:tc>
          <w:tcPr>
            <w:tcW w:w="2693" w:type="dxa"/>
          </w:tcPr>
          <w:p>
            <w:pPr>
              <w:pStyle w:val="TableParagraph"/>
              <w:spacing w:before="131"/>
              <w:ind w:left="36" w:right="7"/>
              <w:rPr>
                <w:sz w:val="20"/>
              </w:rPr>
            </w:pPr>
            <w:r>
              <w:rPr>
                <w:spacing w:val="-2"/>
                <w:sz w:val="20"/>
              </w:rPr>
              <w:t>Votrient</w:t>
            </w:r>
          </w:p>
        </w:tc>
        <w:tc>
          <w:tcPr>
            <w:tcW w:w="4537" w:type="dxa"/>
            <w:tcBorders>
              <w:right w:val="single" w:sz="12" w:space="0" w:color="000000"/>
            </w:tcBorders>
          </w:tcPr>
          <w:p>
            <w:pPr>
              <w:pStyle w:val="TableParagraph"/>
              <w:spacing w:before="131"/>
              <w:ind w:right="6"/>
              <w:rPr>
                <w:sz w:val="20"/>
              </w:rPr>
            </w:pPr>
            <w:r>
              <w:rPr>
                <w:spacing w:val="-2"/>
                <w:sz w:val="20"/>
              </w:rPr>
              <w:t>Pazopanib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賀疾妥</w:t>
            </w:r>
          </w:p>
        </w:tc>
        <w:tc>
          <w:tcPr>
            <w:tcW w:w="2693" w:type="dxa"/>
          </w:tcPr>
          <w:p>
            <w:pPr>
              <w:pStyle w:val="TableParagraph"/>
              <w:ind w:left="36" w:right="7"/>
              <w:rPr>
                <w:sz w:val="20"/>
              </w:rPr>
            </w:pPr>
            <w:r>
              <w:rPr>
                <w:spacing w:val="-2"/>
                <w:sz w:val="20"/>
              </w:rPr>
              <w:t>Perjeta</w:t>
            </w:r>
          </w:p>
        </w:tc>
        <w:tc>
          <w:tcPr>
            <w:tcW w:w="4537" w:type="dxa"/>
            <w:tcBorders>
              <w:right w:val="single" w:sz="12" w:space="0" w:color="000000"/>
            </w:tcBorders>
          </w:tcPr>
          <w:p>
            <w:pPr>
              <w:pStyle w:val="TableParagraph"/>
              <w:ind w:right="3"/>
              <w:rPr>
                <w:sz w:val="20"/>
              </w:rPr>
            </w:pPr>
            <w:r>
              <w:rPr>
                <w:spacing w:val="-2"/>
                <w:sz w:val="20"/>
              </w:rPr>
              <w:t>Pertuzumab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鉑美特</w:t>
            </w:r>
          </w:p>
        </w:tc>
        <w:tc>
          <w:tcPr>
            <w:tcW w:w="2693" w:type="dxa"/>
          </w:tcPr>
          <w:p>
            <w:pPr>
              <w:pStyle w:val="TableParagraph"/>
              <w:ind w:left="36" w:right="7"/>
              <w:rPr>
                <w:sz w:val="20"/>
              </w:rPr>
            </w:pPr>
            <w:r>
              <w:rPr>
                <w:spacing w:val="-2"/>
                <w:sz w:val="20"/>
              </w:rPr>
              <w:t>Pomalyst</w:t>
            </w:r>
          </w:p>
        </w:tc>
        <w:tc>
          <w:tcPr>
            <w:tcW w:w="4537" w:type="dxa"/>
            <w:tcBorders>
              <w:right w:val="single" w:sz="12" w:space="0" w:color="000000"/>
            </w:tcBorders>
          </w:tcPr>
          <w:p>
            <w:pPr>
              <w:pStyle w:val="TableParagraph"/>
              <w:ind w:right="3"/>
              <w:rPr>
                <w:sz w:val="20"/>
              </w:rPr>
            </w:pPr>
            <w:r>
              <w:rPr>
                <w:spacing w:val="-2"/>
                <w:sz w:val="20"/>
              </w:rPr>
              <w:t>Pomalidomide</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英可欣</w:t>
            </w:r>
          </w:p>
        </w:tc>
        <w:tc>
          <w:tcPr>
            <w:tcW w:w="2693" w:type="dxa"/>
          </w:tcPr>
          <w:p>
            <w:pPr>
              <w:pStyle w:val="TableParagraph"/>
              <w:ind w:left="36" w:right="4"/>
              <w:rPr>
                <w:sz w:val="20"/>
              </w:rPr>
            </w:pPr>
            <w:r>
              <w:rPr>
                <w:spacing w:val="-2"/>
                <w:sz w:val="20"/>
              </w:rPr>
              <w:t>Iclusig</w:t>
            </w:r>
          </w:p>
        </w:tc>
        <w:tc>
          <w:tcPr>
            <w:tcW w:w="4537" w:type="dxa"/>
            <w:tcBorders>
              <w:right w:val="single" w:sz="12" w:space="0" w:color="000000"/>
            </w:tcBorders>
          </w:tcPr>
          <w:p>
            <w:pPr>
              <w:pStyle w:val="TableParagraph"/>
              <w:ind w:right="6"/>
              <w:rPr>
                <w:sz w:val="20"/>
              </w:rPr>
            </w:pPr>
            <w:r>
              <w:rPr>
                <w:spacing w:val="-2"/>
                <w:sz w:val="20"/>
              </w:rPr>
              <w:t>Ponatinib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欣銳擇</w:t>
            </w:r>
          </w:p>
        </w:tc>
        <w:tc>
          <w:tcPr>
            <w:tcW w:w="2693" w:type="dxa"/>
          </w:tcPr>
          <w:p>
            <w:pPr>
              <w:pStyle w:val="TableParagraph"/>
              <w:ind w:left="36" w:right="7"/>
              <w:rPr>
                <w:sz w:val="20"/>
              </w:rPr>
            </w:pPr>
            <w:r>
              <w:rPr>
                <w:spacing w:val="-2"/>
                <w:sz w:val="20"/>
              </w:rPr>
              <w:t>Cyramza</w:t>
            </w:r>
          </w:p>
        </w:tc>
        <w:tc>
          <w:tcPr>
            <w:tcW w:w="4537" w:type="dxa"/>
            <w:tcBorders>
              <w:right w:val="single" w:sz="12" w:space="0" w:color="000000"/>
            </w:tcBorders>
          </w:tcPr>
          <w:p>
            <w:pPr>
              <w:pStyle w:val="TableParagraph"/>
              <w:ind w:right="4"/>
              <w:rPr>
                <w:sz w:val="20"/>
              </w:rPr>
            </w:pPr>
            <w:r>
              <w:rPr>
                <w:spacing w:val="-2"/>
                <w:sz w:val="20"/>
              </w:rPr>
              <w:t>Ramucirumab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癌瑞格</w:t>
            </w:r>
          </w:p>
        </w:tc>
        <w:tc>
          <w:tcPr>
            <w:tcW w:w="2693" w:type="dxa"/>
          </w:tcPr>
          <w:p>
            <w:pPr>
              <w:pStyle w:val="TableParagraph"/>
              <w:ind w:left="36" w:right="4"/>
              <w:rPr>
                <w:sz w:val="20"/>
              </w:rPr>
            </w:pPr>
            <w:r>
              <w:rPr>
                <w:spacing w:val="-2"/>
                <w:sz w:val="20"/>
              </w:rPr>
              <w:t>Stivarga</w:t>
            </w:r>
          </w:p>
        </w:tc>
        <w:tc>
          <w:tcPr>
            <w:tcW w:w="4537" w:type="dxa"/>
            <w:tcBorders>
              <w:right w:val="single" w:sz="12" w:space="0" w:color="000000"/>
            </w:tcBorders>
          </w:tcPr>
          <w:p>
            <w:pPr>
              <w:pStyle w:val="TableParagraph"/>
              <w:ind w:right="4"/>
              <w:rPr>
                <w:sz w:val="20"/>
              </w:rPr>
            </w:pPr>
            <w:r>
              <w:rPr>
                <w:spacing w:val="-2"/>
                <w:sz w:val="20"/>
              </w:rPr>
              <w:t>Regorafenib</w:t>
            </w:r>
          </w:p>
        </w:tc>
      </w:tr>
      <w:tr>
        <w:trPr>
          <w:trHeight w:val="398" w:hRule="atLeast"/>
        </w:trPr>
        <w:tc>
          <w:tcPr>
            <w:tcW w:w="2410" w:type="dxa"/>
            <w:tcBorders>
              <w:left w:val="single" w:sz="12" w:space="0" w:color="000000"/>
            </w:tcBorders>
          </w:tcPr>
          <w:p>
            <w:pPr>
              <w:pStyle w:val="TableParagraph"/>
              <w:spacing w:before="119"/>
              <w:ind w:left="19"/>
              <w:rPr>
                <w:rFonts w:ascii="SimSun" w:eastAsia="SimSun"/>
                <w:sz w:val="20"/>
              </w:rPr>
            </w:pPr>
            <w:r>
              <w:rPr>
                <w:rFonts w:ascii="SimSun" w:eastAsia="SimSun"/>
                <w:spacing w:val="-5"/>
                <w:sz w:val="20"/>
              </w:rPr>
              <w:t>擊癌利</w:t>
            </w:r>
          </w:p>
        </w:tc>
        <w:tc>
          <w:tcPr>
            <w:tcW w:w="2693" w:type="dxa"/>
          </w:tcPr>
          <w:p>
            <w:pPr>
              <w:pStyle w:val="TableParagraph"/>
              <w:spacing w:before="131"/>
              <w:ind w:left="36" w:right="6"/>
              <w:rPr>
                <w:sz w:val="20"/>
              </w:rPr>
            </w:pPr>
            <w:r>
              <w:rPr>
                <w:spacing w:val="-2"/>
                <w:sz w:val="20"/>
              </w:rPr>
              <w:t>Kisqali</w:t>
            </w:r>
          </w:p>
        </w:tc>
        <w:tc>
          <w:tcPr>
            <w:tcW w:w="4537" w:type="dxa"/>
            <w:tcBorders>
              <w:right w:val="single" w:sz="12" w:space="0" w:color="000000"/>
            </w:tcBorders>
          </w:tcPr>
          <w:p>
            <w:pPr>
              <w:pStyle w:val="TableParagraph"/>
              <w:spacing w:before="131"/>
              <w:ind w:right="6"/>
              <w:rPr>
                <w:sz w:val="20"/>
              </w:rPr>
            </w:pPr>
            <w:r>
              <w:rPr>
                <w:spacing w:val="-2"/>
                <w:sz w:val="20"/>
              </w:rPr>
              <w:t>Ribociclib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莫須瘤</w:t>
            </w:r>
          </w:p>
        </w:tc>
        <w:tc>
          <w:tcPr>
            <w:tcW w:w="2693" w:type="dxa"/>
          </w:tcPr>
          <w:p>
            <w:pPr>
              <w:pStyle w:val="TableParagraph"/>
              <w:ind w:left="36" w:right="4"/>
              <w:rPr>
                <w:sz w:val="20"/>
              </w:rPr>
            </w:pPr>
            <w:r>
              <w:rPr>
                <w:spacing w:val="-2"/>
                <w:sz w:val="20"/>
              </w:rPr>
              <w:t>Mabthera</w:t>
            </w:r>
          </w:p>
        </w:tc>
        <w:tc>
          <w:tcPr>
            <w:tcW w:w="4537" w:type="dxa"/>
            <w:tcBorders>
              <w:right w:val="single" w:sz="12" w:space="0" w:color="000000"/>
            </w:tcBorders>
          </w:tcPr>
          <w:p>
            <w:pPr>
              <w:pStyle w:val="TableParagraph"/>
              <w:rPr>
                <w:sz w:val="20"/>
              </w:rPr>
            </w:pPr>
            <w:r>
              <w:rPr>
                <w:spacing w:val="-2"/>
                <w:sz w:val="20"/>
              </w:rPr>
              <w:t>Rituximab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捷可衛</w:t>
            </w:r>
          </w:p>
        </w:tc>
        <w:tc>
          <w:tcPr>
            <w:tcW w:w="2693" w:type="dxa"/>
          </w:tcPr>
          <w:p>
            <w:pPr>
              <w:pStyle w:val="TableParagraph"/>
              <w:ind w:left="36"/>
              <w:rPr>
                <w:sz w:val="20"/>
              </w:rPr>
            </w:pPr>
            <w:r>
              <w:rPr>
                <w:spacing w:val="-2"/>
                <w:sz w:val="20"/>
              </w:rPr>
              <w:t>Jakavi</w:t>
            </w:r>
          </w:p>
        </w:tc>
        <w:tc>
          <w:tcPr>
            <w:tcW w:w="4537" w:type="dxa"/>
            <w:tcBorders>
              <w:right w:val="single" w:sz="12" w:space="0" w:color="000000"/>
            </w:tcBorders>
          </w:tcPr>
          <w:p>
            <w:pPr>
              <w:pStyle w:val="TableParagraph"/>
              <w:ind w:right="4"/>
              <w:rPr>
                <w:sz w:val="20"/>
              </w:rPr>
            </w:pPr>
            <w:r>
              <w:rPr>
                <w:spacing w:val="-2"/>
                <w:sz w:val="20"/>
              </w:rPr>
              <w:t>Ruxolitinib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蕾莎瓦</w:t>
            </w:r>
          </w:p>
        </w:tc>
        <w:tc>
          <w:tcPr>
            <w:tcW w:w="2693" w:type="dxa"/>
          </w:tcPr>
          <w:p>
            <w:pPr>
              <w:pStyle w:val="TableParagraph"/>
              <w:ind w:left="36" w:right="3"/>
              <w:rPr>
                <w:sz w:val="20"/>
              </w:rPr>
            </w:pPr>
            <w:r>
              <w:rPr>
                <w:spacing w:val="-2"/>
                <w:sz w:val="20"/>
              </w:rPr>
              <w:t>Nexavar</w:t>
            </w:r>
          </w:p>
        </w:tc>
        <w:tc>
          <w:tcPr>
            <w:tcW w:w="4537" w:type="dxa"/>
            <w:tcBorders>
              <w:right w:val="single" w:sz="12" w:space="0" w:color="000000"/>
            </w:tcBorders>
          </w:tcPr>
          <w:p>
            <w:pPr>
              <w:pStyle w:val="TableParagraph"/>
              <w:ind w:right="6"/>
              <w:rPr>
                <w:sz w:val="20"/>
              </w:rPr>
            </w:pPr>
            <w:r>
              <w:rPr>
                <w:spacing w:val="-2"/>
                <w:sz w:val="20"/>
              </w:rPr>
              <w:t>Sorafenib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紓癌特</w:t>
            </w:r>
          </w:p>
        </w:tc>
        <w:tc>
          <w:tcPr>
            <w:tcW w:w="2693" w:type="dxa"/>
          </w:tcPr>
          <w:p>
            <w:pPr>
              <w:pStyle w:val="TableParagraph"/>
              <w:ind w:left="36" w:right="6"/>
              <w:rPr>
                <w:sz w:val="20"/>
              </w:rPr>
            </w:pPr>
            <w:r>
              <w:rPr>
                <w:spacing w:val="-2"/>
                <w:sz w:val="20"/>
              </w:rPr>
              <w:t>Sutent</w:t>
            </w:r>
          </w:p>
        </w:tc>
        <w:tc>
          <w:tcPr>
            <w:tcW w:w="4537" w:type="dxa"/>
            <w:tcBorders>
              <w:right w:val="single" w:sz="12" w:space="0" w:color="000000"/>
            </w:tcBorders>
          </w:tcPr>
          <w:p>
            <w:pPr>
              <w:pStyle w:val="TableParagraph"/>
              <w:ind w:right="4"/>
              <w:rPr>
                <w:sz w:val="20"/>
              </w:rPr>
            </w:pPr>
            <w:r>
              <w:rPr>
                <w:spacing w:val="-2"/>
                <w:sz w:val="20"/>
              </w:rPr>
              <w:t>Sunitinib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特癌適</w:t>
            </w:r>
          </w:p>
        </w:tc>
        <w:tc>
          <w:tcPr>
            <w:tcW w:w="2693" w:type="dxa"/>
          </w:tcPr>
          <w:p>
            <w:pPr>
              <w:pStyle w:val="TableParagraph"/>
              <w:ind w:left="36" w:right="3"/>
              <w:rPr>
                <w:sz w:val="20"/>
              </w:rPr>
            </w:pPr>
            <w:r>
              <w:rPr>
                <w:spacing w:val="-2"/>
                <w:sz w:val="20"/>
              </w:rPr>
              <w:t>Torisel</w:t>
            </w:r>
          </w:p>
        </w:tc>
        <w:tc>
          <w:tcPr>
            <w:tcW w:w="4537" w:type="dxa"/>
            <w:tcBorders>
              <w:right w:val="single" w:sz="12" w:space="0" w:color="000000"/>
            </w:tcBorders>
          </w:tcPr>
          <w:p>
            <w:pPr>
              <w:pStyle w:val="TableParagraph"/>
              <w:rPr>
                <w:sz w:val="20"/>
              </w:rPr>
            </w:pPr>
            <w:r>
              <w:rPr>
                <w:spacing w:val="-2"/>
                <w:sz w:val="20"/>
              </w:rPr>
              <w:t>Temsirolimus</w:t>
            </w:r>
          </w:p>
        </w:tc>
      </w:tr>
      <w:tr>
        <w:trPr>
          <w:trHeight w:val="397" w:hRule="atLeast"/>
        </w:trPr>
        <w:tc>
          <w:tcPr>
            <w:tcW w:w="2410" w:type="dxa"/>
            <w:tcBorders>
              <w:left w:val="single" w:sz="12" w:space="0" w:color="000000"/>
            </w:tcBorders>
          </w:tcPr>
          <w:p>
            <w:pPr>
              <w:pStyle w:val="TableParagraph"/>
              <w:spacing w:before="119"/>
              <w:ind w:left="19" w:right="0"/>
              <w:rPr>
                <w:rFonts w:ascii="SimSun" w:eastAsia="SimSun"/>
                <w:sz w:val="20"/>
              </w:rPr>
            </w:pPr>
            <w:r>
              <w:rPr>
                <w:rFonts w:ascii="SimSun" w:eastAsia="SimSun"/>
                <w:spacing w:val="-5"/>
                <w:sz w:val="20"/>
              </w:rPr>
              <w:t>賽得</w:t>
            </w:r>
          </w:p>
        </w:tc>
        <w:tc>
          <w:tcPr>
            <w:tcW w:w="2693" w:type="dxa"/>
          </w:tcPr>
          <w:p>
            <w:pPr>
              <w:pStyle w:val="TableParagraph"/>
              <w:spacing w:before="131"/>
              <w:ind w:left="36"/>
              <w:rPr>
                <w:sz w:val="20"/>
              </w:rPr>
            </w:pPr>
            <w:r>
              <w:rPr>
                <w:spacing w:val="-2"/>
                <w:sz w:val="20"/>
              </w:rPr>
              <w:t>Thado</w:t>
            </w:r>
          </w:p>
        </w:tc>
        <w:tc>
          <w:tcPr>
            <w:tcW w:w="4537" w:type="dxa"/>
            <w:tcBorders>
              <w:right w:val="single" w:sz="12" w:space="0" w:color="000000"/>
            </w:tcBorders>
          </w:tcPr>
          <w:p>
            <w:pPr>
              <w:pStyle w:val="TableParagraph"/>
              <w:spacing w:before="131"/>
              <w:ind w:right="3"/>
              <w:rPr>
                <w:sz w:val="20"/>
              </w:rPr>
            </w:pPr>
            <w:r>
              <w:rPr>
                <w:spacing w:val="-2"/>
                <w:sz w:val="20"/>
              </w:rPr>
              <w:t>Thalidomide</w:t>
            </w:r>
          </w:p>
        </w:tc>
      </w:tr>
      <w:tr>
        <w:trPr>
          <w:trHeight w:val="401"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麥欣霓</w:t>
            </w:r>
          </w:p>
        </w:tc>
        <w:tc>
          <w:tcPr>
            <w:tcW w:w="2693" w:type="dxa"/>
          </w:tcPr>
          <w:p>
            <w:pPr>
              <w:pStyle w:val="TableParagraph"/>
              <w:ind w:left="36" w:right="5"/>
              <w:rPr>
                <w:sz w:val="20"/>
              </w:rPr>
            </w:pPr>
            <w:r>
              <w:rPr>
                <w:spacing w:val="-2"/>
                <w:sz w:val="20"/>
              </w:rPr>
              <w:t>Mekinist</w:t>
            </w:r>
          </w:p>
        </w:tc>
        <w:tc>
          <w:tcPr>
            <w:tcW w:w="4537" w:type="dxa"/>
            <w:tcBorders>
              <w:right w:val="single" w:sz="12" w:space="0" w:color="000000"/>
            </w:tcBorders>
          </w:tcPr>
          <w:p>
            <w:pPr>
              <w:pStyle w:val="TableParagraph"/>
              <w:ind w:right="7"/>
              <w:rPr>
                <w:sz w:val="20"/>
              </w:rPr>
            </w:pPr>
            <w:r>
              <w:rPr>
                <w:spacing w:val="-2"/>
                <w:sz w:val="20"/>
              </w:rPr>
              <w:t>Trametinib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賀癌平</w:t>
            </w:r>
          </w:p>
        </w:tc>
        <w:tc>
          <w:tcPr>
            <w:tcW w:w="2693" w:type="dxa"/>
          </w:tcPr>
          <w:p>
            <w:pPr>
              <w:pStyle w:val="TableParagraph"/>
              <w:ind w:left="36" w:right="7"/>
              <w:rPr>
                <w:sz w:val="20"/>
              </w:rPr>
            </w:pPr>
            <w:r>
              <w:rPr>
                <w:spacing w:val="-2"/>
                <w:sz w:val="20"/>
              </w:rPr>
              <w:t>Herceptin</w:t>
            </w:r>
          </w:p>
        </w:tc>
        <w:tc>
          <w:tcPr>
            <w:tcW w:w="4537" w:type="dxa"/>
            <w:tcBorders>
              <w:right w:val="single" w:sz="12" w:space="0" w:color="000000"/>
            </w:tcBorders>
          </w:tcPr>
          <w:p>
            <w:pPr>
              <w:pStyle w:val="TableParagraph"/>
              <w:ind w:right="4"/>
              <w:rPr>
                <w:sz w:val="20"/>
              </w:rPr>
            </w:pPr>
            <w:r>
              <w:rPr>
                <w:spacing w:val="-2"/>
                <w:sz w:val="20"/>
              </w:rPr>
              <w:t>Trastuzumab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賀癌寧</w:t>
            </w:r>
          </w:p>
        </w:tc>
        <w:tc>
          <w:tcPr>
            <w:tcW w:w="2693" w:type="dxa"/>
          </w:tcPr>
          <w:p>
            <w:pPr>
              <w:pStyle w:val="TableParagraph"/>
              <w:ind w:left="36" w:right="4"/>
              <w:rPr>
                <w:sz w:val="20"/>
              </w:rPr>
            </w:pPr>
            <w:r>
              <w:rPr>
                <w:spacing w:val="-2"/>
                <w:sz w:val="20"/>
              </w:rPr>
              <w:t>Kadcyla</w:t>
            </w:r>
          </w:p>
        </w:tc>
        <w:tc>
          <w:tcPr>
            <w:tcW w:w="4537" w:type="dxa"/>
            <w:tcBorders>
              <w:right w:val="single" w:sz="12" w:space="0" w:color="000000"/>
            </w:tcBorders>
          </w:tcPr>
          <w:p>
            <w:pPr>
              <w:pStyle w:val="TableParagraph"/>
              <w:ind w:right="4"/>
              <w:rPr>
                <w:sz w:val="20"/>
              </w:rPr>
            </w:pPr>
            <w:r>
              <w:rPr>
                <w:spacing w:val="-2"/>
                <w:sz w:val="20"/>
              </w:rPr>
              <w:t>TrastuzumabEmtansine</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佳瑞莎</w:t>
            </w:r>
          </w:p>
        </w:tc>
        <w:tc>
          <w:tcPr>
            <w:tcW w:w="2693" w:type="dxa"/>
          </w:tcPr>
          <w:p>
            <w:pPr>
              <w:pStyle w:val="TableParagraph"/>
              <w:ind w:left="36" w:right="7"/>
              <w:rPr>
                <w:sz w:val="20"/>
              </w:rPr>
            </w:pPr>
            <w:r>
              <w:rPr>
                <w:spacing w:val="-2"/>
                <w:sz w:val="20"/>
              </w:rPr>
              <w:t>Caprelsa</w:t>
            </w:r>
          </w:p>
        </w:tc>
        <w:tc>
          <w:tcPr>
            <w:tcW w:w="4537" w:type="dxa"/>
            <w:tcBorders>
              <w:right w:val="single" w:sz="12" w:space="0" w:color="000000"/>
            </w:tcBorders>
          </w:tcPr>
          <w:p>
            <w:pPr>
              <w:pStyle w:val="TableParagraph"/>
              <w:ind w:right="4"/>
              <w:rPr>
                <w:sz w:val="20"/>
              </w:rPr>
            </w:pPr>
            <w:r>
              <w:rPr>
                <w:spacing w:val="-2"/>
                <w:sz w:val="20"/>
              </w:rPr>
              <w:t>Vandetanib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日沛樂</w:t>
            </w:r>
          </w:p>
        </w:tc>
        <w:tc>
          <w:tcPr>
            <w:tcW w:w="2693" w:type="dxa"/>
          </w:tcPr>
          <w:p>
            <w:pPr>
              <w:pStyle w:val="TableParagraph"/>
              <w:ind w:left="36" w:right="4"/>
              <w:rPr>
                <w:sz w:val="20"/>
              </w:rPr>
            </w:pPr>
            <w:r>
              <w:rPr>
                <w:spacing w:val="-2"/>
                <w:sz w:val="20"/>
              </w:rPr>
              <w:t>Zelboraf</w:t>
            </w:r>
          </w:p>
        </w:tc>
        <w:tc>
          <w:tcPr>
            <w:tcW w:w="4537" w:type="dxa"/>
            <w:tcBorders>
              <w:right w:val="single" w:sz="12" w:space="0" w:color="000000"/>
            </w:tcBorders>
          </w:tcPr>
          <w:p>
            <w:pPr>
              <w:pStyle w:val="TableParagraph"/>
              <w:ind w:right="4"/>
              <w:rPr>
                <w:sz w:val="20"/>
              </w:rPr>
            </w:pPr>
            <w:r>
              <w:rPr>
                <w:spacing w:val="-2"/>
                <w:sz w:val="20"/>
              </w:rPr>
              <w:t>Vemurafenib</w:t>
            </w:r>
          </w:p>
        </w:tc>
      </w:tr>
      <w:tr>
        <w:trPr>
          <w:trHeight w:val="398" w:hRule="atLeast"/>
        </w:trPr>
        <w:tc>
          <w:tcPr>
            <w:tcW w:w="2410" w:type="dxa"/>
            <w:tcBorders>
              <w:left w:val="single" w:sz="12" w:space="0" w:color="000000"/>
            </w:tcBorders>
          </w:tcPr>
          <w:p>
            <w:pPr>
              <w:pStyle w:val="TableParagraph"/>
              <w:spacing w:before="119"/>
              <w:ind w:left="19"/>
              <w:rPr>
                <w:rFonts w:ascii="SimSun" w:eastAsia="SimSun"/>
                <w:sz w:val="20"/>
              </w:rPr>
            </w:pPr>
            <w:r>
              <w:rPr>
                <w:rFonts w:ascii="SimSun" w:eastAsia="SimSun"/>
                <w:spacing w:val="-5"/>
                <w:sz w:val="20"/>
              </w:rPr>
              <w:t>唯可來</w:t>
            </w:r>
          </w:p>
        </w:tc>
        <w:tc>
          <w:tcPr>
            <w:tcW w:w="2693" w:type="dxa"/>
          </w:tcPr>
          <w:p>
            <w:pPr>
              <w:pStyle w:val="TableParagraph"/>
              <w:spacing w:before="131"/>
              <w:ind w:left="36" w:right="5"/>
              <w:rPr>
                <w:sz w:val="20"/>
              </w:rPr>
            </w:pPr>
            <w:r>
              <w:rPr>
                <w:spacing w:val="-2"/>
                <w:sz w:val="20"/>
              </w:rPr>
              <w:t>Venclexta</w:t>
            </w:r>
          </w:p>
        </w:tc>
        <w:tc>
          <w:tcPr>
            <w:tcW w:w="4537" w:type="dxa"/>
            <w:tcBorders>
              <w:right w:val="single" w:sz="12" w:space="0" w:color="000000"/>
            </w:tcBorders>
          </w:tcPr>
          <w:p>
            <w:pPr>
              <w:pStyle w:val="TableParagraph"/>
              <w:spacing w:before="131"/>
              <w:ind w:right="5"/>
              <w:rPr>
                <w:sz w:val="20"/>
              </w:rPr>
            </w:pPr>
            <w:r>
              <w:rPr>
                <w:spacing w:val="-2"/>
                <w:sz w:val="20"/>
              </w:rPr>
              <w:t>Venetoclax</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肺欣妥</w:t>
            </w:r>
          </w:p>
        </w:tc>
        <w:tc>
          <w:tcPr>
            <w:tcW w:w="2693" w:type="dxa"/>
          </w:tcPr>
          <w:p>
            <w:pPr>
              <w:pStyle w:val="TableParagraph"/>
              <w:spacing w:before="133"/>
              <w:ind w:left="36" w:right="5"/>
              <w:rPr>
                <w:sz w:val="20"/>
              </w:rPr>
            </w:pPr>
            <w:r>
              <w:rPr>
                <w:spacing w:val="-2"/>
                <w:sz w:val="20"/>
              </w:rPr>
              <w:t>Vizimpro</w:t>
            </w:r>
          </w:p>
        </w:tc>
        <w:tc>
          <w:tcPr>
            <w:tcW w:w="4537" w:type="dxa"/>
            <w:tcBorders>
              <w:right w:val="single" w:sz="12" w:space="0" w:color="000000"/>
            </w:tcBorders>
          </w:tcPr>
          <w:p>
            <w:pPr>
              <w:pStyle w:val="TableParagraph"/>
              <w:spacing w:before="133"/>
              <w:ind w:right="6"/>
              <w:rPr>
                <w:sz w:val="20"/>
              </w:rPr>
            </w:pPr>
            <w:r>
              <w:rPr>
                <w:spacing w:val="-2"/>
                <w:sz w:val="20"/>
              </w:rPr>
              <w:t>Dacomitinib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百利妥</w:t>
            </w:r>
          </w:p>
        </w:tc>
        <w:tc>
          <w:tcPr>
            <w:tcW w:w="2693" w:type="dxa"/>
          </w:tcPr>
          <w:p>
            <w:pPr>
              <w:pStyle w:val="TableParagraph"/>
              <w:ind w:left="36" w:right="4"/>
              <w:rPr>
                <w:sz w:val="20"/>
              </w:rPr>
            </w:pPr>
            <w:r>
              <w:rPr>
                <w:spacing w:val="-2"/>
                <w:sz w:val="20"/>
              </w:rPr>
              <w:t>Blincyto</w:t>
            </w:r>
          </w:p>
        </w:tc>
        <w:tc>
          <w:tcPr>
            <w:tcW w:w="4537" w:type="dxa"/>
            <w:tcBorders>
              <w:right w:val="single" w:sz="12" w:space="0" w:color="000000"/>
            </w:tcBorders>
          </w:tcPr>
          <w:p>
            <w:pPr>
              <w:pStyle w:val="TableParagraph"/>
              <w:ind w:right="4"/>
              <w:rPr>
                <w:sz w:val="20"/>
              </w:rPr>
            </w:pPr>
            <w:r>
              <w:rPr>
                <w:spacing w:val="-2"/>
                <w:sz w:val="20"/>
              </w:rPr>
              <w:t>Blinatumomab</w:t>
            </w:r>
          </w:p>
        </w:tc>
      </w:tr>
    </w:tbl>
    <w:p>
      <w:pPr>
        <w:spacing w:after="0"/>
        <w:rPr>
          <w:sz w:val="20"/>
        </w:rPr>
        <w:sectPr>
          <w:pgSz w:w="11910" w:h="16850"/>
          <w:pgMar w:header="0" w:footer="855" w:top="1400" w:bottom="1040" w:left="1000" w:right="760"/>
        </w:sectPr>
      </w:pPr>
    </w:p>
    <w:p>
      <w:pPr>
        <w:pStyle w:val="BodyText"/>
        <w:ind w:left="0"/>
        <w:rPr>
          <w:rFonts w:ascii="Microsoft JhengHei"/>
          <w:b/>
          <w:sz w:val="2"/>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2693"/>
        <w:gridCol w:w="4537"/>
      </w:tblGrid>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保癌寧</w:t>
            </w:r>
          </w:p>
        </w:tc>
        <w:tc>
          <w:tcPr>
            <w:tcW w:w="2693" w:type="dxa"/>
          </w:tcPr>
          <w:p>
            <w:pPr>
              <w:pStyle w:val="TableParagraph"/>
              <w:ind w:left="36"/>
              <w:rPr>
                <w:sz w:val="20"/>
              </w:rPr>
            </w:pPr>
            <w:r>
              <w:rPr>
                <w:spacing w:val="-2"/>
                <w:sz w:val="20"/>
              </w:rPr>
              <w:t>Polivy</w:t>
            </w:r>
          </w:p>
        </w:tc>
        <w:tc>
          <w:tcPr>
            <w:tcW w:w="4537" w:type="dxa"/>
            <w:tcBorders>
              <w:right w:val="single" w:sz="12" w:space="0" w:color="000000"/>
            </w:tcBorders>
          </w:tcPr>
          <w:p>
            <w:pPr>
              <w:pStyle w:val="TableParagraph"/>
              <w:ind w:right="7"/>
              <w:rPr>
                <w:sz w:val="20"/>
              </w:rPr>
            </w:pPr>
            <w:r>
              <w:rPr>
                <w:spacing w:val="-2"/>
                <w:sz w:val="20"/>
              </w:rPr>
              <w:t>Polatuzumabvedotin</w:t>
            </w:r>
          </w:p>
        </w:tc>
      </w:tr>
      <w:tr>
        <w:trPr>
          <w:trHeight w:val="397" w:hRule="atLeast"/>
        </w:trPr>
        <w:tc>
          <w:tcPr>
            <w:tcW w:w="2410" w:type="dxa"/>
            <w:tcBorders>
              <w:left w:val="single" w:sz="12" w:space="0" w:color="000000"/>
            </w:tcBorders>
          </w:tcPr>
          <w:p>
            <w:pPr>
              <w:pStyle w:val="TableParagraph"/>
              <w:spacing w:before="119"/>
              <w:ind w:left="19" w:right="0"/>
              <w:rPr>
                <w:rFonts w:ascii="SimSun" w:eastAsia="SimSun"/>
                <w:sz w:val="20"/>
              </w:rPr>
            </w:pPr>
            <w:r>
              <w:rPr>
                <w:rFonts w:ascii="SimSun" w:eastAsia="SimSun"/>
                <w:spacing w:val="-5"/>
                <w:sz w:val="20"/>
              </w:rPr>
              <w:t>益伏</w:t>
            </w:r>
          </w:p>
        </w:tc>
        <w:tc>
          <w:tcPr>
            <w:tcW w:w="2693" w:type="dxa"/>
          </w:tcPr>
          <w:p>
            <w:pPr>
              <w:pStyle w:val="TableParagraph"/>
              <w:spacing w:before="131"/>
              <w:ind w:left="36" w:right="5"/>
              <w:rPr>
                <w:sz w:val="20"/>
              </w:rPr>
            </w:pPr>
            <w:r>
              <w:rPr>
                <w:spacing w:val="-2"/>
                <w:sz w:val="20"/>
              </w:rPr>
              <w:t>YervoyInjection</w:t>
            </w:r>
          </w:p>
        </w:tc>
        <w:tc>
          <w:tcPr>
            <w:tcW w:w="4537" w:type="dxa"/>
            <w:tcBorders>
              <w:right w:val="single" w:sz="12" w:space="0" w:color="000000"/>
            </w:tcBorders>
          </w:tcPr>
          <w:p>
            <w:pPr>
              <w:pStyle w:val="TableParagraph"/>
              <w:spacing w:before="131"/>
              <w:ind w:right="4"/>
              <w:rPr>
                <w:sz w:val="20"/>
              </w:rPr>
            </w:pPr>
            <w:r>
              <w:rPr>
                <w:spacing w:val="-2"/>
                <w:sz w:val="20"/>
              </w:rPr>
              <w:t>Ipilimumab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吉舒達</w:t>
            </w:r>
          </w:p>
        </w:tc>
        <w:tc>
          <w:tcPr>
            <w:tcW w:w="2693" w:type="dxa"/>
          </w:tcPr>
          <w:p>
            <w:pPr>
              <w:pStyle w:val="TableParagraph"/>
              <w:ind w:left="36" w:right="5"/>
              <w:rPr>
                <w:sz w:val="20"/>
              </w:rPr>
            </w:pPr>
            <w:r>
              <w:rPr>
                <w:spacing w:val="-2"/>
                <w:sz w:val="20"/>
              </w:rPr>
              <w:t>KeytrudaInjection</w:t>
            </w:r>
          </w:p>
        </w:tc>
        <w:tc>
          <w:tcPr>
            <w:tcW w:w="4537" w:type="dxa"/>
            <w:tcBorders>
              <w:right w:val="single" w:sz="12" w:space="0" w:color="000000"/>
            </w:tcBorders>
          </w:tcPr>
          <w:p>
            <w:pPr>
              <w:pStyle w:val="TableParagraph"/>
              <w:ind w:right="3"/>
              <w:rPr>
                <w:sz w:val="20"/>
              </w:rPr>
            </w:pPr>
            <w:r>
              <w:rPr>
                <w:spacing w:val="-2"/>
                <w:sz w:val="20"/>
              </w:rPr>
              <w:t>Pembrolizumab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保疾伏</w:t>
            </w:r>
          </w:p>
        </w:tc>
        <w:tc>
          <w:tcPr>
            <w:tcW w:w="2693" w:type="dxa"/>
          </w:tcPr>
          <w:p>
            <w:pPr>
              <w:pStyle w:val="TableParagraph"/>
              <w:ind w:left="36" w:right="5"/>
              <w:rPr>
                <w:sz w:val="20"/>
              </w:rPr>
            </w:pPr>
            <w:r>
              <w:rPr>
                <w:spacing w:val="-2"/>
                <w:sz w:val="20"/>
              </w:rPr>
              <w:t>OpdivoInjection</w:t>
            </w:r>
          </w:p>
        </w:tc>
        <w:tc>
          <w:tcPr>
            <w:tcW w:w="4537" w:type="dxa"/>
            <w:tcBorders>
              <w:right w:val="single" w:sz="12" w:space="0" w:color="000000"/>
            </w:tcBorders>
          </w:tcPr>
          <w:p>
            <w:pPr>
              <w:pStyle w:val="TableParagraph"/>
              <w:rPr>
                <w:sz w:val="20"/>
              </w:rPr>
            </w:pPr>
            <w:r>
              <w:rPr>
                <w:spacing w:val="-2"/>
                <w:sz w:val="20"/>
              </w:rPr>
              <w:t>Nivolumab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癌自禦</w:t>
            </w:r>
          </w:p>
        </w:tc>
        <w:tc>
          <w:tcPr>
            <w:tcW w:w="2693" w:type="dxa"/>
          </w:tcPr>
          <w:p>
            <w:pPr>
              <w:pStyle w:val="TableParagraph"/>
              <w:ind w:left="36" w:right="2"/>
              <w:rPr>
                <w:sz w:val="20"/>
              </w:rPr>
            </w:pPr>
            <w:r>
              <w:rPr>
                <w:spacing w:val="-2"/>
                <w:sz w:val="20"/>
              </w:rPr>
              <w:t>Tecentriq</w:t>
            </w:r>
          </w:p>
        </w:tc>
        <w:tc>
          <w:tcPr>
            <w:tcW w:w="4537" w:type="dxa"/>
            <w:tcBorders>
              <w:right w:val="single" w:sz="12" w:space="0" w:color="000000"/>
            </w:tcBorders>
          </w:tcPr>
          <w:p>
            <w:pPr>
              <w:pStyle w:val="TableParagraph"/>
              <w:rPr>
                <w:sz w:val="20"/>
              </w:rPr>
            </w:pPr>
            <w:r>
              <w:rPr>
                <w:spacing w:val="-2"/>
                <w:sz w:val="20"/>
              </w:rPr>
              <w:t>Atezolizumab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抑癌寧</w:t>
            </w:r>
          </w:p>
        </w:tc>
        <w:tc>
          <w:tcPr>
            <w:tcW w:w="2693" w:type="dxa"/>
          </w:tcPr>
          <w:p>
            <w:pPr>
              <w:pStyle w:val="TableParagraph"/>
              <w:ind w:left="36" w:right="6"/>
              <w:rPr>
                <w:sz w:val="20"/>
              </w:rPr>
            </w:pPr>
            <w:r>
              <w:rPr>
                <w:spacing w:val="-2"/>
                <w:sz w:val="20"/>
              </w:rPr>
              <w:t>Imfinzi</w:t>
            </w:r>
          </w:p>
        </w:tc>
        <w:tc>
          <w:tcPr>
            <w:tcW w:w="4537" w:type="dxa"/>
            <w:tcBorders>
              <w:right w:val="single" w:sz="12" w:space="0" w:color="000000"/>
            </w:tcBorders>
          </w:tcPr>
          <w:p>
            <w:pPr>
              <w:pStyle w:val="TableParagraph"/>
              <w:ind w:right="4"/>
              <w:rPr>
                <w:sz w:val="20"/>
              </w:rPr>
            </w:pPr>
            <w:r>
              <w:rPr>
                <w:spacing w:val="-2"/>
                <w:sz w:val="20"/>
              </w:rPr>
              <w:t>Durvalumab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百穩益</w:t>
            </w:r>
          </w:p>
        </w:tc>
        <w:tc>
          <w:tcPr>
            <w:tcW w:w="2693" w:type="dxa"/>
          </w:tcPr>
          <w:p>
            <w:pPr>
              <w:pStyle w:val="TableParagraph"/>
              <w:ind w:left="36" w:right="7"/>
              <w:rPr>
                <w:sz w:val="20"/>
              </w:rPr>
            </w:pPr>
            <w:r>
              <w:rPr>
                <w:spacing w:val="-2"/>
                <w:sz w:val="20"/>
              </w:rPr>
              <w:t>Bavencio</w:t>
            </w:r>
          </w:p>
        </w:tc>
        <w:tc>
          <w:tcPr>
            <w:tcW w:w="4537" w:type="dxa"/>
            <w:tcBorders>
              <w:right w:val="single" w:sz="12" w:space="0" w:color="000000"/>
            </w:tcBorders>
          </w:tcPr>
          <w:p>
            <w:pPr>
              <w:pStyle w:val="TableParagraph"/>
              <w:ind w:right="3"/>
              <w:rPr>
                <w:sz w:val="20"/>
              </w:rPr>
            </w:pPr>
            <w:r>
              <w:rPr>
                <w:spacing w:val="-2"/>
                <w:sz w:val="20"/>
              </w:rPr>
              <w:t>Avelumab</w:t>
            </w:r>
          </w:p>
        </w:tc>
      </w:tr>
      <w:tr>
        <w:trPr>
          <w:trHeight w:val="397" w:hRule="atLeast"/>
        </w:trPr>
        <w:tc>
          <w:tcPr>
            <w:tcW w:w="2410" w:type="dxa"/>
            <w:tcBorders>
              <w:left w:val="single" w:sz="12" w:space="0" w:color="000000"/>
            </w:tcBorders>
          </w:tcPr>
          <w:p>
            <w:pPr>
              <w:pStyle w:val="TableParagraph"/>
              <w:spacing w:before="119"/>
              <w:ind w:left="19"/>
              <w:rPr>
                <w:rFonts w:ascii="SimSun" w:eastAsia="SimSun"/>
                <w:sz w:val="20"/>
              </w:rPr>
            </w:pPr>
            <w:r>
              <w:rPr>
                <w:rFonts w:ascii="SimSun" w:eastAsia="SimSun"/>
                <w:spacing w:val="-5"/>
                <w:sz w:val="20"/>
              </w:rPr>
              <w:t>泰芮塔</w:t>
            </w:r>
          </w:p>
        </w:tc>
        <w:tc>
          <w:tcPr>
            <w:tcW w:w="2693" w:type="dxa"/>
          </w:tcPr>
          <w:p>
            <w:pPr>
              <w:pStyle w:val="TableParagraph"/>
              <w:spacing w:before="131"/>
              <w:ind w:left="36" w:right="0"/>
              <w:rPr>
                <w:sz w:val="20"/>
              </w:rPr>
            </w:pPr>
            <w:r>
              <w:rPr>
                <w:spacing w:val="-2"/>
                <w:sz w:val="20"/>
              </w:rPr>
              <w:t>Tabrecta</w:t>
            </w:r>
          </w:p>
        </w:tc>
        <w:tc>
          <w:tcPr>
            <w:tcW w:w="4537" w:type="dxa"/>
            <w:tcBorders>
              <w:right w:val="single" w:sz="12" w:space="0" w:color="000000"/>
            </w:tcBorders>
          </w:tcPr>
          <w:p>
            <w:pPr>
              <w:pStyle w:val="TableParagraph"/>
              <w:spacing w:before="131"/>
              <w:ind w:right="5"/>
              <w:rPr>
                <w:sz w:val="20"/>
              </w:rPr>
            </w:pPr>
            <w:r>
              <w:rPr>
                <w:spacing w:val="-2"/>
                <w:sz w:val="20"/>
              </w:rPr>
              <w:t>Capmatinibhydrochloride</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羅思克</w:t>
            </w:r>
          </w:p>
        </w:tc>
        <w:tc>
          <w:tcPr>
            <w:tcW w:w="2693" w:type="dxa"/>
          </w:tcPr>
          <w:p>
            <w:pPr>
              <w:pStyle w:val="TableParagraph"/>
              <w:ind w:left="36" w:right="6"/>
              <w:rPr>
                <w:sz w:val="20"/>
              </w:rPr>
            </w:pPr>
            <w:r>
              <w:rPr/>
              <mc:AlternateContent>
                <mc:Choice Requires="wps">
                  <w:drawing>
                    <wp:anchor distT="0" distB="0" distL="0" distR="0" allowOverlap="1" layoutInCell="1" locked="0" behindDoc="1" simplePos="0" relativeHeight="487028736">
                      <wp:simplePos x="0" y="0"/>
                      <wp:positionH relativeFrom="column">
                        <wp:posOffset>622503</wp:posOffset>
                      </wp:positionH>
                      <wp:positionV relativeFrom="paragraph">
                        <wp:posOffset>153130</wp:posOffset>
                      </wp:positionV>
                      <wp:extent cx="1839595" cy="442531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839595" cy="4425315"/>
                                <a:chExt cx="1839595" cy="4425315"/>
                              </a:xfrm>
                            </wpg:grpSpPr>
                            <pic:pic>
                              <pic:nvPicPr>
                                <pic:cNvPr id="14" name="Image 14"/>
                                <pic:cNvPicPr/>
                              </pic:nvPicPr>
                              <pic:blipFill>
                                <a:blip r:embed="rId6" cstate="print"/>
                                <a:stretch>
                                  <a:fillRect/>
                                </a:stretch>
                              </pic:blipFill>
                              <pic:spPr>
                                <a:xfrm>
                                  <a:off x="0" y="0"/>
                                  <a:ext cx="1839480" cy="4424731"/>
                                </a:xfrm>
                                <a:prstGeom prst="rect">
                                  <a:avLst/>
                                </a:prstGeom>
                              </pic:spPr>
                            </pic:pic>
                          </wpg:wgp>
                        </a:graphicData>
                      </a:graphic>
                    </wp:anchor>
                  </w:drawing>
                </mc:Choice>
                <mc:Fallback>
                  <w:pict>
                    <v:group style="position:absolute;margin-left:49.015999pt;margin-top:12.057517pt;width:144.85pt;height:348.45pt;mso-position-horizontal-relative:column;mso-position-vertical-relative:paragraph;z-index:-16287744" id="docshapegroup5" coordorigin="980,241" coordsize="2897,6969">
                      <v:shape style="position:absolute;left:980;top:241;width:2897;height:6969" type="#_x0000_t75" id="docshape6" stroked="false">
                        <v:imagedata r:id="rId6" o:title=""/>
                      </v:shape>
                      <w10:wrap type="none"/>
                    </v:group>
                  </w:pict>
                </mc:Fallback>
              </mc:AlternateContent>
            </w:r>
            <w:r>
              <w:rPr>
                <w:spacing w:val="-2"/>
                <w:sz w:val="20"/>
              </w:rPr>
              <w:t>Rozlytrek</w:t>
            </w:r>
          </w:p>
        </w:tc>
        <w:tc>
          <w:tcPr>
            <w:tcW w:w="4537" w:type="dxa"/>
            <w:tcBorders>
              <w:right w:val="single" w:sz="12" w:space="0" w:color="000000"/>
            </w:tcBorders>
          </w:tcPr>
          <w:p>
            <w:pPr>
              <w:pStyle w:val="TableParagraph"/>
              <w:ind w:right="4"/>
              <w:rPr>
                <w:sz w:val="20"/>
              </w:rPr>
            </w:pPr>
            <w:r>
              <w:rPr>
                <w:spacing w:val="-2"/>
                <w:sz w:val="20"/>
              </w:rPr>
              <w:t>Entrectinib</w:t>
            </w:r>
          </w:p>
        </w:tc>
      </w:tr>
      <w:tr>
        <w:trPr>
          <w:trHeight w:val="401" w:hRule="atLeast"/>
        </w:trPr>
        <w:tc>
          <w:tcPr>
            <w:tcW w:w="2410" w:type="dxa"/>
            <w:tcBorders>
              <w:left w:val="single" w:sz="12" w:space="0" w:color="000000"/>
            </w:tcBorders>
          </w:tcPr>
          <w:p>
            <w:pPr>
              <w:pStyle w:val="TableParagraph"/>
              <w:spacing w:before="122"/>
              <w:ind w:left="19"/>
              <w:rPr>
                <w:rFonts w:ascii="SimSun" w:eastAsia="SimSun"/>
                <w:sz w:val="20"/>
              </w:rPr>
            </w:pPr>
            <w:r>
              <w:rPr>
                <w:rFonts w:ascii="SimSun" w:eastAsia="SimSun"/>
                <w:spacing w:val="-5"/>
                <w:sz w:val="20"/>
              </w:rPr>
              <w:t>達勝癌</w:t>
            </w:r>
          </w:p>
        </w:tc>
        <w:tc>
          <w:tcPr>
            <w:tcW w:w="2693" w:type="dxa"/>
          </w:tcPr>
          <w:p>
            <w:pPr>
              <w:pStyle w:val="TableParagraph"/>
              <w:ind w:left="36" w:right="4"/>
              <w:rPr>
                <w:sz w:val="20"/>
              </w:rPr>
            </w:pPr>
            <w:r>
              <w:rPr>
                <w:spacing w:val="-2"/>
                <w:sz w:val="20"/>
              </w:rPr>
              <w:t>Talzenna</w:t>
            </w:r>
          </w:p>
        </w:tc>
        <w:tc>
          <w:tcPr>
            <w:tcW w:w="4537" w:type="dxa"/>
            <w:tcBorders>
              <w:right w:val="single" w:sz="12" w:space="0" w:color="000000"/>
            </w:tcBorders>
          </w:tcPr>
          <w:p>
            <w:pPr>
              <w:pStyle w:val="TableParagraph"/>
              <w:ind w:right="6"/>
              <w:rPr>
                <w:sz w:val="20"/>
              </w:rPr>
            </w:pPr>
            <w:r>
              <w:rPr>
                <w:spacing w:val="-2"/>
                <w:sz w:val="20"/>
              </w:rPr>
              <w:t>Talazoparib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愛克利</w:t>
            </w:r>
          </w:p>
        </w:tc>
        <w:tc>
          <w:tcPr>
            <w:tcW w:w="2693" w:type="dxa"/>
          </w:tcPr>
          <w:p>
            <w:pPr>
              <w:pStyle w:val="TableParagraph"/>
              <w:ind w:left="36"/>
              <w:rPr>
                <w:sz w:val="20"/>
              </w:rPr>
            </w:pPr>
            <w:r>
              <w:rPr>
                <w:spacing w:val="-2"/>
                <w:sz w:val="20"/>
              </w:rPr>
              <w:t>Piqray</w:t>
            </w:r>
          </w:p>
        </w:tc>
        <w:tc>
          <w:tcPr>
            <w:tcW w:w="4537" w:type="dxa"/>
            <w:tcBorders>
              <w:right w:val="single" w:sz="12" w:space="0" w:color="000000"/>
            </w:tcBorders>
          </w:tcPr>
          <w:p>
            <w:pPr>
              <w:pStyle w:val="TableParagraph"/>
              <w:ind w:right="4"/>
              <w:rPr>
                <w:sz w:val="20"/>
              </w:rPr>
            </w:pPr>
            <w:r>
              <w:rPr>
                <w:spacing w:val="-2"/>
                <w:sz w:val="20"/>
              </w:rPr>
              <w:t>Alpelisib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賀儷安</w:t>
            </w:r>
          </w:p>
        </w:tc>
        <w:tc>
          <w:tcPr>
            <w:tcW w:w="2693" w:type="dxa"/>
          </w:tcPr>
          <w:p>
            <w:pPr>
              <w:pStyle w:val="TableParagraph"/>
              <w:ind w:left="36" w:right="6"/>
              <w:rPr>
                <w:sz w:val="20"/>
              </w:rPr>
            </w:pPr>
            <w:r>
              <w:rPr>
                <w:spacing w:val="-2"/>
                <w:sz w:val="20"/>
              </w:rPr>
              <w:t>Nerlynx</w:t>
            </w:r>
          </w:p>
        </w:tc>
        <w:tc>
          <w:tcPr>
            <w:tcW w:w="4537" w:type="dxa"/>
            <w:tcBorders>
              <w:right w:val="single" w:sz="12" w:space="0" w:color="000000"/>
            </w:tcBorders>
          </w:tcPr>
          <w:p>
            <w:pPr>
              <w:pStyle w:val="TableParagraph"/>
              <w:ind w:right="6"/>
              <w:rPr>
                <w:sz w:val="20"/>
              </w:rPr>
            </w:pPr>
            <w:r>
              <w:rPr>
                <w:spacing w:val="-2"/>
                <w:sz w:val="20"/>
              </w:rPr>
              <w:t>Neratinib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達伯坦</w:t>
            </w:r>
          </w:p>
        </w:tc>
        <w:tc>
          <w:tcPr>
            <w:tcW w:w="2693" w:type="dxa"/>
          </w:tcPr>
          <w:p>
            <w:pPr>
              <w:pStyle w:val="TableParagraph"/>
              <w:ind w:left="36" w:right="7"/>
              <w:rPr>
                <w:sz w:val="20"/>
              </w:rPr>
            </w:pPr>
            <w:r>
              <w:rPr>
                <w:spacing w:val="-2"/>
                <w:sz w:val="20"/>
              </w:rPr>
              <w:t>Pemazyre</w:t>
            </w:r>
          </w:p>
        </w:tc>
        <w:tc>
          <w:tcPr>
            <w:tcW w:w="4537" w:type="dxa"/>
            <w:tcBorders>
              <w:right w:val="single" w:sz="12" w:space="0" w:color="000000"/>
            </w:tcBorders>
          </w:tcPr>
          <w:p>
            <w:pPr>
              <w:pStyle w:val="TableParagraph"/>
              <w:ind w:right="6"/>
              <w:rPr>
                <w:sz w:val="20"/>
              </w:rPr>
            </w:pPr>
            <w:r>
              <w:rPr>
                <w:spacing w:val="-2"/>
                <w:sz w:val="20"/>
              </w:rPr>
              <w:t>Pemigatinib</w:t>
            </w:r>
          </w:p>
        </w:tc>
      </w:tr>
      <w:tr>
        <w:trPr>
          <w:trHeight w:val="397" w:hRule="atLeast"/>
        </w:trPr>
        <w:tc>
          <w:tcPr>
            <w:tcW w:w="2410" w:type="dxa"/>
            <w:tcBorders>
              <w:left w:val="single" w:sz="12" w:space="0" w:color="000000"/>
            </w:tcBorders>
          </w:tcPr>
          <w:p>
            <w:pPr>
              <w:pStyle w:val="TableParagraph"/>
              <w:spacing w:before="119"/>
              <w:ind w:left="19"/>
              <w:rPr>
                <w:rFonts w:ascii="SimSun" w:eastAsia="SimSun"/>
                <w:sz w:val="20"/>
              </w:rPr>
            </w:pPr>
            <w:r>
              <w:rPr>
                <w:rFonts w:ascii="SimSun" w:eastAsia="SimSun"/>
                <w:spacing w:val="-5"/>
                <w:sz w:val="20"/>
              </w:rPr>
              <w:t>泰時維</w:t>
            </w:r>
          </w:p>
        </w:tc>
        <w:tc>
          <w:tcPr>
            <w:tcW w:w="2693" w:type="dxa"/>
          </w:tcPr>
          <w:p>
            <w:pPr>
              <w:pStyle w:val="TableParagraph"/>
              <w:spacing w:before="131"/>
              <w:ind w:left="36" w:right="4"/>
              <w:rPr>
                <w:sz w:val="20"/>
              </w:rPr>
            </w:pPr>
            <w:r>
              <w:rPr>
                <w:spacing w:val="-2"/>
                <w:sz w:val="20"/>
              </w:rPr>
              <w:t>Ayvakit</w:t>
            </w:r>
          </w:p>
        </w:tc>
        <w:tc>
          <w:tcPr>
            <w:tcW w:w="4537" w:type="dxa"/>
            <w:tcBorders>
              <w:right w:val="single" w:sz="12" w:space="0" w:color="000000"/>
            </w:tcBorders>
          </w:tcPr>
          <w:p>
            <w:pPr>
              <w:pStyle w:val="TableParagraph"/>
              <w:spacing w:before="131"/>
              <w:ind w:right="4"/>
              <w:rPr>
                <w:sz w:val="20"/>
              </w:rPr>
            </w:pPr>
            <w:r>
              <w:rPr>
                <w:spacing w:val="-2"/>
                <w:sz w:val="20"/>
              </w:rPr>
              <w:t>Avapritinib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克瘤康</w:t>
            </w:r>
          </w:p>
        </w:tc>
        <w:tc>
          <w:tcPr>
            <w:tcW w:w="2693" w:type="dxa"/>
          </w:tcPr>
          <w:p>
            <w:pPr>
              <w:pStyle w:val="TableParagraph"/>
              <w:ind w:left="36" w:right="5"/>
              <w:rPr>
                <w:sz w:val="20"/>
              </w:rPr>
            </w:pPr>
            <w:r>
              <w:rPr>
                <w:spacing w:val="-2"/>
                <w:sz w:val="20"/>
              </w:rPr>
              <w:t>Calquence</w:t>
            </w:r>
          </w:p>
        </w:tc>
        <w:tc>
          <w:tcPr>
            <w:tcW w:w="4537" w:type="dxa"/>
            <w:tcBorders>
              <w:right w:val="single" w:sz="12" w:space="0" w:color="000000"/>
            </w:tcBorders>
          </w:tcPr>
          <w:p>
            <w:pPr>
              <w:pStyle w:val="TableParagraph"/>
              <w:ind w:right="4"/>
              <w:rPr>
                <w:sz w:val="20"/>
              </w:rPr>
            </w:pPr>
            <w:r>
              <w:rPr>
                <w:spacing w:val="-2"/>
                <w:sz w:val="20"/>
              </w:rPr>
              <w:t>Acalabrutinib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截永樂</w:t>
            </w:r>
          </w:p>
        </w:tc>
        <w:tc>
          <w:tcPr>
            <w:tcW w:w="2693" w:type="dxa"/>
          </w:tcPr>
          <w:p>
            <w:pPr>
              <w:pStyle w:val="TableParagraph"/>
              <w:ind w:left="36" w:right="7"/>
              <w:rPr>
                <w:sz w:val="20"/>
              </w:rPr>
            </w:pPr>
            <w:r>
              <w:rPr>
                <w:spacing w:val="-2"/>
                <w:sz w:val="20"/>
              </w:rPr>
              <w:t>Zejula</w:t>
            </w:r>
          </w:p>
        </w:tc>
        <w:tc>
          <w:tcPr>
            <w:tcW w:w="4537" w:type="dxa"/>
            <w:tcBorders>
              <w:right w:val="single" w:sz="12" w:space="0" w:color="000000"/>
            </w:tcBorders>
          </w:tcPr>
          <w:p>
            <w:pPr>
              <w:pStyle w:val="TableParagraph"/>
              <w:ind w:right="6"/>
              <w:rPr>
                <w:sz w:val="20"/>
              </w:rPr>
            </w:pPr>
            <w:r>
              <w:rPr>
                <w:spacing w:val="-2"/>
                <w:sz w:val="20"/>
              </w:rPr>
              <w:t>Niraparib</w:t>
            </w:r>
          </w:p>
        </w:tc>
      </w:tr>
      <w:tr>
        <w:trPr>
          <w:trHeight w:val="400" w:hRule="atLeast"/>
        </w:trPr>
        <w:tc>
          <w:tcPr>
            <w:tcW w:w="2410" w:type="dxa"/>
            <w:tcBorders>
              <w:left w:val="single" w:sz="12" w:space="0" w:color="000000"/>
            </w:tcBorders>
          </w:tcPr>
          <w:p>
            <w:pPr>
              <w:pStyle w:val="TableParagraph"/>
              <w:spacing w:before="121"/>
              <w:ind w:left="19" w:right="0"/>
              <w:rPr>
                <w:rFonts w:ascii="SimSun" w:eastAsia="SimSun"/>
                <w:sz w:val="20"/>
              </w:rPr>
            </w:pPr>
            <w:r>
              <w:rPr>
                <w:rFonts w:ascii="SimSun" w:eastAsia="SimSun"/>
                <w:spacing w:val="-5"/>
                <w:sz w:val="20"/>
              </w:rPr>
              <w:t>盼樂</w:t>
            </w:r>
          </w:p>
        </w:tc>
        <w:tc>
          <w:tcPr>
            <w:tcW w:w="2693" w:type="dxa"/>
          </w:tcPr>
          <w:p>
            <w:pPr>
              <w:pStyle w:val="TableParagraph"/>
              <w:ind w:left="36" w:right="4"/>
              <w:rPr>
                <w:sz w:val="20"/>
              </w:rPr>
            </w:pPr>
            <w:r>
              <w:rPr>
                <w:spacing w:val="-2"/>
                <w:sz w:val="20"/>
              </w:rPr>
              <w:t>Balversa</w:t>
            </w:r>
          </w:p>
        </w:tc>
        <w:tc>
          <w:tcPr>
            <w:tcW w:w="4537" w:type="dxa"/>
            <w:tcBorders>
              <w:right w:val="single" w:sz="12" w:space="0" w:color="000000"/>
            </w:tcBorders>
          </w:tcPr>
          <w:p>
            <w:pPr>
              <w:pStyle w:val="TableParagraph"/>
              <w:ind w:right="7"/>
              <w:rPr>
                <w:sz w:val="20"/>
              </w:rPr>
            </w:pPr>
            <w:r>
              <w:rPr>
                <w:spacing w:val="-2"/>
                <w:sz w:val="20"/>
              </w:rPr>
              <w:t>Erdafitinib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維泰凱</w:t>
            </w:r>
          </w:p>
        </w:tc>
        <w:tc>
          <w:tcPr>
            <w:tcW w:w="2693" w:type="dxa"/>
          </w:tcPr>
          <w:p>
            <w:pPr>
              <w:pStyle w:val="TableParagraph"/>
              <w:ind w:left="36" w:right="4"/>
              <w:rPr>
                <w:sz w:val="20"/>
              </w:rPr>
            </w:pPr>
            <w:r>
              <w:rPr>
                <w:spacing w:val="-2"/>
                <w:sz w:val="20"/>
              </w:rPr>
              <w:t>Vitrakvi</w:t>
            </w:r>
          </w:p>
        </w:tc>
        <w:tc>
          <w:tcPr>
            <w:tcW w:w="4537" w:type="dxa"/>
            <w:tcBorders>
              <w:right w:val="single" w:sz="12" w:space="0" w:color="000000"/>
            </w:tcBorders>
          </w:tcPr>
          <w:p>
            <w:pPr>
              <w:pStyle w:val="TableParagraph"/>
              <w:ind w:right="7"/>
              <w:rPr>
                <w:sz w:val="20"/>
              </w:rPr>
            </w:pPr>
            <w:r>
              <w:rPr>
                <w:spacing w:val="-2"/>
                <w:sz w:val="20"/>
              </w:rPr>
              <w:t>Larotrectinib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期樂錠</w:t>
            </w:r>
          </w:p>
        </w:tc>
        <w:tc>
          <w:tcPr>
            <w:tcW w:w="2693" w:type="dxa"/>
          </w:tcPr>
          <w:p>
            <w:pPr>
              <w:pStyle w:val="TableParagraph"/>
              <w:ind w:left="36" w:right="4"/>
              <w:rPr>
                <w:sz w:val="20"/>
              </w:rPr>
            </w:pPr>
            <w:r>
              <w:rPr>
                <w:spacing w:val="-2"/>
                <w:sz w:val="20"/>
              </w:rPr>
              <w:t>Qinlock</w:t>
            </w:r>
          </w:p>
        </w:tc>
        <w:tc>
          <w:tcPr>
            <w:tcW w:w="4537" w:type="dxa"/>
            <w:tcBorders>
              <w:right w:val="single" w:sz="12" w:space="0" w:color="000000"/>
            </w:tcBorders>
          </w:tcPr>
          <w:p>
            <w:pPr>
              <w:pStyle w:val="TableParagraph"/>
              <w:ind w:right="4"/>
              <w:rPr>
                <w:sz w:val="20"/>
              </w:rPr>
            </w:pPr>
            <w:r>
              <w:rPr>
                <w:spacing w:val="-2"/>
                <w:sz w:val="20"/>
              </w:rPr>
              <w:t>Ripretinib</w:t>
            </w:r>
          </w:p>
        </w:tc>
      </w:tr>
      <w:tr>
        <w:trPr>
          <w:trHeight w:val="398" w:hRule="atLeast"/>
        </w:trPr>
        <w:tc>
          <w:tcPr>
            <w:tcW w:w="2410" w:type="dxa"/>
            <w:tcBorders>
              <w:left w:val="single" w:sz="12" w:space="0" w:color="000000"/>
            </w:tcBorders>
          </w:tcPr>
          <w:p>
            <w:pPr>
              <w:pStyle w:val="TableParagraph"/>
              <w:spacing w:before="119"/>
              <w:ind w:left="19"/>
              <w:rPr>
                <w:rFonts w:ascii="SimSun" w:eastAsia="SimSun"/>
                <w:sz w:val="20"/>
              </w:rPr>
            </w:pPr>
            <w:r>
              <w:rPr>
                <w:rFonts w:ascii="SimSun" w:eastAsia="SimSun"/>
                <w:spacing w:val="-5"/>
                <w:sz w:val="20"/>
              </w:rPr>
              <w:t>百悅澤</w:t>
            </w:r>
          </w:p>
        </w:tc>
        <w:tc>
          <w:tcPr>
            <w:tcW w:w="2693" w:type="dxa"/>
          </w:tcPr>
          <w:p>
            <w:pPr>
              <w:pStyle w:val="TableParagraph"/>
              <w:spacing w:before="131"/>
              <w:ind w:left="36" w:right="2"/>
              <w:rPr>
                <w:sz w:val="20"/>
              </w:rPr>
            </w:pPr>
            <w:r>
              <w:rPr>
                <w:spacing w:val="-2"/>
                <w:sz w:val="20"/>
              </w:rPr>
              <w:t>Brukinsa</w:t>
            </w:r>
          </w:p>
        </w:tc>
        <w:tc>
          <w:tcPr>
            <w:tcW w:w="4537" w:type="dxa"/>
            <w:tcBorders>
              <w:right w:val="single" w:sz="12" w:space="0" w:color="000000"/>
            </w:tcBorders>
          </w:tcPr>
          <w:p>
            <w:pPr>
              <w:pStyle w:val="TableParagraph"/>
              <w:spacing w:before="131"/>
              <w:ind w:right="7"/>
              <w:rPr>
                <w:sz w:val="20"/>
              </w:rPr>
            </w:pPr>
            <w:r>
              <w:rPr>
                <w:spacing w:val="-2"/>
                <w:sz w:val="20"/>
              </w:rPr>
              <w:t>Zanubrutinib</w:t>
            </w:r>
          </w:p>
        </w:tc>
      </w:tr>
      <w:tr>
        <w:trPr>
          <w:trHeight w:val="400" w:hRule="atLeast"/>
        </w:trPr>
        <w:tc>
          <w:tcPr>
            <w:tcW w:w="2410" w:type="dxa"/>
            <w:tcBorders>
              <w:left w:val="single" w:sz="12" w:space="0" w:color="000000"/>
            </w:tcBorders>
          </w:tcPr>
          <w:p>
            <w:pPr>
              <w:pStyle w:val="TableParagraph"/>
              <w:spacing w:before="121"/>
              <w:ind w:left="19" w:right="3"/>
              <w:rPr>
                <w:rFonts w:ascii="SimSun" w:eastAsia="SimSun"/>
                <w:sz w:val="20"/>
              </w:rPr>
            </w:pPr>
            <w:r>
              <w:rPr>
                <w:rFonts w:ascii="SimSun" w:eastAsia="SimSun"/>
                <w:spacing w:val="-4"/>
                <w:sz w:val="20"/>
              </w:rPr>
              <w:t>安列庫帕</w:t>
            </w:r>
          </w:p>
        </w:tc>
        <w:tc>
          <w:tcPr>
            <w:tcW w:w="2693" w:type="dxa"/>
          </w:tcPr>
          <w:p>
            <w:pPr>
              <w:pStyle w:val="TableParagraph"/>
              <w:ind w:left="36" w:right="6"/>
              <w:rPr>
                <w:sz w:val="20"/>
              </w:rPr>
            </w:pPr>
            <w:r>
              <w:rPr>
                <w:spacing w:val="-2"/>
                <w:sz w:val="20"/>
              </w:rPr>
              <w:t>Aliqopa</w:t>
            </w:r>
          </w:p>
        </w:tc>
        <w:tc>
          <w:tcPr>
            <w:tcW w:w="4537" w:type="dxa"/>
            <w:tcBorders>
              <w:right w:val="single" w:sz="12" w:space="0" w:color="000000"/>
            </w:tcBorders>
          </w:tcPr>
          <w:p>
            <w:pPr>
              <w:pStyle w:val="TableParagraph"/>
              <w:ind w:right="4"/>
              <w:rPr>
                <w:sz w:val="20"/>
              </w:rPr>
            </w:pPr>
            <w:r>
              <w:rPr>
                <w:spacing w:val="-2"/>
                <w:sz w:val="20"/>
              </w:rPr>
              <w:t>Copanlisib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恩必喜</w:t>
            </w:r>
          </w:p>
        </w:tc>
        <w:tc>
          <w:tcPr>
            <w:tcW w:w="2693" w:type="dxa"/>
          </w:tcPr>
          <w:p>
            <w:pPr>
              <w:pStyle w:val="TableParagraph"/>
              <w:ind w:left="36" w:right="4"/>
              <w:rPr>
                <w:sz w:val="20"/>
              </w:rPr>
            </w:pPr>
            <w:r>
              <w:rPr>
                <w:spacing w:val="-2"/>
                <w:sz w:val="20"/>
              </w:rPr>
              <w:t>Empliciti</w:t>
            </w:r>
          </w:p>
        </w:tc>
        <w:tc>
          <w:tcPr>
            <w:tcW w:w="4537" w:type="dxa"/>
            <w:tcBorders>
              <w:right w:val="single" w:sz="12" w:space="0" w:color="000000"/>
            </w:tcBorders>
          </w:tcPr>
          <w:p>
            <w:pPr>
              <w:pStyle w:val="TableParagraph"/>
              <w:rPr>
                <w:sz w:val="20"/>
              </w:rPr>
            </w:pPr>
            <w:r>
              <w:rPr>
                <w:spacing w:val="-2"/>
                <w:sz w:val="20"/>
              </w:rPr>
              <w:t>Elotuzumab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多髓易</w:t>
            </w:r>
          </w:p>
        </w:tc>
        <w:tc>
          <w:tcPr>
            <w:tcW w:w="2693" w:type="dxa"/>
          </w:tcPr>
          <w:p>
            <w:pPr>
              <w:pStyle w:val="TableParagraph"/>
              <w:ind w:left="36" w:right="4"/>
              <w:rPr>
                <w:sz w:val="20"/>
              </w:rPr>
            </w:pPr>
            <w:r>
              <w:rPr>
                <w:spacing w:val="-2"/>
                <w:sz w:val="20"/>
              </w:rPr>
              <w:t>Sarclisa</w:t>
            </w:r>
          </w:p>
        </w:tc>
        <w:tc>
          <w:tcPr>
            <w:tcW w:w="4537" w:type="dxa"/>
            <w:tcBorders>
              <w:right w:val="single" w:sz="12" w:space="0" w:color="000000"/>
            </w:tcBorders>
          </w:tcPr>
          <w:p>
            <w:pPr>
              <w:pStyle w:val="TableParagraph"/>
              <w:ind w:right="4"/>
              <w:rPr>
                <w:sz w:val="20"/>
              </w:rPr>
            </w:pPr>
            <w:r>
              <w:rPr>
                <w:spacing w:val="-2"/>
                <w:sz w:val="20"/>
              </w:rPr>
              <w:t>Isatuximab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肺倍恩</w:t>
            </w:r>
          </w:p>
        </w:tc>
        <w:tc>
          <w:tcPr>
            <w:tcW w:w="2693" w:type="dxa"/>
          </w:tcPr>
          <w:p>
            <w:pPr>
              <w:pStyle w:val="TableParagraph"/>
              <w:ind w:left="36" w:right="4"/>
              <w:rPr>
                <w:sz w:val="20"/>
              </w:rPr>
            </w:pPr>
            <w:r>
              <w:rPr>
                <w:spacing w:val="-2"/>
                <w:sz w:val="20"/>
              </w:rPr>
              <w:t>Rybrevant</w:t>
            </w:r>
          </w:p>
        </w:tc>
        <w:tc>
          <w:tcPr>
            <w:tcW w:w="4537" w:type="dxa"/>
            <w:tcBorders>
              <w:right w:val="single" w:sz="12" w:space="0" w:color="000000"/>
            </w:tcBorders>
          </w:tcPr>
          <w:p>
            <w:pPr>
              <w:pStyle w:val="TableParagraph"/>
              <w:rPr>
                <w:sz w:val="20"/>
              </w:rPr>
            </w:pPr>
            <w:r>
              <w:rPr>
                <w:spacing w:val="-2"/>
                <w:sz w:val="20"/>
              </w:rPr>
              <w:t>Amivantamab</w:t>
            </w:r>
          </w:p>
        </w:tc>
      </w:tr>
      <w:tr>
        <w:trPr>
          <w:trHeight w:val="400" w:hRule="atLeast"/>
        </w:trPr>
        <w:tc>
          <w:tcPr>
            <w:tcW w:w="2410" w:type="dxa"/>
            <w:tcBorders>
              <w:left w:val="single" w:sz="12" w:space="0" w:color="000000"/>
            </w:tcBorders>
          </w:tcPr>
          <w:p>
            <w:pPr>
              <w:pStyle w:val="TableParagraph"/>
              <w:spacing w:before="121"/>
              <w:ind w:left="19"/>
              <w:rPr>
                <w:rFonts w:ascii="SimSun" w:eastAsia="SimSun"/>
                <w:sz w:val="20"/>
              </w:rPr>
            </w:pPr>
            <w:r>
              <w:rPr>
                <w:rFonts w:ascii="SimSun" w:eastAsia="SimSun"/>
                <w:spacing w:val="-5"/>
                <w:sz w:val="20"/>
              </w:rPr>
              <w:t>寬利安</w:t>
            </w:r>
          </w:p>
        </w:tc>
        <w:tc>
          <w:tcPr>
            <w:tcW w:w="2693" w:type="dxa"/>
          </w:tcPr>
          <w:p>
            <w:pPr>
              <w:pStyle w:val="TableParagraph"/>
              <w:ind w:left="36" w:right="4"/>
              <w:rPr>
                <w:sz w:val="20"/>
              </w:rPr>
            </w:pPr>
            <w:r>
              <w:rPr>
                <w:spacing w:val="-2"/>
                <w:sz w:val="20"/>
              </w:rPr>
              <w:t>Qarziba</w:t>
            </w:r>
          </w:p>
        </w:tc>
        <w:tc>
          <w:tcPr>
            <w:tcW w:w="4537" w:type="dxa"/>
            <w:tcBorders>
              <w:right w:val="single" w:sz="12" w:space="0" w:color="000000"/>
            </w:tcBorders>
          </w:tcPr>
          <w:p>
            <w:pPr>
              <w:pStyle w:val="TableParagraph"/>
              <w:ind w:right="6"/>
              <w:rPr>
                <w:sz w:val="20"/>
              </w:rPr>
            </w:pPr>
            <w:r>
              <w:rPr>
                <w:spacing w:val="-2"/>
                <w:sz w:val="20"/>
              </w:rPr>
              <w:t>Dinutuximabbeta</w:t>
            </w:r>
          </w:p>
        </w:tc>
      </w:tr>
      <w:tr>
        <w:trPr>
          <w:trHeight w:val="798" w:hRule="atLeast"/>
        </w:trPr>
        <w:tc>
          <w:tcPr>
            <w:tcW w:w="2410" w:type="dxa"/>
            <w:tcBorders>
              <w:left w:val="single" w:sz="12" w:space="0" w:color="000000"/>
              <w:bottom w:val="single" w:sz="12" w:space="0" w:color="000000"/>
            </w:tcBorders>
          </w:tcPr>
          <w:p>
            <w:pPr>
              <w:pStyle w:val="TableParagraph"/>
              <w:spacing w:before="119"/>
              <w:ind w:left="19"/>
              <w:rPr>
                <w:rFonts w:ascii="SimSun" w:eastAsia="SimSun"/>
                <w:sz w:val="20"/>
              </w:rPr>
            </w:pPr>
            <w:r>
              <w:rPr>
                <w:rFonts w:ascii="SimSun" w:eastAsia="SimSun"/>
                <w:spacing w:val="-5"/>
                <w:sz w:val="20"/>
              </w:rPr>
              <w:t>賀雙妥</w:t>
            </w:r>
          </w:p>
        </w:tc>
        <w:tc>
          <w:tcPr>
            <w:tcW w:w="2693" w:type="dxa"/>
            <w:tcBorders>
              <w:bottom w:val="single" w:sz="12" w:space="0" w:color="000000"/>
            </w:tcBorders>
          </w:tcPr>
          <w:p>
            <w:pPr>
              <w:pStyle w:val="TableParagraph"/>
              <w:spacing w:before="131"/>
              <w:ind w:left="36" w:right="7"/>
              <w:rPr>
                <w:sz w:val="20"/>
              </w:rPr>
            </w:pPr>
            <w:r>
              <w:rPr>
                <w:spacing w:val="-2"/>
                <w:sz w:val="20"/>
              </w:rPr>
              <w:t>Phesgo</w:t>
            </w:r>
          </w:p>
        </w:tc>
        <w:tc>
          <w:tcPr>
            <w:tcW w:w="4537" w:type="dxa"/>
            <w:tcBorders>
              <w:bottom w:val="single" w:sz="12" w:space="0" w:color="000000"/>
              <w:right w:val="single" w:sz="12" w:space="0" w:color="000000"/>
            </w:tcBorders>
          </w:tcPr>
          <w:p>
            <w:pPr>
              <w:pStyle w:val="TableParagraph"/>
              <w:spacing w:before="131"/>
              <w:ind w:right="3"/>
              <w:rPr>
                <w:sz w:val="20"/>
              </w:rPr>
            </w:pPr>
            <w:r>
              <w:rPr>
                <w:spacing w:val="-2"/>
                <w:sz w:val="20"/>
              </w:rPr>
              <w:t>Pertuzumab</w:t>
            </w:r>
          </w:p>
          <w:p>
            <w:pPr>
              <w:pStyle w:val="TableParagraph"/>
              <w:spacing w:before="171"/>
              <w:ind w:right="4"/>
              <w:rPr>
                <w:sz w:val="20"/>
              </w:rPr>
            </w:pPr>
            <w:r>
              <w:rPr>
                <w:spacing w:val="-2"/>
                <w:sz w:val="20"/>
              </w:rPr>
              <w:t>Trastuzumab</w:t>
            </w:r>
          </w:p>
        </w:tc>
      </w:tr>
    </w:tbl>
    <w:sectPr>
      <w:pgSz w:w="11910" w:h="16850"/>
      <w:pgMar w:header="0" w:footer="855" w:top="1380" w:bottom="1040" w:left="100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JhengHei">
    <w:altName w:val="Microsoft JhengHei"/>
    <w:charset w:val="1"/>
    <w:family w:val="swiss"/>
    <w:pitch w:val="variable"/>
  </w:font>
  <w:font w:name="Malgun Gothic">
    <w:altName w:val="Malgun Gothic"/>
    <w:charset w:val="1"/>
    <w:family w:val="swiss"/>
    <w:pitch w:val="variable"/>
  </w:font>
  <w:font w:name="MingLiU-ExtB">
    <w:altName w:val="MingLiU-ExtB"/>
    <w:charset w:val="1"/>
    <w:family w:val="roman"/>
    <w:pitch w:val="variable"/>
  </w:font>
  <w:font w:name="Wingdings">
    <w:altName w:val="Wingdings"/>
    <w:charset w:val="2"/>
    <w:family w:val="decorative"/>
    <w:pitch w:val="variable"/>
  </w:font>
  <w:font w:name="SimSun">
    <w:altName w:val="SimSu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23616">
              <wp:simplePos x="0" y="0"/>
              <wp:positionH relativeFrom="page">
                <wp:posOffset>3354451</wp:posOffset>
              </wp:positionH>
              <wp:positionV relativeFrom="page">
                <wp:posOffset>10011158</wp:posOffset>
              </wp:positionV>
              <wp:extent cx="915669"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15669" cy="152400"/>
                      </a:xfrm>
                      <a:prstGeom prst="rect">
                        <a:avLst/>
                      </a:prstGeom>
                    </wps:spPr>
                    <wps:txbx>
                      <w:txbxContent>
                        <w:p>
                          <w:pPr>
                            <w:spacing w:line="239" w:lineRule="exact" w:before="0"/>
                            <w:ind w:left="20" w:right="0" w:firstLine="0"/>
                            <w:jc w:val="left"/>
                            <w:rPr>
                              <w:rFonts w:ascii="Microsoft JhengHei" w:eastAsia="Microsoft JhengHei"/>
                              <w:b/>
                              <w:sz w:val="20"/>
                            </w:rPr>
                          </w:pPr>
                          <w:r>
                            <w:rPr>
                              <w:rFonts w:ascii="Microsoft JhengHei" w:eastAsia="Microsoft JhengHei"/>
                              <w:b/>
                              <w:w w:val="90"/>
                              <w:sz w:val="20"/>
                            </w:rPr>
                            <w:t>第</w:t>
                          </w:r>
                          <w:r>
                            <w:rPr>
                              <w:rFonts w:ascii="Microsoft JhengHei" w:eastAsia="Microsoft JhengHei"/>
                              <w:b/>
                              <w:w w:val="90"/>
                              <w:sz w:val="20"/>
                            </w:rPr>
                            <w:fldChar w:fldCharType="begin"/>
                          </w:r>
                          <w:r>
                            <w:rPr>
                              <w:rFonts w:ascii="Microsoft JhengHei" w:eastAsia="Microsoft JhengHei"/>
                              <w:b/>
                              <w:w w:val="90"/>
                              <w:sz w:val="20"/>
                            </w:rPr>
                            <w:instrText> PAGE </w:instrText>
                          </w:r>
                          <w:r>
                            <w:rPr>
                              <w:rFonts w:ascii="Microsoft JhengHei" w:eastAsia="Microsoft JhengHei"/>
                              <w:b/>
                              <w:w w:val="90"/>
                              <w:sz w:val="20"/>
                            </w:rPr>
                            <w:fldChar w:fldCharType="separate"/>
                          </w:r>
                          <w:r>
                            <w:rPr>
                              <w:rFonts w:ascii="Microsoft JhengHei" w:eastAsia="Microsoft JhengHei"/>
                              <w:b/>
                              <w:w w:val="90"/>
                              <w:sz w:val="20"/>
                            </w:rPr>
                            <w:t>10</w:t>
                          </w:r>
                          <w:r>
                            <w:rPr>
                              <w:rFonts w:ascii="Microsoft JhengHei" w:eastAsia="Microsoft JhengHei"/>
                              <w:b/>
                              <w:w w:val="90"/>
                              <w:sz w:val="20"/>
                            </w:rPr>
                            <w:fldChar w:fldCharType="end"/>
                          </w:r>
                          <w:r>
                            <w:rPr>
                              <w:rFonts w:ascii="Microsoft JhengHei" w:eastAsia="Microsoft JhengHei"/>
                              <w:b/>
                              <w:w w:val="90"/>
                              <w:sz w:val="20"/>
                            </w:rPr>
                            <w:t>頁，共</w:t>
                          </w:r>
                          <w:r>
                            <w:rPr>
                              <w:rFonts w:ascii="Microsoft JhengHei" w:eastAsia="Microsoft JhengHei"/>
                              <w:b/>
                              <w:w w:val="90"/>
                              <w:sz w:val="20"/>
                            </w:rPr>
                            <w:fldChar w:fldCharType="begin"/>
                          </w:r>
                          <w:r>
                            <w:rPr>
                              <w:rFonts w:ascii="Microsoft JhengHei" w:eastAsia="Microsoft JhengHei"/>
                              <w:b/>
                              <w:w w:val="90"/>
                              <w:sz w:val="20"/>
                            </w:rPr>
                            <w:instrText> NUMPAGES </w:instrText>
                          </w:r>
                          <w:r>
                            <w:rPr>
                              <w:rFonts w:ascii="Microsoft JhengHei" w:eastAsia="Microsoft JhengHei"/>
                              <w:b/>
                              <w:w w:val="90"/>
                              <w:sz w:val="20"/>
                            </w:rPr>
                            <w:fldChar w:fldCharType="separate"/>
                          </w:r>
                          <w:r>
                            <w:rPr>
                              <w:rFonts w:ascii="Microsoft JhengHei" w:eastAsia="Microsoft JhengHei"/>
                              <w:b/>
                              <w:w w:val="90"/>
                              <w:sz w:val="20"/>
                            </w:rPr>
                            <w:t>10</w:t>
                          </w:r>
                          <w:r>
                            <w:rPr>
                              <w:rFonts w:ascii="Microsoft JhengHei" w:eastAsia="Microsoft JhengHei"/>
                              <w:b/>
                              <w:w w:val="90"/>
                              <w:sz w:val="20"/>
                            </w:rPr>
                            <w:fldChar w:fldCharType="end"/>
                          </w:r>
                          <w:r>
                            <w:rPr>
                              <w:rFonts w:ascii="Microsoft JhengHei" w:eastAsia="Microsoft JhengHei"/>
                              <w:b/>
                              <w:spacing w:val="-10"/>
                              <w:w w:val="90"/>
                              <w:sz w:val="20"/>
                            </w:rPr>
                            <w:t>頁</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4.130005pt;margin-top:788.280212pt;width:72.1pt;height:12pt;mso-position-horizontal-relative:page;mso-position-vertical-relative:page;z-index:-16292864" type="#_x0000_t202" id="docshape1" filled="false" stroked="false">
              <v:textbox inset="0,0,0,0">
                <w:txbxContent>
                  <w:p>
                    <w:pPr>
                      <w:spacing w:line="239" w:lineRule="exact" w:before="0"/>
                      <w:ind w:left="20" w:right="0" w:firstLine="0"/>
                      <w:jc w:val="left"/>
                      <w:rPr>
                        <w:rFonts w:ascii="Microsoft JhengHei" w:eastAsia="Microsoft JhengHei"/>
                        <w:b/>
                        <w:sz w:val="20"/>
                      </w:rPr>
                    </w:pPr>
                    <w:r>
                      <w:rPr>
                        <w:rFonts w:ascii="Microsoft JhengHei" w:eastAsia="Microsoft JhengHei"/>
                        <w:b/>
                        <w:w w:val="90"/>
                        <w:sz w:val="20"/>
                      </w:rPr>
                      <w:t>第</w:t>
                    </w:r>
                    <w:r>
                      <w:rPr>
                        <w:rFonts w:ascii="Microsoft JhengHei" w:eastAsia="Microsoft JhengHei"/>
                        <w:b/>
                        <w:w w:val="90"/>
                        <w:sz w:val="20"/>
                      </w:rPr>
                      <w:fldChar w:fldCharType="begin"/>
                    </w:r>
                    <w:r>
                      <w:rPr>
                        <w:rFonts w:ascii="Microsoft JhengHei" w:eastAsia="Microsoft JhengHei"/>
                        <w:b/>
                        <w:w w:val="90"/>
                        <w:sz w:val="20"/>
                      </w:rPr>
                      <w:instrText> PAGE </w:instrText>
                    </w:r>
                    <w:r>
                      <w:rPr>
                        <w:rFonts w:ascii="Microsoft JhengHei" w:eastAsia="Microsoft JhengHei"/>
                        <w:b/>
                        <w:w w:val="90"/>
                        <w:sz w:val="20"/>
                      </w:rPr>
                      <w:fldChar w:fldCharType="separate"/>
                    </w:r>
                    <w:r>
                      <w:rPr>
                        <w:rFonts w:ascii="Microsoft JhengHei" w:eastAsia="Microsoft JhengHei"/>
                        <w:b/>
                        <w:w w:val="90"/>
                        <w:sz w:val="20"/>
                      </w:rPr>
                      <w:t>10</w:t>
                    </w:r>
                    <w:r>
                      <w:rPr>
                        <w:rFonts w:ascii="Microsoft JhengHei" w:eastAsia="Microsoft JhengHei"/>
                        <w:b/>
                        <w:w w:val="90"/>
                        <w:sz w:val="20"/>
                      </w:rPr>
                      <w:fldChar w:fldCharType="end"/>
                    </w:r>
                    <w:r>
                      <w:rPr>
                        <w:rFonts w:ascii="Microsoft JhengHei" w:eastAsia="Microsoft JhengHei"/>
                        <w:b/>
                        <w:w w:val="90"/>
                        <w:sz w:val="20"/>
                      </w:rPr>
                      <w:t>頁，共</w:t>
                    </w:r>
                    <w:r>
                      <w:rPr>
                        <w:rFonts w:ascii="Microsoft JhengHei" w:eastAsia="Microsoft JhengHei"/>
                        <w:b/>
                        <w:w w:val="90"/>
                        <w:sz w:val="20"/>
                      </w:rPr>
                      <w:fldChar w:fldCharType="begin"/>
                    </w:r>
                    <w:r>
                      <w:rPr>
                        <w:rFonts w:ascii="Microsoft JhengHei" w:eastAsia="Microsoft JhengHei"/>
                        <w:b/>
                        <w:w w:val="90"/>
                        <w:sz w:val="20"/>
                      </w:rPr>
                      <w:instrText> NUMPAGES </w:instrText>
                    </w:r>
                    <w:r>
                      <w:rPr>
                        <w:rFonts w:ascii="Microsoft JhengHei" w:eastAsia="Microsoft JhengHei"/>
                        <w:b/>
                        <w:w w:val="90"/>
                        <w:sz w:val="20"/>
                      </w:rPr>
                      <w:fldChar w:fldCharType="separate"/>
                    </w:r>
                    <w:r>
                      <w:rPr>
                        <w:rFonts w:ascii="Microsoft JhengHei" w:eastAsia="Microsoft JhengHei"/>
                        <w:b/>
                        <w:w w:val="90"/>
                        <w:sz w:val="20"/>
                      </w:rPr>
                      <w:t>10</w:t>
                    </w:r>
                    <w:r>
                      <w:rPr>
                        <w:rFonts w:ascii="Microsoft JhengHei" w:eastAsia="Microsoft JhengHei"/>
                        <w:b/>
                        <w:w w:val="90"/>
                        <w:sz w:val="20"/>
                      </w:rPr>
                      <w:fldChar w:fldCharType="end"/>
                    </w:r>
                    <w:r>
                      <w:rPr>
                        <w:rFonts w:ascii="Microsoft JhengHei" w:eastAsia="Microsoft JhengHei"/>
                        <w:b/>
                        <w:spacing w:val="-10"/>
                        <w:w w:val="90"/>
                        <w:sz w:val="20"/>
                      </w:rPr>
                      <w:t>頁</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66" w:hanging="150"/>
      </w:pPr>
      <w:rPr>
        <w:rFonts w:hint="default" w:ascii="Wingdings" w:hAnsi="Wingdings" w:eastAsia="Wingdings" w:cs="Wingdings"/>
        <w:b w:val="0"/>
        <w:bCs w:val="0"/>
        <w:i w:val="0"/>
        <w:iCs w:val="0"/>
        <w:spacing w:val="0"/>
        <w:w w:val="95"/>
        <w:sz w:val="18"/>
        <w:szCs w:val="18"/>
        <w:lang w:val="en-US" w:eastAsia="zh-TW" w:bidi="ar-SA"/>
      </w:rPr>
    </w:lvl>
    <w:lvl w:ilvl="1">
      <w:start w:val="0"/>
      <w:numFmt w:val="bullet"/>
      <w:lvlText w:val="•"/>
      <w:lvlJc w:val="left"/>
      <w:pPr>
        <w:ind w:left="726" w:hanging="150"/>
      </w:pPr>
      <w:rPr>
        <w:rFonts w:hint="default"/>
        <w:lang w:val="en-US" w:eastAsia="zh-TW" w:bidi="ar-SA"/>
      </w:rPr>
    </w:lvl>
    <w:lvl w:ilvl="2">
      <w:start w:val="0"/>
      <w:numFmt w:val="bullet"/>
      <w:lvlText w:val="•"/>
      <w:lvlJc w:val="left"/>
      <w:pPr>
        <w:ind w:left="1193" w:hanging="150"/>
      </w:pPr>
      <w:rPr>
        <w:rFonts w:hint="default"/>
        <w:lang w:val="en-US" w:eastAsia="zh-TW" w:bidi="ar-SA"/>
      </w:rPr>
    </w:lvl>
    <w:lvl w:ilvl="3">
      <w:start w:val="0"/>
      <w:numFmt w:val="bullet"/>
      <w:lvlText w:val="•"/>
      <w:lvlJc w:val="left"/>
      <w:pPr>
        <w:ind w:left="1660" w:hanging="150"/>
      </w:pPr>
      <w:rPr>
        <w:rFonts w:hint="default"/>
        <w:lang w:val="en-US" w:eastAsia="zh-TW" w:bidi="ar-SA"/>
      </w:rPr>
    </w:lvl>
    <w:lvl w:ilvl="4">
      <w:start w:val="0"/>
      <w:numFmt w:val="bullet"/>
      <w:lvlText w:val="•"/>
      <w:lvlJc w:val="left"/>
      <w:pPr>
        <w:ind w:left="2127" w:hanging="150"/>
      </w:pPr>
      <w:rPr>
        <w:rFonts w:hint="default"/>
        <w:lang w:val="en-US" w:eastAsia="zh-TW" w:bidi="ar-SA"/>
      </w:rPr>
    </w:lvl>
    <w:lvl w:ilvl="5">
      <w:start w:val="0"/>
      <w:numFmt w:val="bullet"/>
      <w:lvlText w:val="•"/>
      <w:lvlJc w:val="left"/>
      <w:pPr>
        <w:ind w:left="2594" w:hanging="150"/>
      </w:pPr>
      <w:rPr>
        <w:rFonts w:hint="default"/>
        <w:lang w:val="en-US" w:eastAsia="zh-TW" w:bidi="ar-SA"/>
      </w:rPr>
    </w:lvl>
    <w:lvl w:ilvl="6">
      <w:start w:val="0"/>
      <w:numFmt w:val="bullet"/>
      <w:lvlText w:val="•"/>
      <w:lvlJc w:val="left"/>
      <w:pPr>
        <w:ind w:left="3060" w:hanging="150"/>
      </w:pPr>
      <w:rPr>
        <w:rFonts w:hint="default"/>
        <w:lang w:val="en-US" w:eastAsia="zh-TW" w:bidi="ar-SA"/>
      </w:rPr>
    </w:lvl>
    <w:lvl w:ilvl="7">
      <w:start w:val="0"/>
      <w:numFmt w:val="bullet"/>
      <w:lvlText w:val="•"/>
      <w:lvlJc w:val="left"/>
      <w:pPr>
        <w:ind w:left="3527" w:hanging="150"/>
      </w:pPr>
      <w:rPr>
        <w:rFonts w:hint="default"/>
        <w:lang w:val="en-US" w:eastAsia="zh-TW" w:bidi="ar-SA"/>
      </w:rPr>
    </w:lvl>
    <w:lvl w:ilvl="8">
      <w:start w:val="0"/>
      <w:numFmt w:val="bullet"/>
      <w:lvlText w:val="•"/>
      <w:lvlJc w:val="left"/>
      <w:pPr>
        <w:ind w:left="3994" w:hanging="150"/>
      </w:pPr>
      <w:rPr>
        <w:rFonts w:hint="default"/>
        <w:lang w:val="en-US" w:eastAsia="zh-TW"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134"/>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13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before="18"/>
      <w:ind w:left="132" w:right="100"/>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rPr>
      <w:lang w:val="en-US" w:eastAsia="zh-TW" w:bidi="ar-SA"/>
    </w:rPr>
  </w:style>
  <w:style w:styleId="TableParagraph" w:type="paragraph">
    <w:name w:val="Table Paragraph"/>
    <w:basedOn w:val="Normal"/>
    <w:uiPriority w:val="1"/>
    <w:qFormat/>
    <w:pPr>
      <w:spacing w:before="134"/>
      <w:ind w:left="45" w:right="1"/>
      <w:jc w:val="center"/>
    </w:pPr>
    <w:rPr>
      <w:rFonts w:ascii="Arial MT" w:hAnsi="Arial MT" w:eastAsia="Arial MT" w:cs="Arial MT"/>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ervice@cathaylife.com.tw" TargetMode="External"/><Relationship Id="rId8" Type="http://schemas.openxmlformats.org/officeDocument/2006/relationships/hyperlink" Target="http://www.cathayholdings.com/life"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企劃部</dc:creator>
  <dc:title>條款</dc:title>
  <dcterms:created xsi:type="dcterms:W3CDTF">2023-11-01T01:18:43Z</dcterms:created>
  <dcterms:modified xsi:type="dcterms:W3CDTF">2023-11-01T01:18:43Z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Microsoft® Word 2016</vt:lpwstr>
  </property>
  <property fmtid="{D5CDD505-2E9C-101B-9397-08002B2CF9AE}" pid="4" name="LastSaved">
    <vt:filetime>2023-11-01T00:00:00Z</vt:filetime>
  </property>
  <property fmtid="{D5CDD505-2E9C-101B-9397-08002B2CF9AE}" pid="5" name="Producer">
    <vt:lpwstr>Microsoft® Word 2016</vt:lpwstr>
  </property>
</Properties>
</file>