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caps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pBdr>
          <w:bottom w:val="single" w:sz="12" w:space="1" w:color="00000A"/>
        </w:pBdr>
        <w:spacing w:lineRule="auto" w:line="24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Национальный исследовательский ядерный университет «МИФИ»</w:t>
      </w:r>
    </w:p>
    <w:p>
      <w:pPr>
        <w:pStyle w:val="Normal"/>
        <w:keepNext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/>
        <w:numPr>
          <w:ilvl w:val="0"/>
          <w:numId w:val="0"/>
        </w:numPr>
        <w:pBdr/>
        <w:spacing w:lineRule="auto" w:line="360" w:before="0" w:after="0"/>
        <w:jc w:val="center"/>
        <w:outlineLvl w:val="0"/>
        <w:rPr/>
        <w:framePr w:w="2016" w:h="1088" w:x="-402" w:y="278" w:wrap="auto" w:vAnchor="text" w:hAnchor="text" w:hRule="exact"/>
      </w:pPr>
      <w:r>
        <w:rPr/>
        <w:drawing>
          <wp:inline distT="0" distB="0" distL="0" distR="0">
            <wp:extent cx="1280160" cy="6908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01.03.02 Прикладная математика и информатика </w:t>
      </w:r>
    </w:p>
    <w:p>
      <w:pPr>
        <w:pStyle w:val="Normal"/>
        <w:spacing w:lineRule="auto" w:line="36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Расширенное содержание пояснительной записки</w:t>
      </w:r>
    </w:p>
    <w:p>
      <w:pPr>
        <w:pStyle w:val="Normal"/>
        <w:spacing w:lineRule="auto" w:line="36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 учебно-исследовательской работе студента на тему: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</w:r>
    </w:p>
    <w:p>
      <w:pPr>
        <w:pStyle w:val="Normal"/>
        <w:pBdr>
          <w:bottom w:val="double" w:sz="4" w:space="1" w:color="00000A"/>
        </w:pBdr>
        <w:spacing w:lineRule="auto" w:line="24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Применение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RPC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как класса технологий для организации сетевого взаимодействия компонентов распределенной системы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a6"/>
        <w:tblW w:w="9639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8"/>
        <w:gridCol w:w="796"/>
        <w:gridCol w:w="1606"/>
        <w:gridCol w:w="1199"/>
        <w:gridCol w:w="112"/>
        <w:gridCol w:w="1104"/>
        <w:gridCol w:w="2403"/>
      </w:tblGrid>
      <w:tr>
        <w:trPr/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805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Белозёров Александр Александрович</w:t>
            </w:r>
          </w:p>
        </w:tc>
      </w:tr>
      <w:tr>
        <w:trPr/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(ФИО)</w:t>
            </w:r>
          </w:p>
        </w:tc>
      </w:tr>
      <w:tr>
        <w:trPr/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Макаров Дмитрий Сергеевич</w:t>
            </w:r>
          </w:p>
        </w:tc>
      </w:tr>
      <w:tr>
        <w:trPr/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(ФИО)</w:t>
            </w:r>
          </w:p>
        </w:tc>
      </w:tr>
      <w:tr>
        <w:trPr/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Научный консультант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Саманчук Владимир Никифорович</w:t>
            </w:r>
          </w:p>
        </w:tc>
      </w:tr>
      <w:tr>
        <w:trPr/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(ФИО)</w:t>
            </w:r>
          </w:p>
        </w:tc>
      </w:tr>
      <w:tr>
        <w:trPr/>
        <w:tc>
          <w:tcPr>
            <w:tcW w:w="2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Оценка руководителя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Оценка консультанта</w:t>
            </w:r>
          </w:p>
        </w:tc>
        <w:tc>
          <w:tcPr>
            <w:tcW w:w="240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(0-5 баллов)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(0-5 баллов)</w:t>
            </w:r>
          </w:p>
        </w:tc>
      </w:tr>
      <w:tr>
        <w:trPr/>
        <w:tc>
          <w:tcPr>
            <w:tcW w:w="2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Оценка за оформление</w:t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Оценка за структуру</w:t>
            </w:r>
          </w:p>
        </w:tc>
        <w:tc>
          <w:tcPr>
            <w:tcW w:w="240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/>
        <w:tc>
          <w:tcPr>
            <w:tcW w:w="2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0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(0-5 баллов)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(0-5 баллов)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Москва 2017</w:t>
      </w:r>
    </w:p>
    <w:p>
      <w:pPr>
        <w:pStyle w:val="Normal"/>
        <w:spacing w:lineRule="auto" w:line="240" w:before="0" w:after="0"/>
        <w:jc w:val="center"/>
        <w:rPr>
          <w:rFonts w:ascii="Century Schoolbook L" w:hAnsi="Century Schoolbook L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Оглавление</w:t>
      </w:r>
    </w:p>
    <w:p>
      <w:pPr>
        <w:pStyle w:val="Normal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Реферат.</w:t>
        <w:tab/>
        <w:tab/>
        <w:tab/>
        <w:tab/>
        <w:tab/>
        <w:tab/>
        <w:tab/>
        <w:tab/>
        <w:tab/>
        <w:tab/>
        <w:tab/>
        <w:tab/>
        <w:t>3</w:t>
      </w:r>
    </w:p>
    <w:p>
      <w:pPr>
        <w:pStyle w:val="Normal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Введение.</w:t>
        <w:tab/>
        <w:tab/>
        <w:tab/>
        <w:tab/>
        <w:tab/>
        <w:tab/>
        <w:tab/>
        <w:tab/>
        <w:tab/>
        <w:tab/>
        <w:tab/>
        <w:tab/>
        <w:t>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Анализ, выявление и обоснование критериев применимости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RPC</w:t>
      </w:r>
      <w:r>
        <w:rPr>
          <w:rFonts w:ascii="Times New Roman" w:hAnsi="Times New Roman"/>
          <w:b/>
          <w:bCs/>
          <w:sz w:val="24"/>
          <w:szCs w:val="24"/>
        </w:rPr>
        <w:t>.</w:t>
        <w:tab/>
        <w:tab/>
        <w:tab/>
      </w:r>
      <w:r>
        <w:rPr>
          <w:rFonts w:ascii="Times New Roman" w:hAnsi="Times New Roman"/>
          <w:b/>
          <w:bCs/>
          <w:sz w:val="24"/>
          <w:szCs w:val="24"/>
        </w:rPr>
        <w:t>5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Выявление и обоснование критериев применимости реализаций </w:t>
      </w:r>
      <w:r>
        <w:rPr>
          <w:rFonts w:ascii="Times New Roman" w:hAnsi="Times New Roman"/>
          <w:sz w:val="24"/>
          <w:szCs w:val="24"/>
          <w:lang w:val="en-US"/>
        </w:rPr>
        <w:t>RPC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Анализ реализаций </w:t>
      </w:r>
      <w:r>
        <w:rPr>
          <w:rFonts w:ascii="Times New Roman" w:hAnsi="Times New Roman"/>
          <w:sz w:val="24"/>
          <w:szCs w:val="24"/>
          <w:lang w:val="en-US"/>
        </w:rPr>
        <w:t>RPC;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Описание существующих методик сравнения реализаций класса технологий;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1.4. Вывод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 Цели и задачи УИР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Разработка методики сравнения реализаций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PRC</w:t>
      </w:r>
      <w:r>
        <w:rPr>
          <w:rFonts w:ascii="Times New Roman" w:hAnsi="Times New Roman"/>
          <w:b/>
          <w:bCs/>
          <w:sz w:val="24"/>
          <w:szCs w:val="24"/>
        </w:rPr>
        <w:t xml:space="preserve"> по критериям применимости.</w:t>
        <w:tab/>
      </w:r>
      <w:r>
        <w:rPr>
          <w:rFonts w:ascii="Times New Roman" w:hAnsi="Times New Roman"/>
          <w:b/>
          <w:bCs/>
          <w:sz w:val="24"/>
          <w:szCs w:val="24"/>
        </w:rPr>
        <w:t>6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bookmarkStart w:id="0" w:name="__DdeLink__449_1175883579"/>
      <w:r>
        <w:rPr>
          <w:rFonts w:ascii="Times New Roman" w:hAnsi="Times New Roman"/>
          <w:sz w:val="24"/>
          <w:szCs w:val="24"/>
        </w:rPr>
        <w:t>2.1. Методика сравнения по критериям применимости;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Методика проведения испытаний;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</w:t>
      </w:r>
      <w:bookmarkStart w:id="1" w:name="__DdeLink__1645_188351593"/>
      <w:r>
        <w:rPr>
          <w:rFonts w:ascii="Times New Roman" w:hAnsi="Times New Roman"/>
          <w:sz w:val="24"/>
          <w:szCs w:val="24"/>
        </w:rPr>
        <w:t xml:space="preserve"> </w:t>
      </w:r>
      <w:bookmarkEnd w:id="1"/>
      <w:bookmarkEnd w:id="0"/>
      <w:r>
        <w:rPr>
          <w:rFonts w:ascii="Times New Roman" w:hAnsi="Times New Roman"/>
          <w:sz w:val="24"/>
          <w:szCs w:val="24"/>
        </w:rPr>
        <w:t>Методика оценки результатов проведения испытаний;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Вывод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Результаты сравнения реализаций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RPC</w:t>
      </w:r>
      <w:r>
        <w:rPr>
          <w:rFonts w:ascii="Times New Roman" w:hAnsi="Times New Roman"/>
          <w:b/>
          <w:bCs/>
          <w:sz w:val="24"/>
          <w:szCs w:val="24"/>
        </w:rPr>
        <w:t xml:space="preserve"> на основе критериев применимости.</w:t>
        <w:tab/>
      </w:r>
      <w:r>
        <w:rPr>
          <w:rFonts w:ascii="Times New Roman" w:hAnsi="Times New Roman"/>
          <w:b/>
          <w:bCs/>
          <w:sz w:val="24"/>
          <w:szCs w:val="24"/>
        </w:rPr>
        <w:t>7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Реализация разработанной методики сравнения реализаций RPC по критериям применимости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Результаты сравнительных испытаний;</w:t>
      </w:r>
    </w:p>
    <w:p>
      <w:pPr>
        <w:pStyle w:val="ListParagrap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Выводы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Заключение.</w:t>
        <w:tab/>
        <w:tab/>
        <w:tab/>
        <w:tab/>
        <w:tab/>
        <w:tab/>
        <w:tab/>
        <w:tab/>
        <w:tab/>
        <w:tab/>
        <w:tab/>
      </w:r>
      <w:r>
        <w:rPr>
          <w:rFonts w:ascii="Century Schoolbook L" w:hAnsi="Century Schoolbook L"/>
          <w:b/>
          <w:bCs/>
          <w:sz w:val="24"/>
          <w:szCs w:val="24"/>
        </w:rPr>
        <w:t>8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Список литературы</w:t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sz w:val="24"/>
          <w:szCs w:val="24"/>
        </w:rPr>
        <w:t>9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1"/>
        <w:rPr>
          <w:rFonts w:ascii="Century Schoolbook L" w:hAnsi="Century Schoolbook L"/>
          <w:sz w:val="24"/>
          <w:szCs w:val="24"/>
        </w:rPr>
      </w:pPr>
      <w:bookmarkStart w:id="2" w:name="_Toc478502607"/>
      <w:bookmarkEnd w:id="2"/>
      <w:r>
        <w:rPr>
          <w:rFonts w:ascii="Times New Roman" w:hAnsi="Times New Roman"/>
          <w:sz w:val="24"/>
          <w:szCs w:val="24"/>
        </w:rPr>
        <w:t>Реферат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Пояснительная записка содержит _ страниц (из них _ страниц приложений). Количество использованных источников — _. Количество приложений — _. 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Ключевые слова: сетевое взаимодействие, промежуточное программное обеспечение, распределенные системы, RPC, критерий применимости реализации  RPC.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Целью данной учебно-исследовательской работы является оценка эффективности применения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RPC</w:t>
      </w:r>
      <w:r>
        <w:rPr>
          <w:rFonts w:cs="Times New Roman" w:ascii="Times New Roman" w:hAnsi="Times New Roman"/>
          <w:sz w:val="24"/>
          <w:szCs w:val="24"/>
        </w:rPr>
        <w:t xml:space="preserve"> для организации сетевого взаимодействия компонентов распределенной системы.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введении описывается организация сетевого взаимодействия компонентов распределенной системы, перечисляются имеющиеся классы технологий, ориентированных на обеспечение связи между компонентами и объясняется выбор в пользу RPC.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первом разделе работы представлен анализ реализаций RPC, выбор</w:t>
      </w:r>
      <w:r>
        <w:rPr>
          <w:rFonts w:eastAsia="" w:cs="Times New Roman" w:ascii="Times New Roman" w:hAnsi="Times New Roman" w:eastAsiaTheme="majorEastAsia"/>
          <w:b w:val="false"/>
          <w:bCs w:val="false"/>
          <w:color w:val="000000" w:themeColor="text1"/>
          <w:sz w:val="24"/>
          <w:szCs w:val="24"/>
          <w:shd w:fill="FFFFFF" w:val="clear"/>
        </w:rPr>
        <w:t xml:space="preserve"> и обоснование критериев применимости реализаций </w:t>
      </w:r>
      <w:r>
        <w:rPr>
          <w:rFonts w:eastAsia="" w:cs="Times New Roman" w:ascii="Times New Roman" w:hAnsi="Times New Roman" w:eastAsiaTheme="majorEastAsia"/>
          <w:b w:val="false"/>
          <w:bCs w:val="false"/>
          <w:color w:val="000000" w:themeColor="text1"/>
          <w:sz w:val="24"/>
          <w:szCs w:val="24"/>
          <w:shd w:fill="FFFFFF" w:val="clear"/>
          <w:lang w:val="en-US"/>
        </w:rPr>
        <w:t>RPC, а также рассмотрены</w:t>
      </w:r>
      <w:r>
        <w:rPr>
          <w:rFonts w:eastAsia="" w:cs="Times New Roman" w:ascii="Times New Roman" w:hAnsi="Times New Roman" w:eastAsiaTheme="majorEastAsia"/>
          <w:b w:val="false"/>
          <w:bCs w:val="false"/>
          <w:color w:val="000000" w:themeColor="text1"/>
          <w:sz w:val="24"/>
          <w:szCs w:val="24"/>
          <w:shd w:fill="FFFFFF" w:val="clear"/>
        </w:rPr>
        <w:t xml:space="preserve"> существующие методик сравнения реализаций класса технологий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 втором разделе приведены описания методики сравнения реализации RPC  по критериям применимости, методики проведения сравнительных испытаний и методики оценки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результатов сравнительных испытаний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третьем разделе 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риведены реализация разработанной методики сравнения реализаций RPC по критериям применимости, и р</w:t>
      </w:r>
      <w:r>
        <w:rPr>
          <w:rFonts w:ascii="Times New Roman" w:hAnsi="Times New Roman"/>
          <w:sz w:val="24"/>
          <w:szCs w:val="24"/>
        </w:rPr>
        <w:t>езультаты сравнительных испытаний.</w:t>
      </w:r>
      <w:r>
        <w:br w:type="page"/>
      </w:r>
    </w:p>
    <w:p>
      <w:pPr>
        <w:pStyle w:val="1"/>
        <w:rPr>
          <w:rFonts w:ascii="Century Schoolbook L" w:hAnsi="Century Schoolbook L"/>
          <w:sz w:val="24"/>
          <w:szCs w:val="24"/>
        </w:rPr>
      </w:pPr>
      <w:bookmarkStart w:id="3" w:name="_Toc478502608"/>
      <w:bookmarkEnd w:id="3"/>
      <w:r>
        <w:rPr>
          <w:rFonts w:ascii="Times New Roman" w:hAnsi="Times New Roman"/>
          <w:sz w:val="24"/>
          <w:szCs w:val="24"/>
          <w:shd w:fill="FFFFFF" w:val="clear"/>
        </w:rPr>
        <w:t>Введение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200"/>
        <w:ind w:left="0" w:right="0" w:hanging="0"/>
        <w:jc w:val="bot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ростом сложности вычислений и увеличении объема обрабатываемых данных все большее внимание уделяется распределенным вычислениям. Распределенные вычислен позволяют распределить нагрузку на различные программно-аппаратные модули в рамках распределенной системы. Основным этапом в процессе проведения  распределенных вычислений является обмен информацией между компонентами распределенной системы.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200"/>
        <w:ind w:left="0" w:right="0" w:hanging="0"/>
        <w:jc w:val="bot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организации сетевого взаимодействия компонентов распределенной системы используется комплекс программного обеспечения, называемый промежуточным программным обеспечением (ППО). ППО предоставляет набор сервисов, обращение к которым позволяет различным приложениям, в общем случае выполняющимся на разных платформах, взаимодействовать между собой. Общеприкладные интерфейсы ППО позволяют реализовать взаимодействие между приложениями, не углубляясь в инфраструктуру и детали реализации гетерогенной сети, а последующие изменения в структуре и составе такой сети не потребуют изменений в приложениях (при условии, что эти изменения не затрагивают общие прикладные интерфейсы ППО)</w:t>
      </w:r>
    </w:p>
    <w:p>
      <w:pPr>
        <w:pStyle w:val="Normal"/>
        <w:spacing w:lineRule="auto" w:line="360"/>
        <w:jc w:val="bot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Существуют различные классы ППО, позволяющие организовать сетевое взаимодействие компонентов распределенной системы. Универсальным подходом при взаимодействии компонентов распределенных систем является удаленный вызов процедур (RPC).</w:t>
      </w:r>
    </w:p>
    <w:p>
      <w:pPr>
        <w:pStyle w:val="Normal"/>
        <w:spacing w:lineRule="auto" w:line="360"/>
        <w:jc w:val="bot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целью данной учебно-исследовательской работы </w:t>
      </w:r>
      <w:r>
        <w:rPr>
          <w:rFonts w:cs="Times New Roman" w:ascii="Times New Roman" w:hAnsi="Times New Roman"/>
          <w:sz w:val="24"/>
          <w:szCs w:val="24"/>
        </w:rPr>
        <w:t xml:space="preserve">является оценка эффективности применения класса </w:t>
      </w:r>
      <w:r>
        <w:rPr>
          <w:rFonts w:cs="Times New Roman" w:ascii="Times New Roman" w:hAnsi="Times New Roman"/>
          <w:sz w:val="24"/>
          <w:szCs w:val="24"/>
          <w:lang w:val="en-US"/>
        </w:rPr>
        <w:t>RPC</w:t>
      </w:r>
      <w:r>
        <w:rPr>
          <w:rFonts w:cs="Times New Roman" w:ascii="Times New Roman" w:hAnsi="Times New Roman"/>
          <w:sz w:val="24"/>
          <w:szCs w:val="24"/>
        </w:rPr>
        <w:t xml:space="preserve"> для организации сетевого взаимодействия компонентов распределенной системы. Задачи, которые необходимо выполнить для достижения поставленной цели:</w:t>
      </w:r>
    </w:p>
    <w:p>
      <w:pPr>
        <w:pStyle w:val="ListParagraph"/>
        <w:numPr>
          <w:ilvl w:val="0"/>
          <w:numId w:val="1"/>
        </w:numPr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существующих методик срав</w:t>
      </w:r>
      <w:bookmarkStart w:id="4" w:name="_GoBack"/>
      <w:bookmarkEnd w:id="4"/>
      <w:r>
        <w:rPr>
          <w:rFonts w:ascii="Times New Roman" w:hAnsi="Times New Roman"/>
          <w:sz w:val="24"/>
          <w:szCs w:val="24"/>
        </w:rPr>
        <w:t>нения реализаций класса технологий;</w:t>
      </w:r>
    </w:p>
    <w:p>
      <w:pPr>
        <w:pStyle w:val="ListParagraph"/>
        <w:numPr>
          <w:ilvl w:val="0"/>
          <w:numId w:val="1"/>
        </w:numPr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реализаций </w:t>
      </w:r>
      <w:r>
        <w:rPr>
          <w:rFonts w:ascii="Times New Roman" w:hAnsi="Times New Roman"/>
          <w:sz w:val="24"/>
          <w:szCs w:val="24"/>
          <w:lang w:val="en-US"/>
        </w:rPr>
        <w:t>RPC;</w:t>
      </w:r>
    </w:p>
    <w:p>
      <w:pPr>
        <w:pStyle w:val="ListParagraph"/>
        <w:numPr>
          <w:ilvl w:val="0"/>
          <w:numId w:val="1"/>
        </w:numPr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Выявление и обоснование критериев применимости реализаций </w:t>
      </w:r>
      <w:r>
        <w:rPr>
          <w:rFonts w:ascii="Times New Roman" w:hAnsi="Times New Roman"/>
          <w:sz w:val="24"/>
          <w:szCs w:val="24"/>
          <w:lang w:val="en-US"/>
        </w:rPr>
        <w:t>RPC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методики сравнения реализаций </w:t>
      </w:r>
      <w:r>
        <w:rPr>
          <w:rFonts w:ascii="Times New Roman" w:hAnsi="Times New Roman"/>
          <w:sz w:val="24"/>
          <w:szCs w:val="24"/>
          <w:lang w:val="en-US"/>
        </w:rPr>
        <w:t>PRC</w:t>
      </w:r>
      <w:r>
        <w:rPr>
          <w:rFonts w:ascii="Times New Roman" w:hAnsi="Times New Roman"/>
          <w:sz w:val="24"/>
          <w:szCs w:val="24"/>
        </w:rPr>
        <w:t xml:space="preserve"> по критериям применимости;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 разработанной методики и получение результатов сравнения реализаций </w:t>
      </w:r>
      <w:r>
        <w:rPr>
          <w:rFonts w:cs="Times New Roman" w:ascii="Times New Roman" w:hAnsi="Times New Roman"/>
          <w:sz w:val="24"/>
          <w:szCs w:val="24"/>
          <w:lang w:val="en-US"/>
        </w:rPr>
        <w:t>RPC</w:t>
      </w:r>
      <w:r>
        <w:rPr>
          <w:rFonts w:cs="Times New Roman" w:ascii="Times New Roman" w:hAnsi="Times New Roman"/>
          <w:sz w:val="24"/>
          <w:szCs w:val="24"/>
        </w:rPr>
        <w:t xml:space="preserve"> на основе критериев применимости.</w:t>
      </w:r>
      <w:r>
        <w:br w:type="page"/>
      </w:r>
    </w:p>
    <w:p>
      <w:pPr>
        <w:pStyle w:val="1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Аналитическая часть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Глава 1. Анализ, выявление и обоснование критериев применимости </w:t>
      </w:r>
      <w:r>
        <w:rPr>
          <w:rFonts w:ascii="Times New Roman" w:hAnsi="Times New Roman"/>
          <w:sz w:val="24"/>
          <w:szCs w:val="24"/>
          <w:lang w:val="en-US"/>
        </w:rPr>
        <w:t>RPC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26"/>
        <w:rPr>
          <w:rFonts w:ascii="Century Schoolbook L" w:hAnsi="Century Schoolbook L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color w:val="000000" w:themeColor="text1"/>
          <w:sz w:val="24"/>
          <w:szCs w:val="24"/>
          <w:shd w:fill="FFFFFF" w:val="clear"/>
        </w:rPr>
        <w:t>*</w:t>
      </w:r>
      <w:r>
        <w:rPr>
          <w:rFonts w:eastAsia="" w:cs="Times New Roman" w:ascii="Times New Roman" w:hAnsi="Times New Roman" w:eastAsiaTheme="majorEastAsia"/>
          <w:b w:val="false"/>
          <w:bCs w:val="false"/>
          <w:color w:val="000000" w:themeColor="text1"/>
          <w:sz w:val="24"/>
          <w:szCs w:val="24"/>
          <w:shd w:fill="FFFFFF" w:val="clear"/>
        </w:rPr>
        <w:t xml:space="preserve">В данной главе происходит выявление и обоснование критериев применимости реализаций </w:t>
      </w:r>
      <w:r>
        <w:rPr>
          <w:rFonts w:eastAsia="" w:cs="Times New Roman" w:ascii="Times New Roman" w:hAnsi="Times New Roman" w:eastAsiaTheme="majorEastAsia"/>
          <w:b w:val="false"/>
          <w:bCs w:val="false"/>
          <w:color w:val="000000" w:themeColor="text1"/>
          <w:sz w:val="24"/>
          <w:szCs w:val="24"/>
          <w:shd w:fill="FFFFFF" w:val="clear"/>
          <w:lang w:val="en-US"/>
        </w:rPr>
        <w:t>RPC и проводится а</w:t>
      </w:r>
      <w:r>
        <w:rPr>
          <w:rFonts w:ascii="Times New Roman" w:hAnsi="Times New Roman"/>
          <w:b w:val="false"/>
          <w:bCs w:val="false"/>
          <w:sz w:val="24"/>
          <w:szCs w:val="24"/>
        </w:rPr>
        <w:t>нализ реализаций. Также, в данной главе приводится оп</w:t>
      </w:r>
      <w:r>
        <w:rPr>
          <w:rFonts w:eastAsia="" w:cs="Times New Roman" w:ascii="Times New Roman" w:hAnsi="Times New Roman" w:eastAsiaTheme="majorEastAsia"/>
          <w:b w:val="false"/>
          <w:bCs w:val="false"/>
          <w:color w:val="000000" w:themeColor="text1"/>
          <w:sz w:val="24"/>
          <w:szCs w:val="24"/>
          <w:shd w:fill="FFFFFF" w:val="clear"/>
        </w:rPr>
        <w:t>исание существующих методик сравнения реализаций класса технологий</w:t>
      </w:r>
      <w:r>
        <w:rPr>
          <w:rFonts w:eastAsia="" w:cs="Times New Roman" w:ascii="Times New Roman" w:hAnsi="Times New Roman" w:eastAsiaTheme="majorEastAsia"/>
          <w:b/>
          <w:bCs/>
          <w:color w:val="000000" w:themeColor="text1"/>
          <w:sz w:val="24"/>
          <w:szCs w:val="24"/>
          <w:shd w:fill="FFFFFF" w:val="clear"/>
        </w:rPr>
        <w:t>*</w:t>
      </w:r>
      <w:r>
        <w:br w:type="page"/>
      </w:r>
    </w:p>
    <w:p>
      <w:pPr>
        <w:pStyle w:val="1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Теоретическая часть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Глава 2. Разработка методики сравнения реализаций </w:t>
      </w:r>
      <w:r>
        <w:rPr>
          <w:rFonts w:ascii="Times New Roman" w:hAnsi="Times New Roman"/>
          <w:sz w:val="24"/>
          <w:szCs w:val="24"/>
          <w:lang w:val="en-US"/>
        </w:rPr>
        <w:t>PRC</w:t>
      </w:r>
      <w:r>
        <w:rPr>
          <w:rFonts w:ascii="Times New Roman" w:hAnsi="Times New Roman"/>
          <w:sz w:val="24"/>
          <w:szCs w:val="24"/>
        </w:rPr>
        <w:t xml:space="preserve"> по критериям применимости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*</w:t>
      </w:r>
      <w:r>
        <w:rPr>
          <w:rFonts w:ascii="Times New Roman" w:hAnsi="Times New Roman"/>
          <w:b w:val="false"/>
          <w:bCs w:val="false"/>
          <w:sz w:val="24"/>
          <w:szCs w:val="24"/>
        </w:rPr>
        <w:t>в данной главе приводится методика сравнения реализаций RPC по критериям применимости, методика проведения сравнительных испытаний и методика оценки результатов  сравнительных испытаний*</w:t>
      </w:r>
      <w:r>
        <w:br w:type="page"/>
      </w:r>
    </w:p>
    <w:p>
      <w:pPr>
        <w:pStyle w:val="1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Инженерно-технологическая часть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Глава 3. Результаты сравнения реализаций </w:t>
      </w:r>
      <w:r>
        <w:rPr>
          <w:rFonts w:ascii="Times New Roman" w:hAnsi="Times New Roman"/>
          <w:sz w:val="24"/>
          <w:szCs w:val="24"/>
          <w:lang w:val="en-US"/>
        </w:rPr>
        <w:t>RPC</w:t>
      </w:r>
      <w:r>
        <w:rPr>
          <w:rFonts w:ascii="Times New Roman" w:hAnsi="Times New Roman"/>
          <w:sz w:val="24"/>
          <w:szCs w:val="24"/>
        </w:rPr>
        <w:t xml:space="preserve"> на основе критериев применимости.</w:t>
      </w:r>
    </w:p>
    <w:p>
      <w:pPr>
        <w:pStyle w:val="Style26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*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в данной главе приводится реализация разработанной методики сравнения реализаций RPC по критериям применимости, а также результаты сравнительных испытаний*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  <w:r>
        <w:br w:type="page"/>
      </w:r>
    </w:p>
    <w:p>
      <w:pPr>
        <w:pStyle w:val="1"/>
        <w:rPr>
          <w:rFonts w:ascii="Century Schoolbook L" w:hAnsi="Century Schoolbook L"/>
          <w:sz w:val="24"/>
          <w:szCs w:val="24"/>
        </w:rPr>
      </w:pPr>
      <w:bookmarkStart w:id="5" w:name="_Toc478502621"/>
      <w:bookmarkEnd w:id="5"/>
      <w:r>
        <w:rPr>
          <w:rFonts w:ascii="Times New Roman" w:hAnsi="Times New Roman"/>
          <w:sz w:val="24"/>
          <w:szCs w:val="24"/>
        </w:rPr>
        <w:t>Заключение</w:t>
      </w:r>
    </w:p>
    <w:p>
      <w:pPr>
        <w:pStyle w:val="Normal"/>
        <w:spacing w:lineRule="auto" w:line="360"/>
        <w:ind w:firstLine="708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ходе данной работы были выполнены следующие задачи:</w:t>
      </w:r>
    </w:p>
    <w:p>
      <w:pPr>
        <w:pStyle w:val="ListParagraph"/>
        <w:numPr>
          <w:ilvl w:val="0"/>
          <w:numId w:val="2"/>
        </w:numPr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Выявлены и обоснованы критерии применимости реализаций </w:t>
      </w:r>
      <w:r>
        <w:rPr>
          <w:rFonts w:ascii="Times New Roman" w:hAnsi="Times New Roman"/>
          <w:sz w:val="24"/>
          <w:szCs w:val="24"/>
          <w:lang w:val="en-US"/>
        </w:rPr>
        <w:t>RPC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Разработаны методики сравнения реализаций </w:t>
      </w:r>
      <w:r>
        <w:rPr>
          <w:rFonts w:ascii="Times New Roman" w:hAnsi="Times New Roman"/>
          <w:sz w:val="24"/>
          <w:szCs w:val="24"/>
          <w:lang w:val="en-US"/>
        </w:rPr>
        <w:t>PRC</w:t>
      </w:r>
      <w:r>
        <w:rPr>
          <w:rFonts w:ascii="Times New Roman" w:hAnsi="Times New Roman"/>
          <w:sz w:val="24"/>
          <w:szCs w:val="24"/>
        </w:rPr>
        <w:t xml:space="preserve"> по критериям применимости: (3 подпункта с методиками)</w:t>
      </w:r>
    </w:p>
    <w:p>
      <w:pPr>
        <w:pStyle w:val="ListParagraph"/>
        <w:numPr>
          <w:ilvl w:val="0"/>
          <w:numId w:val="0"/>
        </w:numPr>
        <w:ind w:left="2508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2.1 </w:t>
      </w:r>
      <w:r>
        <w:rPr>
          <w:rFonts w:ascii="Times New Roman" w:hAnsi="Times New Roman"/>
          <w:sz w:val="24"/>
          <w:szCs w:val="24"/>
        </w:rPr>
        <w:t>Методика сравнения по критериям применимости;</w:t>
      </w:r>
    </w:p>
    <w:p>
      <w:pPr>
        <w:pStyle w:val="ListParagraph"/>
        <w:numPr>
          <w:ilvl w:val="0"/>
          <w:numId w:val="0"/>
        </w:numPr>
        <w:ind w:left="2508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2.2 </w:t>
      </w:r>
      <w:r>
        <w:rPr>
          <w:rFonts w:ascii="Times New Roman" w:hAnsi="Times New Roman"/>
          <w:sz w:val="24"/>
          <w:szCs w:val="24"/>
        </w:rPr>
        <w:t>Методика проведения испытаний;</w:t>
      </w:r>
    </w:p>
    <w:p>
      <w:pPr>
        <w:pStyle w:val="ListParagraph"/>
        <w:numPr>
          <w:ilvl w:val="0"/>
          <w:numId w:val="0"/>
        </w:numPr>
        <w:ind w:left="2508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2.3</w:t>
      </w:r>
      <w:bookmarkStart w:id="6" w:name="__DdeLink__1645_1883515931"/>
      <w:r>
        <w:rPr>
          <w:rFonts w:ascii="TImes New Roman" w:hAnsi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/>
          <w:sz w:val="24"/>
          <w:szCs w:val="24"/>
        </w:rPr>
        <w:t>Методика оценки результатов проведения испытаний;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Выполнена реализация разработанной методики сравнения реализаций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RPC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на основе критериев применимости.</w:t>
      </w:r>
    </w:p>
    <w:p>
      <w:pPr>
        <w:pStyle w:val="ListParagraph"/>
        <w:numPr>
          <w:ilvl w:val="0"/>
          <w:numId w:val="0"/>
        </w:numPr>
        <w:spacing w:lineRule="auto" w:line="360"/>
        <w:ind w:left="1428" w:hanging="0"/>
        <w:jc w:val="both"/>
        <w:rPr>
          <w:rFonts w:ascii="Century Schoolbook L" w:hAnsi="Century Schoolbook L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Выполненные задачи позволили достичь поставленной в работе цели, а именно оценить эффективность применения класса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RPC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для организации сетевого взаимодействия компонентов распределенной системы.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  <w:r>
        <w:br w:type="page"/>
      </w:r>
    </w:p>
    <w:p>
      <w:pPr>
        <w:pStyle w:val="1"/>
        <w:rPr>
          <w:rFonts w:ascii="Century Schoolbook L" w:hAnsi="Century Schoolbook L"/>
          <w:sz w:val="24"/>
          <w:szCs w:val="24"/>
        </w:rPr>
      </w:pPr>
      <w:bookmarkStart w:id="7" w:name="_Toc478502622"/>
      <w:bookmarkEnd w:id="7"/>
      <w:r>
        <w:rPr>
          <w:rFonts w:ascii="Times New Roman" w:hAnsi="Times New Roman"/>
          <w:sz w:val="24"/>
          <w:szCs w:val="24"/>
          <w:shd w:fill="FFFFFF" w:val="clear"/>
        </w:rPr>
        <w:t>Список литературы</w:t>
      </w:r>
    </w:p>
    <w:p>
      <w:pPr>
        <w:pStyle w:val="Style28"/>
        <w:spacing w:before="0" w:after="200"/>
        <w:jc w:val="bot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Nicolai M. Josuttis "The C++ Standard Library: A Tutorial and Reference (2nd Edition)".-US, Addison_Wesley, 2012</w:t>
      </w:r>
    </w:p>
    <w:p>
      <w:pPr>
        <w:pStyle w:val="Normal"/>
        <w:spacing w:lineRule="auto" w:line="360" w:before="0" w:after="200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2. Matthias Kalle Dalheimer "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Programming with Qt, 2nd Edition. Writing Portable GUI applications on Unix and Win32". -US, O'Reilly Media, 2002</w:t>
      </w:r>
    </w:p>
    <w:p>
      <w:pPr>
        <w:pStyle w:val="Style28"/>
        <w:spacing w:lineRule="auto" w:line="360"/>
        <w:jc w:val="bot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3. GRPC documentation </w:t>
      </w:r>
      <w:r>
        <w:rPr>
          <w:rFonts w:ascii="Times New Roman" w:hAnsi="Times New Roman"/>
          <w:sz w:val="24"/>
          <w:szCs w:val="24"/>
        </w:rPr>
        <w:t xml:space="preserve">[Электронный ресурс] // grpc-community </w:t>
      </w:r>
      <w:r>
        <w:rPr>
          <w:rFonts w:ascii="Times New Roman" w:hAnsi="Times New Roman"/>
          <w:sz w:val="24"/>
          <w:szCs w:val="24"/>
          <w:lang w:val="en-US"/>
        </w:rPr>
        <w:t>webpage</w:t>
      </w:r>
      <w:r>
        <w:rPr>
          <w:rFonts w:ascii="Times New Roman" w:hAnsi="Times New Roman"/>
          <w:sz w:val="24"/>
          <w:szCs w:val="24"/>
        </w:rPr>
        <w:t xml:space="preserve">: сайт. –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>http://www.grpc.io/docs/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4. The ZeroMQ Reference Manual etc. </w:t>
      </w:r>
      <w:r>
        <w:rPr>
          <w:rFonts w:ascii="Times New Roman" w:hAnsi="Times New Roman"/>
          <w:sz w:val="24"/>
          <w:szCs w:val="24"/>
        </w:rPr>
        <w:t>[Электронный ресурс]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//zeroMQ manuals webpage: сайт. - URL: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http://zeromq.org/intro:read-the-manual</w:t>
      </w:r>
    </w:p>
    <w:p>
      <w:pPr>
        <w:pStyle w:val="Style28"/>
        <w:jc w:val="both"/>
        <w:rPr>
          <w:rFonts w:ascii="Century Schoolbook L" w:hAnsi="Century Schoolbook 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Thrift Tools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[Электронный ресурс] // apache-community </w:t>
      </w:r>
      <w:r>
        <w:rPr>
          <w:rFonts w:ascii="Times New Roman" w:hAnsi="Times New Roman"/>
          <w:sz w:val="24"/>
          <w:szCs w:val="24"/>
          <w:lang w:val="en-US"/>
        </w:rPr>
        <w:t>webpage</w:t>
      </w:r>
      <w:r>
        <w:rPr>
          <w:rFonts w:ascii="Times New Roman" w:hAnsi="Times New Roman"/>
          <w:sz w:val="24"/>
          <w:szCs w:val="24"/>
        </w:rPr>
        <w:t xml:space="preserve">: сайт. –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>https://thrift.apache.org/</w:t>
      </w:r>
    </w:p>
    <w:p>
      <w:pPr>
        <w:pStyle w:val="1"/>
        <w:spacing w:before="240" w:after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6. Apache Avro™ 1.8.1 Documentation [Электронный ресурс] // apache-community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webpage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сайт. –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URL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http://avro.apache.org/docs/1.8.1/</w:t>
      </w:r>
    </w:p>
    <w:sectPr>
      <w:footerReference w:type="default" r:id="rId3"/>
      <w:type w:val="nextPage"/>
      <w:pgSz w:w="11906" w:h="16838"/>
      <w:pgMar w:left="1701" w:right="567" w:header="0" w:top="1134" w:footer="720" w:bottom="1134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entury Schoolbook L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2546168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399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c674e"/>
    <w:pPr>
      <w:keepNext/>
      <w:keepLines/>
      <w:spacing w:lineRule="auto" w:line="360" w:before="240" w:after="240"/>
      <w:jc w:val="center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1109db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1109db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link w:val="a3"/>
    <w:uiPriority w:val="99"/>
    <w:qFormat/>
    <w:rsid w:val="00993992"/>
    <w:rPr/>
  </w:style>
  <w:style w:type="character" w:styleId="Pagenumber">
    <w:name w:val="page number"/>
    <w:basedOn w:val="DefaultParagraphFont"/>
    <w:qFormat/>
    <w:rsid w:val="00993992"/>
    <w:rPr/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191023"/>
    <w:rPr/>
  </w:style>
  <w:style w:type="character" w:styleId="Appleconvertedspace" w:customStyle="1">
    <w:name w:val="apple-converted-space"/>
    <w:basedOn w:val="DefaultParagraphFont"/>
    <w:qFormat/>
    <w:rsid w:val="00191023"/>
    <w:rPr/>
  </w:style>
  <w:style w:type="character" w:styleId="PlaceholderText">
    <w:name w:val="Placeholder Text"/>
    <w:basedOn w:val="DefaultParagraphFont"/>
    <w:uiPriority w:val="99"/>
    <w:semiHidden/>
    <w:qFormat/>
    <w:rsid w:val="00445486"/>
    <w:rPr>
      <w:color w:val="808080"/>
    </w:rPr>
  </w:style>
  <w:style w:type="character" w:styleId="Style13">
    <w:name w:val="Интернет-ссылка"/>
    <w:basedOn w:val="DefaultParagraphFont"/>
    <w:uiPriority w:val="99"/>
    <w:unhideWhenUsed/>
    <w:rsid w:val="00994676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c674e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Style14" w:customStyle="1">
    <w:name w:val="Подзаголовок Знак"/>
    <w:basedOn w:val="DefaultParagraphFont"/>
    <w:link w:val="ad"/>
    <w:uiPriority w:val="11"/>
    <w:qFormat/>
    <w:rsid w:val="001e1e5e"/>
    <w:rPr>
      <w:rFonts w:ascii="Times New Roman" w:hAnsi="Times New Roman" w:eastAsia="" w:eastAsiaTheme="minorEastAsia"/>
      <w:b/>
      <w:sz w:val="24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109d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109d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Style15">
    <w:name w:val="Символы концевой сноски"/>
    <w:qFormat/>
    <w:rPr/>
  </w:style>
  <w:style w:type="character" w:styleId="Style16">
    <w:name w:val="Ссылка указателя"/>
    <w:qFormat/>
    <w:rPr/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mbria Math" w:hAnsi="Cambria Math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97">
    <w:name w:val="ListLabel 97"/>
    <w:qFormat/>
    <w:rPr>
      <w:rFonts w:ascii="Times New Roman" w:hAnsi="Times New Roman" w:cs="Symbol"/>
      <w:sz w:val="26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cs="Symbol"/>
      <w:sz w:val="26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cs="Symbol"/>
      <w:sz w:val="2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Times New Roman" w:hAnsi="Times New Roman" w:cs="Symbol"/>
      <w:sz w:val="26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OpenSymbol"/>
      <w:sz w:val="26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Times New Roman" w:hAnsi="Times New Roman" w:cs="OpenSymbol"/>
      <w:sz w:val="26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Footer"/>
    <w:basedOn w:val="Normal"/>
    <w:link w:val="a4"/>
    <w:uiPriority w:val="99"/>
    <w:unhideWhenUsed/>
    <w:rsid w:val="009939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Header"/>
    <w:basedOn w:val="Normal"/>
    <w:link w:val="a8"/>
    <w:uiPriority w:val="99"/>
    <w:unhideWhenUsed/>
    <w:rsid w:val="0019102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102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d44bc"/>
    <w:pPr/>
    <w:rPr>
      <w:rFonts w:ascii="Times New Roman" w:hAnsi="Times New Roman" w:cs="Times New Roman"/>
      <w:sz w:val="24"/>
      <w:szCs w:val="24"/>
    </w:rPr>
  </w:style>
  <w:style w:type="paragraph" w:styleId="Style26">
    <w:name w:val="Subtitle"/>
    <w:basedOn w:val="Normal"/>
    <w:link w:val="ae"/>
    <w:autoRedefine/>
    <w:uiPriority w:val="11"/>
    <w:qFormat/>
    <w:rsid w:val="001e1e5e"/>
    <w:pPr/>
    <w:rPr>
      <w:b/>
      <w:bCs/>
    </w:rPr>
  </w:style>
  <w:style w:type="paragraph" w:styleId="TOCHeading">
    <w:name w:val="TOC Heading"/>
    <w:basedOn w:val="1"/>
    <w:uiPriority w:val="39"/>
    <w:unhideWhenUsed/>
    <w:qFormat/>
    <w:rsid w:val="001109db"/>
    <w:pPr>
      <w:spacing w:lineRule="auto" w:line="259" w:before="240" w:after="0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autoRedefine/>
    <w:uiPriority w:val="39"/>
    <w:unhideWhenUsed/>
    <w:rsid w:val="00ac674e"/>
    <w:pPr>
      <w:spacing w:lineRule="auto" w:line="360" w:before="0" w:after="100"/>
    </w:pPr>
    <w:rPr>
      <w:rFonts w:ascii="Times New Roman" w:hAnsi="Times New Roman"/>
      <w:sz w:val="24"/>
    </w:rPr>
  </w:style>
  <w:style w:type="paragraph" w:styleId="22">
    <w:name w:val="TOC 2"/>
    <w:basedOn w:val="Normal"/>
    <w:autoRedefine/>
    <w:uiPriority w:val="39"/>
    <w:unhideWhenUsed/>
    <w:rsid w:val="001109db"/>
    <w:pPr>
      <w:spacing w:lineRule="auto" w:line="259"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32">
    <w:name w:val="TOC 3"/>
    <w:basedOn w:val="Normal"/>
    <w:autoRedefine/>
    <w:uiPriority w:val="39"/>
    <w:unhideWhenUsed/>
    <w:rsid w:val="001109db"/>
    <w:pPr>
      <w:spacing w:lineRule="auto" w:line="259"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Текст Обычный"/>
    <w:basedOn w:val="Normal"/>
    <w:qFormat/>
    <w:pPr>
      <w:spacing w:lineRule="auto" w:line="360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993992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F2743-BA2C-499D-B366-A5E90E17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4728</TotalTime>
  <Application>LibreOffice/5.1.6.2$Linux_X86_64 LibreOffice_project/10m0$Build-2</Application>
  <Pages>9</Pages>
  <Words>805</Words>
  <Characters>6260</Characters>
  <CharactersWithSpaces>7018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2017-03-22T17:40:00Z</dcterms:created>
  <dc:creator>Windows User</dc:creator>
  <dc:description/>
  <dc:language>ru-RU</dc:language>
  <cp:lastModifiedBy/>
  <cp:lastPrinted>2017-03-30T13:56:16Z</cp:lastPrinted>
  <dcterms:modified xsi:type="dcterms:W3CDTF">2017-03-30T23:46:14Z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