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Improvements Suggestions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Human-in-the-Loop Enhancements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review interface to confirm or edit cluster summaries, normalization outputs, and agreement scores.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annotators to provide structured feedback for continual pipeline improvement.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e7zo65t6vm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Confidence Scoring and Uncertainty Tracking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 model confidence per field during knowledge extraction.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 generation uncertainty during summarization.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Quantify agreement entropy in Step 6 to distinguish strong vs. weak consensus.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6fdx3ei3duq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Fine-Grained Agreement Typing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Separate normativity from frequency: distinguish between “common behavior” and “expected norm.”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 fields for behavior consensus, cultural accuracy, and perception bias.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7jp186h7d8s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Enhanced Pre-Moderation in Step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 content quality and toxicity filters before extraction.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Detects and filters bot-like, spammy, or harmful content early in the pipeline.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crgabrhfo6h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Cross-Cultural Linking and Contrastive Analysis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clusters with semantically similar behaviors across cultural groups.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contrastive examples to highlight cultural differences.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23di1i807ug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Embedding-Based Search and Exploration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semantic search interface using embeddings from final summaries.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 filters for cultural group, topic, agreement level, and time.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5mvckkw3guu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Evaluation Harness and Benchmarking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system to evaluate model generations against extracted cultural knowledge.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it to test LLMs on cultural accuracy, relevance, and generalization after fine-tuning.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4a9pf21tsu7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Ontology and Taxonomy Integration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cultural group and topic fields to a formal ontology or taxonomy.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ontology-aware models for clustering, normalization, and search.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9malp4yo83y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 Metadata Enrichment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temporal features beyond simple time bins (e.g., detect trends or seasonality).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 source platform or community to model cultural variation by context.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i7xdfg7ezpu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10. Pipeline Efficiency and Auditability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lineage tracking (e.g., hash-based IDs) for traceability from raw comment to final descriptor.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all transformations for each pipeline step to enable audits or rollback.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CultureBank - Next steps &amp; improvements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