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4DE7" w14:textId="77777777" w:rsidR="000F0821" w:rsidRDefault="000F0821" w:rsidP="000F0821">
      <w:r>
        <w:t>### I.</w:t>
      </w:r>
      <w:r>
        <w:tab/>
        <w:t xml:space="preserve">Mise en perspective introductive dans le contexte économique et social. </w:t>
      </w:r>
    </w:p>
    <w:p w14:paraId="04597675" w14:textId="77777777" w:rsidR="000F0821" w:rsidRDefault="000F0821" w:rsidP="000F0821"/>
    <w:p w14:paraId="77220A51" w14:textId="5EDCE1E2" w:rsidR="000F0821" w:rsidRDefault="000F0821" w:rsidP="000F0821">
      <w:r>
        <w:t>### II.</w:t>
      </w:r>
      <w:r>
        <w:tab/>
        <w:t>Formulation d’un problème économétrique</w:t>
      </w:r>
      <w:r w:rsidR="00AC61CD">
        <w:t xml:space="preserve"> et choix des variables.</w:t>
      </w:r>
    </w:p>
    <w:p w14:paraId="6FF2BEE2" w14:textId="77777777" w:rsidR="000F0821" w:rsidRDefault="000F0821" w:rsidP="000F0821"/>
    <w:p w14:paraId="4E91CEE0" w14:textId="78C5D8B8" w:rsidR="000F0821" w:rsidRDefault="000F0821" w:rsidP="005B0E02">
      <w:pPr>
        <w:jc w:val="both"/>
      </w:pPr>
      <w:r>
        <w:t xml:space="preserve">Le premier enjeu de notre démarche économétrique se situe dans le choix des variables expliquées et explicatives. Pour étudier l’effet de la sensibilité environnementale sur les dépenses </w:t>
      </w:r>
      <w:r w:rsidR="00AC61CD">
        <w:t xml:space="preserve">de protection de l’environnement, </w:t>
      </w:r>
      <w:r w:rsidR="00606867">
        <w:t xml:space="preserve">la variable dépendante retenue est la </w:t>
      </w:r>
      <w:r w:rsidR="00606867" w:rsidRPr="005B0E02">
        <w:rPr>
          <w:b/>
          <w:bCs/>
        </w:rPr>
        <w:t>NEEP</w:t>
      </w:r>
      <w:r w:rsidR="00606867">
        <w:t xml:space="preserve"> (dépenses nationales pour la protection</w:t>
      </w:r>
      <w:r w:rsidR="00E54FD5">
        <w:t xml:space="preserve"> de l’environnement</w:t>
      </w:r>
      <w:r w:rsidR="00606867">
        <w:t>) dans l’UE et ses États membres</w:t>
      </w:r>
      <w:r w:rsidR="00E54FD5">
        <w:t xml:space="preserve">. Cette mesure, définie par Eurostat, permet d’apprécier les ressources que consacrent les unités résidents à la protection de l’environnement naturel au cours d’une période donnée. </w:t>
      </w:r>
      <w:r w:rsidR="00E54FD5" w:rsidRPr="00E54FD5">
        <w:t>Elles sont calculées comme étant la somme des dépenses courantes consacrées aux activités de protection de l’environnement et des investissements destinés aux activités de protection de l’environnement, y compris les transferts nets vers le reste du monde.</w:t>
      </w:r>
    </w:p>
    <w:p w14:paraId="6F081C2D" w14:textId="77777777" w:rsidR="00C40681" w:rsidRDefault="00500EAD" w:rsidP="009F2592">
      <w:pPr>
        <w:jc w:val="both"/>
      </w:pPr>
      <w:r>
        <w:t xml:space="preserve">Il s’agit ensuite de définir </w:t>
      </w:r>
      <w:r w:rsidR="009F2592">
        <w:t xml:space="preserve">ce qu’est la sensibilité environnementale afin de construire un jeu de variables à même de la refléter. </w:t>
      </w:r>
      <w:r w:rsidR="00CA0470">
        <w:t>Dès lors, on retiendra l’acception suivante : la sensibilité environnementale correspond à l’importance attachée aux problèmes environnementaux et aux enjeux écologiques</w:t>
      </w:r>
      <w:r w:rsidR="00C40681">
        <w:t xml:space="preserve">. Dès lors, elle comprend </w:t>
      </w:r>
      <w:r w:rsidR="009F2592">
        <w:t xml:space="preserve">la perception de la gravité des </w:t>
      </w:r>
      <w:proofErr w:type="spellStart"/>
      <w:r w:rsidR="009F2592">
        <w:t>problèmes</w:t>
      </w:r>
      <w:proofErr w:type="spellEnd"/>
      <w:r w:rsidR="009F2592">
        <w:t xml:space="preserve"> environnementaux, le </w:t>
      </w:r>
      <w:proofErr w:type="spellStart"/>
      <w:r w:rsidR="009F2592">
        <w:t>degre</w:t>
      </w:r>
      <w:proofErr w:type="spellEnd"/>
      <w:r w:rsidR="009F2592">
        <w:t xml:space="preserve">́ de connaissance des </w:t>
      </w:r>
      <w:proofErr w:type="spellStart"/>
      <w:r w:rsidR="009F2592">
        <w:t>problèmes</w:t>
      </w:r>
      <w:proofErr w:type="spellEnd"/>
      <w:r w:rsidR="009F2592">
        <w:t xml:space="preserve"> environnementaux, et le soutien aux </w:t>
      </w:r>
      <w:proofErr w:type="spellStart"/>
      <w:r w:rsidR="009F2592">
        <w:t>dépenses</w:t>
      </w:r>
      <w:proofErr w:type="spellEnd"/>
      <w:r w:rsidR="009F2592">
        <w:t xml:space="preserve"> gouvernementales pour la protection de l'environnement </w:t>
      </w:r>
      <w:r w:rsidR="00C40681">
        <w:t>[</w:t>
      </w:r>
      <w:r w:rsidR="009F2592">
        <w:t>Thiery-</w:t>
      </w:r>
      <w:proofErr w:type="spellStart"/>
      <w:r w:rsidR="009F2592">
        <w:t>Seror</w:t>
      </w:r>
      <w:proofErr w:type="spellEnd"/>
      <w:r w:rsidR="009F2592">
        <w:t>, 1996</w:t>
      </w:r>
      <w:r w:rsidR="00C40681">
        <w:t>]</w:t>
      </w:r>
      <w:r w:rsidR="00C40681">
        <w:rPr>
          <w:rStyle w:val="Appelnotedebasdep"/>
        </w:rPr>
        <w:footnoteReference w:id="1"/>
      </w:r>
      <w:r w:rsidR="009F2592">
        <w:t xml:space="preserve">. </w:t>
      </w:r>
    </w:p>
    <w:p w14:paraId="695BC548" w14:textId="77777777" w:rsidR="00C40681" w:rsidRDefault="00C40681" w:rsidP="009F2592">
      <w:pPr>
        <w:jc w:val="both"/>
      </w:pPr>
    </w:p>
    <w:p w14:paraId="7F8EF28E" w14:textId="252DCE9B" w:rsidR="009F2592" w:rsidRDefault="009F2592" w:rsidP="009F2592">
      <w:pPr>
        <w:jc w:val="both"/>
      </w:pPr>
      <w:r>
        <w:t xml:space="preserve">La </w:t>
      </w:r>
      <w:proofErr w:type="spellStart"/>
      <w:r>
        <w:t>sensibilite</w:t>
      </w:r>
      <w:proofErr w:type="spellEnd"/>
      <w:r>
        <w:t xml:space="preserve">́ </w:t>
      </w:r>
      <w:proofErr w:type="spellStart"/>
      <w:r>
        <w:t>écologique</w:t>
      </w:r>
      <w:proofErr w:type="spellEnd"/>
      <w:r>
        <w:t xml:space="preserve"> peut </w:t>
      </w:r>
      <w:proofErr w:type="spellStart"/>
      <w:r>
        <w:t>être</w:t>
      </w:r>
      <w:proofErr w:type="spellEnd"/>
      <w:r>
        <w:t xml:space="preserve"> </w:t>
      </w:r>
      <w:proofErr w:type="spellStart"/>
      <w:r>
        <w:t>liée</w:t>
      </w:r>
      <w:proofErr w:type="spellEnd"/>
      <w:r>
        <w:t xml:space="preserve"> aux valeurs centrales d’une </w:t>
      </w:r>
      <w:proofErr w:type="spellStart"/>
      <w:r>
        <w:t>personnalite</w:t>
      </w:r>
      <w:proofErr w:type="spellEnd"/>
      <w:r>
        <w:t xml:space="preserve">́, aux attitudes envers les produits ou encore au comportement visible. Elle peut </w:t>
      </w:r>
      <w:proofErr w:type="spellStart"/>
      <w:r>
        <w:t>être</w:t>
      </w:r>
      <w:proofErr w:type="spellEnd"/>
      <w:r>
        <w:t xml:space="preserve"> </w:t>
      </w:r>
      <w:proofErr w:type="spellStart"/>
      <w:r>
        <w:t>liée</w:t>
      </w:r>
      <w:proofErr w:type="spellEnd"/>
      <w:r>
        <w:t xml:space="preserve"> à sa prise de conscience </w:t>
      </w:r>
      <w:proofErr w:type="spellStart"/>
      <w:r>
        <w:t>écologique</w:t>
      </w:r>
      <w:proofErr w:type="spellEnd"/>
      <w:r>
        <w:t xml:space="preserve"> ou au fait d'</w:t>
      </w:r>
      <w:proofErr w:type="spellStart"/>
      <w:r>
        <w:t>être</w:t>
      </w:r>
      <w:proofErr w:type="spellEnd"/>
      <w:r>
        <w:t xml:space="preserve"> concerné par l'</w:t>
      </w:r>
      <w:proofErr w:type="spellStart"/>
      <w:r>
        <w:t>écologie</w:t>
      </w:r>
      <w:proofErr w:type="spellEnd"/>
      <w:r>
        <w:t xml:space="preserve">. Elle est souvent </w:t>
      </w:r>
      <w:proofErr w:type="spellStart"/>
      <w:r>
        <w:t>associée</w:t>
      </w:r>
      <w:proofErr w:type="spellEnd"/>
      <w:r>
        <w:t xml:space="preserve"> au comportement responsable des individus qui </w:t>
      </w:r>
      <w:proofErr w:type="spellStart"/>
      <w:r>
        <w:t>préserve</w:t>
      </w:r>
      <w:proofErr w:type="spellEnd"/>
      <w:r>
        <w:t xml:space="preserve"> l’environnement. Le consommateur responsable adopte des pratiques responsables dans le but de : fuir le </w:t>
      </w:r>
      <w:proofErr w:type="spellStart"/>
      <w:r>
        <w:t>mal-être</w:t>
      </w:r>
      <w:proofErr w:type="spellEnd"/>
      <w:r>
        <w:t>, retrouver le soi authentique, d’</w:t>
      </w:r>
      <w:proofErr w:type="spellStart"/>
      <w:r>
        <w:t>éviter</w:t>
      </w:r>
      <w:proofErr w:type="spellEnd"/>
      <w:r>
        <w:t xml:space="preserve"> l'isolement et de </w:t>
      </w:r>
      <w:proofErr w:type="spellStart"/>
      <w:r>
        <w:t>contrôler</w:t>
      </w:r>
      <w:proofErr w:type="spellEnd"/>
      <w:r>
        <w:t xml:space="preserve"> sa vie.</w:t>
      </w:r>
    </w:p>
    <w:p w14:paraId="057731FB" w14:textId="29FC40C7" w:rsidR="009F2592" w:rsidRDefault="009F2592" w:rsidP="009F2592">
      <w:pPr>
        <w:jc w:val="both"/>
      </w:pPr>
      <w:r>
        <w:t xml:space="preserve">La </w:t>
      </w:r>
      <w:proofErr w:type="spellStart"/>
      <w:r>
        <w:t>sensibilite</w:t>
      </w:r>
      <w:proofErr w:type="spellEnd"/>
      <w:r>
        <w:t xml:space="preserve">́ </w:t>
      </w:r>
      <w:proofErr w:type="spellStart"/>
      <w:r>
        <w:t>écologique</w:t>
      </w:r>
      <w:proofErr w:type="spellEnd"/>
      <w:r>
        <w:t xml:space="preserve"> explique le </w:t>
      </w:r>
      <w:proofErr w:type="spellStart"/>
      <w:r>
        <w:t>modèle</w:t>
      </w:r>
      <w:proofErr w:type="spellEnd"/>
      <w:r>
        <w:t xml:space="preserve"> d’utilisation des produits </w:t>
      </w:r>
      <w:proofErr w:type="spellStart"/>
      <w:r>
        <w:t>écologiques</w:t>
      </w:r>
      <w:proofErr w:type="spellEnd"/>
      <w:r>
        <w:t xml:space="preserve">. La </w:t>
      </w:r>
      <w:proofErr w:type="spellStart"/>
      <w:r>
        <w:t>sensibilite</w:t>
      </w:r>
      <w:proofErr w:type="spellEnd"/>
      <w:r>
        <w:t xml:space="preserve">́ </w:t>
      </w:r>
      <w:proofErr w:type="spellStart"/>
      <w:r>
        <w:t>écologique</w:t>
      </w:r>
      <w:proofErr w:type="spellEnd"/>
      <w:r>
        <w:t xml:space="preserve"> se positionne comme une variable explicative de la </w:t>
      </w:r>
      <w:proofErr w:type="spellStart"/>
      <w:r>
        <w:t>familiarite</w:t>
      </w:r>
      <w:proofErr w:type="spellEnd"/>
      <w:r>
        <w:t>́ avec l’</w:t>
      </w:r>
      <w:proofErr w:type="spellStart"/>
      <w:r>
        <w:t>écologie</w:t>
      </w:r>
      <w:proofErr w:type="spellEnd"/>
      <w:r>
        <w:t xml:space="preserve"> et les </w:t>
      </w:r>
      <w:proofErr w:type="spellStart"/>
      <w:r>
        <w:t>expériences</w:t>
      </w:r>
      <w:proofErr w:type="spellEnd"/>
      <w:r>
        <w:t xml:space="preserve"> </w:t>
      </w:r>
      <w:proofErr w:type="spellStart"/>
      <w:r>
        <w:t>écotouristiques</w:t>
      </w:r>
      <w:proofErr w:type="spellEnd"/>
      <w:r>
        <w:t xml:space="preserve"> </w:t>
      </w:r>
      <w:proofErr w:type="spellStart"/>
      <w:r>
        <w:t>vécues</w:t>
      </w:r>
      <w:proofErr w:type="spellEnd"/>
      <w:r>
        <w:t>.</w:t>
      </w:r>
    </w:p>
    <w:p w14:paraId="6578F741" w14:textId="77777777" w:rsidR="000F0821" w:rsidRDefault="000F0821" w:rsidP="000F0821"/>
    <w:p w14:paraId="6CB27105" w14:textId="77777777" w:rsidR="000F0821" w:rsidRDefault="000F0821" w:rsidP="000F0821"/>
    <w:p w14:paraId="14A6C90D" w14:textId="56238D59" w:rsidR="000F0821" w:rsidRDefault="000F0821" w:rsidP="000F0821">
      <w:r>
        <w:t>### III.</w:t>
      </w:r>
      <w:r>
        <w:tab/>
        <w:t xml:space="preserve">Présentation des bases de données et statistiques descriptives. </w:t>
      </w:r>
    </w:p>
    <w:p w14:paraId="2CF26C18" w14:textId="6B29A99C" w:rsidR="000F0821" w:rsidRDefault="000F0821" w:rsidP="000F0821"/>
    <w:p w14:paraId="3750D593" w14:textId="669C6C84" w:rsidR="000F0821" w:rsidRDefault="000F0821" w:rsidP="000F0821">
      <w:pPr>
        <w:rPr>
          <w:rFonts w:ascii="Arial" w:eastAsia="Times New Roman" w:hAnsi="Arial" w:cs="Arial"/>
          <w:color w:val="202124"/>
          <w:shd w:val="clear" w:color="auto" w:fill="FFFFFF"/>
          <w:lang w:val="en-US" w:eastAsia="fr-FR"/>
        </w:rPr>
      </w:pPr>
      <w:r w:rsidRPr="000F0821">
        <w:rPr>
          <w:rFonts w:ascii="Arial" w:eastAsia="Times New Roman" w:hAnsi="Arial" w:cs="Arial"/>
          <w:color w:val="202124"/>
          <w:shd w:val="clear" w:color="auto" w:fill="FFFFFF"/>
          <w:lang w:val="en-US" w:eastAsia="fr-FR"/>
        </w:rPr>
        <w:t>The 2020 Environmental Performance Index (</w:t>
      </w:r>
      <w:r w:rsidRPr="000F0821">
        <w:rPr>
          <w:rFonts w:ascii="Arial" w:eastAsia="Times New Roman" w:hAnsi="Arial" w:cs="Arial"/>
          <w:b/>
          <w:bCs/>
          <w:color w:val="202124"/>
          <w:lang w:val="en-US" w:eastAsia="fr-FR"/>
        </w:rPr>
        <w:t>EPI</w:t>
      </w:r>
      <w:r w:rsidRPr="000F0821">
        <w:rPr>
          <w:rFonts w:ascii="Arial" w:eastAsia="Times New Roman" w:hAnsi="Arial" w:cs="Arial"/>
          <w:color w:val="202124"/>
          <w:shd w:val="clear" w:color="auto" w:fill="FFFFFF"/>
          <w:lang w:val="en-US" w:eastAsia="fr-FR"/>
        </w:rPr>
        <w:t>) provides a data-driven summary of the state of sustainability around the world. Using 32 performance indicators across 11 issue categories, the </w:t>
      </w:r>
      <w:r w:rsidRPr="000F0821">
        <w:rPr>
          <w:rFonts w:ascii="Arial" w:eastAsia="Times New Roman" w:hAnsi="Arial" w:cs="Arial"/>
          <w:b/>
          <w:bCs/>
          <w:color w:val="202124"/>
          <w:lang w:val="en-US" w:eastAsia="fr-FR"/>
        </w:rPr>
        <w:t>EPI</w:t>
      </w:r>
      <w:r w:rsidRPr="000F0821">
        <w:rPr>
          <w:rFonts w:ascii="Arial" w:eastAsia="Times New Roman" w:hAnsi="Arial" w:cs="Arial"/>
          <w:color w:val="202124"/>
          <w:shd w:val="clear" w:color="auto" w:fill="FFFFFF"/>
          <w:lang w:val="en-US" w:eastAsia="fr-FR"/>
        </w:rPr>
        <w:t> ranks 180 countries on environmental health and ecosystem vitality.</w:t>
      </w:r>
    </w:p>
    <w:p w14:paraId="19FBE18B" w14:textId="6F083FF3" w:rsidR="00500EAD" w:rsidRDefault="00500EAD" w:rsidP="000F0821">
      <w:pPr>
        <w:rPr>
          <w:rFonts w:ascii="Arial" w:eastAsia="Times New Roman" w:hAnsi="Arial" w:cs="Arial"/>
          <w:color w:val="202124"/>
          <w:shd w:val="clear" w:color="auto" w:fill="FFFFFF"/>
          <w:lang w:val="en-US" w:eastAsia="fr-FR"/>
        </w:rPr>
      </w:pPr>
    </w:p>
    <w:p w14:paraId="1497D2C8" w14:textId="77777777" w:rsidR="00500EAD" w:rsidRDefault="00500EAD" w:rsidP="00500EAD">
      <w:proofErr w:type="gramStart"/>
      <w:r>
        <w:t>choix</w:t>
      </w:r>
      <w:proofErr w:type="gramEnd"/>
      <w:r>
        <w:t xml:space="preserve"> de variables : </w:t>
      </w:r>
    </w:p>
    <w:p w14:paraId="1F7DFEC0" w14:textId="77777777" w:rsidR="00500EAD" w:rsidRDefault="00500EAD" w:rsidP="00500EAD">
      <w:pPr>
        <w:pStyle w:val="Paragraphedeliste"/>
        <w:numPr>
          <w:ilvl w:val="1"/>
          <w:numId w:val="1"/>
        </w:numPr>
      </w:pPr>
      <w:r>
        <w:t xml:space="preserve">Inégalités : </w:t>
      </w:r>
      <w:r w:rsidRPr="00212138">
        <w:t>Coefficient de Gini du revenu disponible équivalent - enquête EU-SILC</w:t>
      </w:r>
    </w:p>
    <w:p w14:paraId="3FA2D927" w14:textId="77777777" w:rsidR="00500EAD" w:rsidRDefault="00500EAD" w:rsidP="00500EAD">
      <w:pPr>
        <w:pStyle w:val="Paragraphedeliste"/>
        <w:numPr>
          <w:ilvl w:val="1"/>
          <w:numId w:val="1"/>
        </w:numPr>
      </w:pPr>
      <w:r>
        <w:t xml:space="preserve">Revenu médian : </w:t>
      </w:r>
      <w:r w:rsidRPr="00212138">
        <w:t>Revenu moyen et médian par type de ménage - enquêtes EU-SILC et PCM</w:t>
      </w:r>
    </w:p>
    <w:p w14:paraId="657178FE" w14:textId="77777777" w:rsidR="00500EAD" w:rsidRDefault="00500EAD" w:rsidP="00500EAD">
      <w:pPr>
        <w:pStyle w:val="Paragraphedeliste"/>
        <w:numPr>
          <w:ilvl w:val="1"/>
          <w:numId w:val="1"/>
        </w:numPr>
      </w:pPr>
      <w:proofErr w:type="spellStart"/>
      <w:r>
        <w:t>Education</w:t>
      </w:r>
      <w:proofErr w:type="spellEnd"/>
      <w:r>
        <w:t> : pourcentage de la population de 15 à 64 avec un niveau d’éducation de 5 à 8 du CITE 2011</w:t>
      </w:r>
    </w:p>
    <w:p w14:paraId="4D3BA195" w14:textId="77777777" w:rsidR="00500EAD" w:rsidRDefault="00500EAD" w:rsidP="00500EAD">
      <w:pPr>
        <w:pStyle w:val="Paragraphedeliste"/>
        <w:numPr>
          <w:ilvl w:val="1"/>
          <w:numId w:val="1"/>
        </w:numPr>
      </w:pPr>
      <w:r>
        <w:t xml:space="preserve">EPI : </w:t>
      </w:r>
      <w:proofErr w:type="spellStart"/>
      <w:r>
        <w:t>environmental</w:t>
      </w:r>
      <w:proofErr w:type="spellEnd"/>
      <w:r>
        <w:t xml:space="preserve"> performance index : </w:t>
      </w:r>
      <w:hyperlink r:id="rId8" w:history="1">
        <w:r w:rsidRPr="00B56191">
          <w:rPr>
            <w:rStyle w:val="Lienhypertexte"/>
          </w:rPr>
          <w:t>https://en.wikipedia.org/wiki/Environmental_Performance_Index</w:t>
        </w:r>
      </w:hyperlink>
    </w:p>
    <w:p w14:paraId="03B2ADE5" w14:textId="77777777" w:rsidR="00500EAD" w:rsidRDefault="00500EAD" w:rsidP="00500EAD">
      <w:pPr>
        <w:pStyle w:val="Paragraphedeliste"/>
        <w:numPr>
          <w:ilvl w:val="1"/>
          <w:numId w:val="1"/>
        </w:numPr>
        <w:rPr>
          <w:lang w:val="en-GB"/>
        </w:rPr>
      </w:pPr>
      <w:proofErr w:type="gramStart"/>
      <w:r w:rsidRPr="000840B8">
        <w:rPr>
          <w:lang w:val="en-GB"/>
        </w:rPr>
        <w:t>EAI :</w:t>
      </w:r>
      <w:proofErr w:type="gramEnd"/>
      <w:r w:rsidRPr="000840B8">
        <w:rPr>
          <w:lang w:val="en-GB"/>
        </w:rPr>
        <w:t xml:space="preserve"> environmental awareness index : </w:t>
      </w:r>
      <w:hyperlink r:id="rId9" w:history="1">
        <w:r w:rsidRPr="00B56191">
          <w:rPr>
            <w:rStyle w:val="Lienhypertexte"/>
            <w:lang w:val="en-GB"/>
          </w:rPr>
          <w:t>http://jultika.oulu.fi/files/nbnfioulu-201312142043.pdf</w:t>
        </w:r>
      </w:hyperlink>
    </w:p>
    <w:p w14:paraId="2A8A3ECC" w14:textId="77777777" w:rsidR="00500EAD" w:rsidRPr="000F0821" w:rsidRDefault="00500EAD" w:rsidP="000F0821">
      <w:pPr>
        <w:rPr>
          <w:rFonts w:ascii="Times New Roman" w:eastAsia="Times New Roman" w:hAnsi="Times New Roman" w:cs="Times New Roman"/>
          <w:lang w:val="en-GB" w:eastAsia="fr-FR"/>
        </w:rPr>
      </w:pPr>
    </w:p>
    <w:p w14:paraId="385CBE28" w14:textId="77777777" w:rsidR="000F0821" w:rsidRPr="000F0821" w:rsidRDefault="000F0821" w:rsidP="000F0821">
      <w:pPr>
        <w:rPr>
          <w:lang w:val="en-US"/>
        </w:rPr>
      </w:pPr>
    </w:p>
    <w:p w14:paraId="5D7BB17E" w14:textId="77777777" w:rsidR="000F0821" w:rsidRPr="000F0821" w:rsidRDefault="000F0821" w:rsidP="000F0821">
      <w:pPr>
        <w:rPr>
          <w:lang w:val="en-US"/>
        </w:rPr>
      </w:pPr>
    </w:p>
    <w:p w14:paraId="6D550A55" w14:textId="77777777" w:rsidR="000F0821" w:rsidRDefault="000F0821" w:rsidP="000F0821">
      <w:r>
        <w:t>### IV.</w:t>
      </w:r>
      <w:r>
        <w:tab/>
        <w:t xml:space="preserve">Proposition et justification de différents modèles linéaires. </w:t>
      </w:r>
    </w:p>
    <w:p w14:paraId="727A5DBB" w14:textId="77777777" w:rsidR="000F0821" w:rsidRDefault="000F0821" w:rsidP="000F0821"/>
    <w:p w14:paraId="5B6ABCB4" w14:textId="77777777" w:rsidR="000F0821" w:rsidRDefault="000F0821" w:rsidP="000F0821">
      <w:r>
        <w:t>### V.</w:t>
      </w:r>
      <w:r>
        <w:tab/>
        <w:t xml:space="preserve">Comparaison des coefficients et de la significativité des modèles. </w:t>
      </w:r>
    </w:p>
    <w:p w14:paraId="28D62347" w14:textId="77777777" w:rsidR="000F0821" w:rsidRDefault="000F0821" w:rsidP="000F0821"/>
    <w:p w14:paraId="3A14251F" w14:textId="77777777" w:rsidR="000F0821" w:rsidRDefault="000F0821" w:rsidP="000F0821">
      <w:r>
        <w:t>### VI.</w:t>
      </w:r>
      <w:r>
        <w:tab/>
        <w:t xml:space="preserve">Interprétation et proposition de pistes de réflexion complémentaires (limites </w:t>
      </w:r>
      <w:proofErr w:type="spellStart"/>
      <w:r>
        <w:t>blabla</w:t>
      </w:r>
      <w:proofErr w:type="spellEnd"/>
      <w:r>
        <w:t>).</w:t>
      </w:r>
    </w:p>
    <w:p w14:paraId="31E0F74C" w14:textId="77777777" w:rsidR="000F0821" w:rsidRDefault="000F0821" w:rsidP="000F0821"/>
    <w:p w14:paraId="04FB23F2" w14:textId="1E7BDAB4" w:rsidR="00CD4C6F" w:rsidRDefault="000F0821" w:rsidP="000F0821">
      <w:r>
        <w:t>### VII.</w:t>
      </w:r>
      <w:r>
        <w:tab/>
        <w:t>Conclusion.</w:t>
      </w:r>
    </w:p>
    <w:sectPr w:rsidR="00CD4C6F" w:rsidSect="00A75BF5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8DAFA" w14:textId="77777777" w:rsidR="006D5C43" w:rsidRDefault="006D5C43" w:rsidP="00C40681">
      <w:r>
        <w:separator/>
      </w:r>
    </w:p>
  </w:endnote>
  <w:endnote w:type="continuationSeparator" w:id="0">
    <w:p w14:paraId="28444A95" w14:textId="77777777" w:rsidR="006D5C43" w:rsidRDefault="006D5C43" w:rsidP="00C4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40595" w14:textId="77777777" w:rsidR="006D5C43" w:rsidRDefault="006D5C43" w:rsidP="00C40681">
      <w:r>
        <w:separator/>
      </w:r>
    </w:p>
  </w:footnote>
  <w:footnote w:type="continuationSeparator" w:id="0">
    <w:p w14:paraId="783F7EEB" w14:textId="77777777" w:rsidR="006D5C43" w:rsidRDefault="006D5C43" w:rsidP="00C40681">
      <w:r>
        <w:continuationSeparator/>
      </w:r>
    </w:p>
  </w:footnote>
  <w:footnote w:id="1">
    <w:p w14:paraId="2FB562E8" w14:textId="77777777" w:rsidR="00C40681" w:rsidRDefault="00C40681" w:rsidP="00C40681">
      <w:pPr>
        <w:pStyle w:val="NormalWeb"/>
      </w:pPr>
      <w:r>
        <w:rPr>
          <w:rStyle w:val="Appelnotedebasdep"/>
        </w:rPr>
        <w:footnoteRef/>
      </w:r>
      <w:r>
        <w:t xml:space="preserve"> </w:t>
      </w:r>
      <w:r>
        <w:t>Thiery-</w:t>
      </w:r>
      <w:proofErr w:type="spellStart"/>
      <w:r>
        <w:t>Seror</w:t>
      </w:r>
      <w:proofErr w:type="spellEnd"/>
      <w:r>
        <w:t xml:space="preserve">, P. (1996). La </w:t>
      </w:r>
      <w:proofErr w:type="spellStart"/>
      <w:r>
        <w:t>solidarite</w:t>
      </w:r>
      <w:proofErr w:type="spellEnd"/>
      <w:r>
        <w:t xml:space="preserve">́ à travers les </w:t>
      </w:r>
      <w:proofErr w:type="gramStart"/>
      <w:r>
        <w:t>produits:</w:t>
      </w:r>
      <w:proofErr w:type="gramEnd"/>
      <w:r>
        <w:t xml:space="preserve"> l’achat-geste </w:t>
      </w:r>
      <w:proofErr w:type="spellStart"/>
      <w:r>
        <w:t>écologique</w:t>
      </w:r>
      <w:proofErr w:type="spellEnd"/>
      <w:r>
        <w:t xml:space="preserve">. </w:t>
      </w:r>
      <w:r>
        <w:rPr>
          <w:rFonts w:ascii="Times New Roman,Italic" w:hAnsi="Times New Roman,Italic"/>
        </w:rPr>
        <w:t xml:space="preserve">Actes du </w:t>
      </w:r>
      <w:proofErr w:type="spellStart"/>
      <w:r>
        <w:rPr>
          <w:rFonts w:ascii="Times New Roman,Italic" w:hAnsi="Times New Roman,Italic"/>
        </w:rPr>
        <w:t>XIIème</w:t>
      </w:r>
      <w:proofErr w:type="spellEnd"/>
      <w:r>
        <w:rPr>
          <w:rFonts w:ascii="Times New Roman,Italic" w:hAnsi="Times New Roman,Italic"/>
        </w:rPr>
        <w:t xml:space="preserve"> </w:t>
      </w:r>
      <w:proofErr w:type="spellStart"/>
      <w:r>
        <w:rPr>
          <w:rFonts w:ascii="Times New Roman,Italic" w:hAnsi="Times New Roman,Italic"/>
        </w:rPr>
        <w:t>Congrès</w:t>
      </w:r>
      <w:proofErr w:type="spellEnd"/>
      <w:r>
        <w:rPr>
          <w:rFonts w:ascii="Times New Roman,Italic" w:hAnsi="Times New Roman,Italic"/>
        </w:rPr>
        <w:t xml:space="preserve"> de l’AFM, Poitiers, 22-23 mai</w:t>
      </w:r>
      <w:r>
        <w:t xml:space="preserve">. </w:t>
      </w:r>
    </w:p>
    <w:p w14:paraId="4F699FD7" w14:textId="5CA02D2E" w:rsidR="00C40681" w:rsidRDefault="00C40681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279C1"/>
    <w:multiLevelType w:val="hybridMultilevel"/>
    <w:tmpl w:val="8CC27A8E"/>
    <w:lvl w:ilvl="0" w:tplc="FCD03E4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21"/>
    <w:rsid w:val="000F0821"/>
    <w:rsid w:val="00297194"/>
    <w:rsid w:val="00500EAD"/>
    <w:rsid w:val="005B0E02"/>
    <w:rsid w:val="00606867"/>
    <w:rsid w:val="006B497D"/>
    <w:rsid w:val="006D5C43"/>
    <w:rsid w:val="00782113"/>
    <w:rsid w:val="009F2592"/>
    <w:rsid w:val="00A75BF5"/>
    <w:rsid w:val="00AC61CD"/>
    <w:rsid w:val="00B86FA5"/>
    <w:rsid w:val="00C40681"/>
    <w:rsid w:val="00CA0470"/>
    <w:rsid w:val="00CD4C6F"/>
    <w:rsid w:val="00E54FD5"/>
    <w:rsid w:val="00E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337D8"/>
  <w15:chartTrackingRefBased/>
  <w15:docId w15:val="{4BF0AF2E-D2C2-3045-9152-B71C3EDA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F0821"/>
  </w:style>
  <w:style w:type="paragraph" w:styleId="Paragraphedeliste">
    <w:name w:val="List Paragraph"/>
    <w:basedOn w:val="Normal"/>
    <w:uiPriority w:val="34"/>
    <w:qFormat/>
    <w:rsid w:val="00500E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0EA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06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068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4068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406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vironmental_Performance_Inde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ultika.oulu.fi/files/nbnfioulu-201312142043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395237-3EDD-0747-B0C6-615BE8B3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Berleur</dc:creator>
  <cp:keywords/>
  <dc:description/>
  <cp:lastModifiedBy>Catherine Berleur</cp:lastModifiedBy>
  <cp:revision>11</cp:revision>
  <dcterms:created xsi:type="dcterms:W3CDTF">2021-05-09T16:46:00Z</dcterms:created>
  <dcterms:modified xsi:type="dcterms:W3CDTF">2021-05-09T17:25:00Z</dcterms:modified>
</cp:coreProperties>
</file>