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486775" cy="4338638"/>
            <wp:effectExtent b="0" l="0" r="0" t="0"/>
            <wp:docPr descr="Sync Or Swim Use Cases Normal.png" id="2" name="image03.png"/>
            <a:graphic>
              <a:graphicData uri="http://schemas.openxmlformats.org/drawingml/2006/picture">
                <pic:pic>
                  <pic:nvPicPr>
                    <pic:cNvPr descr="Sync Or Swim Use Cases Normal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67300" cy="5457825"/>
            <wp:effectExtent b="0" l="0" r="0" t="0"/>
            <wp:docPr descr="Sync Or Swim Use Cases Alternate and Exceptional.png" id="1" name="image02.png"/>
            <a:graphic>
              <a:graphicData uri="http://schemas.openxmlformats.org/drawingml/2006/picture">
                <pic:pic>
                  <pic:nvPicPr>
                    <pic:cNvPr descr="Sync Or Swim Use Cases Alternate and Exceptional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