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4wd3dkezqsm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Documentation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Technique</w:t>
      </w:r>
    </w:p>
    <w:p w:rsidR="00000000" w:rsidDel="00000000" w:rsidP="00000000" w:rsidRDefault="00000000" w:rsidRPr="00000000" w14:paraId="00000003">
      <w:pPr>
        <w:spacing w:after="200" w:line="240" w:lineRule="auto"/>
        <w:jc w:val="both"/>
        <w:rPr>
          <w:b w:val="1"/>
          <w:sz w:val="48"/>
          <w:szCs w:val="48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6" name="image11.png"/>
            <a:graphic>
              <a:graphicData uri="http://schemas.openxmlformats.org/drawingml/2006/picture">
                <pic:pic>
                  <pic:nvPicPr>
                    <pic:cNvPr descr="ligne horizontale" id="0" name="image11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both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s3gza4kjdl7m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Routage statique inter-VLAN sur le LAN</w:t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ligne horizontale" id="9" name="image12.png"/>
            <a:graphic>
              <a:graphicData uri="http://schemas.openxmlformats.org/drawingml/2006/picture">
                <pic:pic>
                  <pic:nvPicPr>
                    <pic:cNvPr descr="ligne horizontal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Proxima Nova" w:cs="Proxima Nova" w:eastAsia="Proxima Nova" w:hAnsi="Proxima Nova"/>
          <w:color w:val="35374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ok3m1ea0btu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28/03/2025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Gabriel PFISTER, Quentin PARC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Sommaire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jc w:val="both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1485900" cy="190500"/>
            <wp:effectExtent b="0" l="0" r="0" t="0"/>
            <wp:docPr descr="ligne horizontale" id="5" name="image10.png"/>
            <a:graphic>
              <a:graphicData uri="http://schemas.openxmlformats.org/drawingml/2006/picture">
                <pic:pic>
                  <pic:nvPicPr>
                    <pic:cNvPr descr="ligne horizontale" id="0" name="image10.png"/>
                    <pic:cNvPicPr preferRelativeResize="0"/>
                  </pic:nvPicPr>
                  <pic:blipFill>
                    <a:blip r:embed="rId6"/>
                    <a:srcRect b="-92857" l="0" r="74086" t="-9285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qc3zntowln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Contexte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qomgufoad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Mise en place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yqc3zntowln1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Contexte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Le routage statique inter-VLAN permet la communication entre VLANs via un routeur ou un switch de niveau 3.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🔹 Pourquoi ? Les VLANs sont isolés par défaut ; un routage est nécessaire pour les faire communiquer.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🔹 Méthodes 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Router-on-a-stick → Un routeur avec une interface Trunk et des sous-interfaces VLAN.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Switch de niveau 3 → Interfaces VLAN (SVI) assurant le routage interne.</w:t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🔹 Pourquoi statique ? Simple, adapté aux petits réseaux, mais peu évolutif.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Montserrat" w:cs="Montserrat" w:eastAsia="Montserrat" w:hAnsi="Montserrat"/>
          <w:b w:val="1"/>
          <w:sz w:val="32"/>
          <w:szCs w:val="32"/>
        </w:rPr>
      </w:pPr>
      <w:bookmarkStart w:colFirst="0" w:colLast="0" w:name="_80qomgufoadg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Mise en place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62675" y="359500"/>
                          <a:ext cx="1243800" cy="58200"/>
                        </a:xfrm>
                        <a:prstGeom prst="rect">
                          <a:avLst/>
                        </a:prstGeom>
                        <a:solidFill>
                          <a:srgbClr val="00AFA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552450</wp:posOffset>
                </wp:positionV>
                <wp:extent cx="1266825" cy="76200"/>
                <wp:effectExtent b="0" l="0" r="0" t="0"/>
                <wp:wrapSquare wrapText="bothSides" distB="0" distT="0" distL="0" distR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gknbcuggtj51" w:id="5"/>
      <w:bookmarkEnd w:id="5"/>
      <w:r w:rsidDel="00000000" w:rsidR="00000000" w:rsidRPr="00000000">
        <w:rPr>
          <w:rtl w:val="0"/>
        </w:rPr>
        <w:t xml:space="preserve">Vérification des communications inter VLAN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Vérifier les configurations du routage inter-VLAN</w:t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show ip interface brief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show vlan brief</w:t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Vérifier les routes entres les VLANs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show ip route</w:t>
            </w:r>
          </w:p>
        </w:tc>
      </w:tr>
    </w:tbl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Tester la connectivité entre VLANs</w:t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ping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&lt;adresse_IP_autre_VLAN&gt;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Exemples : 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Cette commande permet de ping une machine du VLAN 30, tout en étant dans le VLAN 10.</w:t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ping 192.1.30.2</w:t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20887" cy="1982585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887" cy="198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L’inverse fonctionne aussi</w:t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ecf4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55859b"/>
                <w:sz w:val="24"/>
                <w:szCs w:val="24"/>
                <w:shd w:fill="ecf4ee" w:val="clear"/>
                <w:rtl w:val="0"/>
              </w:rPr>
              <w:t xml:space="preserve">ping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526057"/>
                <w:sz w:val="24"/>
                <w:szCs w:val="24"/>
                <w:shd w:fill="ecf4ee" w:val="clear"/>
                <w:rtl w:val="0"/>
              </w:rPr>
              <w:t xml:space="preserve"> 192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16139"/>
                <w:sz w:val="24"/>
                <w:szCs w:val="24"/>
                <w:shd w:fill="ecf4ee" w:val="clear"/>
                <w:rtl w:val="0"/>
              </w:rPr>
              <w:t xml:space="preserve">.1.10.21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08071" cy="1614747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071" cy="161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Configuration du routage inter-VLAN sur le routeur Cisco :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Création de sous-interfaces.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Association aux VLANs avec encapsulation dot1q.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Attribution d’adresses IP pour assurer la communication entre les VLANs.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534025" cy="3463767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74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6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Image 1 : Création des sous interfaces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6"/>
      <w:szCs w:val="26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5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