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943FE">
      <w:pPr>
        <w:spacing w:line="340" w:lineRule="exact"/>
        <w:jc w:val="center"/>
        <w:rPr>
          <w:rFonts w:hint="eastAsia" w:ascii="黑体" w:hAnsi="黑体" w:eastAsia="黑体" w:cs="黑体"/>
          <w:sz w:val="28"/>
          <w:szCs w:val="28"/>
        </w:rPr>
      </w:pPr>
      <w:r>
        <w:rPr>
          <w:rFonts w:hint="eastAsia" w:ascii="黑体" w:hAnsi="黑体" w:eastAsia="黑体" w:cs="黑体"/>
          <w:sz w:val="28"/>
          <w:szCs w:val="28"/>
        </w:rPr>
        <w:t>关于云信额度及保理融资费率的确认函</w:t>
      </w:r>
    </w:p>
    <w:p w14:paraId="01BD12CB">
      <w:pPr>
        <w:spacing w:line="340" w:lineRule="exact"/>
        <w:jc w:val="center"/>
        <w:rPr>
          <w:rFonts w:hint="eastAsia" w:ascii="黑体" w:hAnsi="黑体" w:eastAsia="黑体" w:cs="黑体"/>
          <w:sz w:val="28"/>
          <w:szCs w:val="28"/>
        </w:rPr>
      </w:pPr>
    </w:p>
    <w:p w14:paraId="06A609C8">
      <w:pPr>
        <w:spacing w:line="340" w:lineRule="exact"/>
        <w:jc w:val="center"/>
        <w:rPr>
          <w:rFonts w:hint="eastAsia" w:ascii="黑体" w:hAnsi="黑体" w:eastAsia="黑体" w:cs="黑体"/>
          <w:sz w:val="28"/>
          <w:szCs w:val="28"/>
        </w:rPr>
      </w:pPr>
    </w:p>
    <w:p w14:paraId="2FCB4683">
      <w:pPr>
        <w:spacing w:line="340" w:lineRule="exact"/>
        <w:rPr>
          <w:rFonts w:hint="eastAsia" w:ascii="仿宋" w:hAnsi="仿宋" w:eastAsia="仿宋" w:cs="仿宋"/>
          <w:sz w:val="22"/>
          <w:szCs w:val="22"/>
        </w:rPr>
      </w:pPr>
      <w:r>
        <w:rPr>
          <w:rFonts w:hint="eastAsia" w:ascii="仿宋" w:hAnsi="仿宋" w:eastAsia="仿宋" w:cs="仿宋"/>
          <w:sz w:val="22"/>
          <w:szCs w:val="22"/>
        </w:rPr>
        <w:t>中企云链股份有限公司：</w:t>
      </w:r>
    </w:p>
    <w:p w14:paraId="5FE75C71">
      <w:pPr>
        <w:spacing w:line="340" w:lineRule="exact"/>
        <w:ind w:right="128" w:rightChars="40" w:firstLine="440" w:firstLineChars="200"/>
        <w:rPr>
          <w:rFonts w:hint="eastAsia" w:ascii="仿宋" w:hAnsi="仿宋" w:eastAsia="仿宋" w:cs="仿宋"/>
          <w:sz w:val="22"/>
          <w:szCs w:val="22"/>
        </w:rPr>
      </w:pPr>
      <w:r>
        <w:rPr>
          <w:rFonts w:hint="eastAsia" w:ascii="仿宋" w:hAnsi="仿宋" w:eastAsia="仿宋" w:cs="仿宋"/>
          <w:sz w:val="22"/>
          <w:szCs w:val="22"/>
        </w:rPr>
        <w:t>我公司系贵公司运营的网站平台（网址：</w:t>
      </w:r>
      <w:r>
        <w:rPr>
          <w:rFonts w:hint="eastAsia" w:ascii="仿宋" w:hAnsi="仿宋" w:eastAsia="仿宋" w:cs="仿宋"/>
          <w:sz w:val="22"/>
          <w:szCs w:val="22"/>
        </w:rPr>
        <w:fldChar w:fldCharType="begin"/>
      </w:r>
      <w:r>
        <w:rPr>
          <w:rFonts w:hint="eastAsia" w:ascii="仿宋" w:hAnsi="仿宋" w:eastAsia="仿宋" w:cs="仿宋"/>
          <w:sz w:val="22"/>
          <w:szCs w:val="22"/>
        </w:rPr>
        <w:instrText xml:space="preserve"> HYPERLINK "http://www.yljr.com" </w:instrText>
      </w:r>
      <w:r>
        <w:rPr>
          <w:rFonts w:hint="eastAsia" w:ascii="仿宋" w:hAnsi="仿宋" w:eastAsia="仿宋" w:cs="仿宋"/>
          <w:sz w:val="22"/>
          <w:szCs w:val="22"/>
        </w:rPr>
        <w:fldChar w:fldCharType="separate"/>
      </w:r>
      <w:r>
        <w:rPr>
          <w:rFonts w:hint="eastAsia" w:ascii="仿宋" w:hAnsi="仿宋" w:eastAsia="仿宋" w:cs="仿宋"/>
          <w:sz w:val="22"/>
          <w:szCs w:val="22"/>
        </w:rPr>
        <w:t>www.yljr.com</w:t>
      </w:r>
      <w:r>
        <w:rPr>
          <w:rFonts w:hint="eastAsia" w:ascii="仿宋" w:hAnsi="仿宋" w:eastAsia="仿宋" w:cs="仿宋"/>
          <w:sz w:val="22"/>
          <w:szCs w:val="22"/>
        </w:rPr>
        <w:fldChar w:fldCharType="end"/>
      </w:r>
      <w:r>
        <w:rPr>
          <w:rFonts w:hint="eastAsia" w:ascii="仿宋" w:hAnsi="仿宋" w:eastAsia="仿宋" w:cs="仿宋"/>
          <w:sz w:val="22"/>
          <w:szCs w:val="22"/>
        </w:rPr>
        <w:t>）上的{{quotaLetterGroupMode}}用户，根据我公司（含我公司</w:t>
      </w:r>
      <w:r>
        <w:rPr>
          <w:rFonts w:hint="eastAsia" w:ascii="仿宋" w:hAnsi="仿宋" w:eastAsia="仿宋" w:cs="仿宋"/>
          <w:sz w:val="22"/>
          <w:szCs w:val="22"/>
          <w:lang w:val="en-US" w:eastAsia="zh-CN"/>
        </w:rPr>
        <w:t>集团内</w:t>
      </w:r>
      <w:r>
        <w:rPr>
          <w:rFonts w:hint="eastAsia" w:ascii="仿宋" w:hAnsi="仿宋" w:eastAsia="仿宋" w:cs="仿宋"/>
          <w:sz w:val="22"/>
          <w:szCs w:val="22"/>
        </w:rPr>
        <w:t>企业</w:t>
      </w:r>
      <w:r>
        <w:rPr>
          <w:rFonts w:hint="eastAsia" w:ascii="仿宋" w:hAnsi="仿宋" w:eastAsia="仿宋" w:cs="仿宋"/>
          <w:sz w:val="22"/>
          <w:szCs w:val="22"/>
          <w:lang w:eastAsia="zh-CN"/>
        </w:rPr>
        <w:t>，</w:t>
      </w:r>
      <w:r>
        <w:rPr>
          <w:rFonts w:hint="eastAsia" w:ascii="仿宋" w:hAnsi="仿宋" w:eastAsia="仿宋" w:cs="仿宋"/>
          <w:sz w:val="22"/>
          <w:szCs w:val="22"/>
          <w:lang w:val="en-US" w:eastAsia="zh-CN"/>
        </w:rPr>
        <w:t>下同</w:t>
      </w:r>
      <w:r>
        <w:rPr>
          <w:rFonts w:hint="eastAsia" w:ascii="仿宋" w:hAnsi="仿宋" w:eastAsia="仿宋" w:cs="仿宋"/>
          <w:sz w:val="22"/>
          <w:szCs w:val="22"/>
        </w:rPr>
        <w:t>）与</w:t>
      </w:r>
      <w:r>
        <w:rPr>
          <w:rFonts w:hint="eastAsia" w:ascii="仿宋" w:hAnsi="仿宋" w:eastAsia="仿宋" w:cs="仿宋"/>
          <w:sz w:val="22"/>
          <w:szCs w:val="22"/>
          <w:u w:val="single"/>
        </w:rPr>
        <w:t>{{branchName}}（以下简称“资金方”）</w:t>
      </w:r>
      <w:r>
        <w:rPr>
          <w:rFonts w:hint="eastAsia" w:ascii="仿宋" w:hAnsi="仿宋" w:eastAsia="仿宋" w:cs="仿宋"/>
          <w:sz w:val="22"/>
          <w:szCs w:val="22"/>
        </w:rPr>
        <w:t>、</w:t>
      </w:r>
      <w:r>
        <w:rPr>
          <w:rFonts w:hint="eastAsia" w:ascii="仿宋" w:hAnsi="仿宋" w:eastAsia="仿宋" w:cs="仿宋"/>
          <w:color w:val="auto"/>
          <w:sz w:val="22"/>
          <w:szCs w:val="22"/>
        </w:rPr>
        <w:t>中企云链股份有限公司签署</w:t>
      </w:r>
      <w:r>
        <w:rPr>
          <w:rFonts w:hint="eastAsia" w:ascii="仿宋" w:hAnsi="仿宋" w:eastAsia="仿宋" w:cs="仿宋"/>
          <w:sz w:val="22"/>
          <w:szCs w:val="22"/>
        </w:rPr>
        <w:t>的</w:t>
      </w:r>
      <w:r>
        <w:rPr>
          <w:rFonts w:hint="eastAsia" w:ascii="仿宋" w:hAnsi="仿宋" w:eastAsia="仿宋" w:cs="仿宋"/>
          <w:sz w:val="22"/>
          <w:szCs w:val="22"/>
          <w:u w:val="single"/>
        </w:rPr>
        <w:t>《</w:t>
      </w:r>
      <w:r>
        <w:rPr>
          <w:rFonts w:hint="eastAsia" w:ascii="仿宋" w:hAnsi="仿宋" w:eastAsia="仿宋" w:cs="仿宋"/>
          <w:sz w:val="24"/>
          <w:szCs w:val="24"/>
          <w:u w:val="single"/>
        </w:rPr>
        <w:t>快易付业务合作协议</w:t>
      </w:r>
      <w:r>
        <w:rPr>
          <w:rFonts w:hint="eastAsia" w:ascii="仿宋" w:hAnsi="仿宋" w:eastAsia="仿宋" w:cs="仿宋"/>
          <w:sz w:val="22"/>
          <w:szCs w:val="22"/>
          <w:u w:val="single"/>
          <w:lang w:eastAsia="zh-CN"/>
        </w:rPr>
        <w:t>》</w:t>
      </w:r>
      <w:r>
        <w:rPr>
          <w:rFonts w:hint="eastAsia" w:ascii="仿宋" w:hAnsi="仿宋" w:eastAsia="仿宋" w:cs="仿宋"/>
          <w:sz w:val="22"/>
          <w:szCs w:val="22"/>
        </w:rPr>
        <w:t>，我公司对云信开立额度、手续费费率及其他相关事项确认如下：</w:t>
      </w:r>
    </w:p>
    <w:tbl>
      <w:tblPr>
        <w:tblStyle w:val="3"/>
        <w:tblW w:w="9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4"/>
        <w:gridCol w:w="2802"/>
        <w:gridCol w:w="1671"/>
        <w:gridCol w:w="1397"/>
        <w:gridCol w:w="1422"/>
        <w:gridCol w:w="1322"/>
      </w:tblGrid>
      <w:tr w14:paraId="77F1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484" w:type="dxa"/>
            <w:vMerge w:val="restart"/>
            <w:shd w:val="clear" w:color="auto" w:fill="BFBFBF"/>
            <w:vAlign w:val="center"/>
          </w:tcPr>
          <w:p w14:paraId="54D432E6">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序号</w:t>
            </w:r>
          </w:p>
        </w:tc>
        <w:tc>
          <w:tcPr>
            <w:tcW w:w="2802" w:type="dxa"/>
            <w:vMerge w:val="restart"/>
            <w:shd w:val="clear" w:color="auto" w:fill="BFBFBF"/>
            <w:vAlign w:val="center"/>
          </w:tcPr>
          <w:p w14:paraId="6B09DFF2">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企业名称</w:t>
            </w:r>
          </w:p>
        </w:tc>
        <w:tc>
          <w:tcPr>
            <w:tcW w:w="1671" w:type="dxa"/>
            <w:vMerge w:val="restart"/>
            <w:shd w:val="clear" w:color="auto" w:fill="BFBFBF"/>
            <w:vAlign w:val="center"/>
          </w:tcPr>
          <w:p w14:paraId="3B152ADE">
            <w:pPr>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云信额度</w:t>
            </w:r>
            <w:r>
              <w:rPr>
                <w:rFonts w:hint="eastAsia" w:ascii="仿宋" w:hAnsi="仿宋" w:eastAsia="仿宋" w:cs="仿宋"/>
                <w:b/>
                <w:bCs/>
                <w:color w:val="000000"/>
                <w:kern w:val="0"/>
                <w:sz w:val="22"/>
                <w:szCs w:val="22"/>
              </w:rPr>
              <w:br w:type="textWrapping"/>
            </w:r>
            <w:r>
              <w:rPr>
                <w:rFonts w:hint="eastAsia" w:ascii="仿宋" w:hAnsi="仿宋" w:eastAsia="仿宋" w:cs="仿宋"/>
                <w:b/>
                <w:bCs/>
                <w:color w:val="000000"/>
                <w:kern w:val="0"/>
                <w:sz w:val="22"/>
                <w:szCs w:val="22"/>
              </w:rPr>
              <w:t xml:space="preserve">（万元） </w:t>
            </w:r>
          </w:p>
        </w:tc>
        <w:tc>
          <w:tcPr>
            <w:tcW w:w="2819" w:type="dxa"/>
            <w:gridSpan w:val="2"/>
            <w:shd w:val="clear" w:color="auto" w:fill="BFBFBF"/>
            <w:vAlign w:val="center"/>
          </w:tcPr>
          <w:p w14:paraId="68770A7F">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lang w:val="en-US" w:eastAsia="zh-CN"/>
              </w:rPr>
              <w:t>资金方</w:t>
            </w:r>
            <w:r>
              <w:rPr>
                <w:rFonts w:hint="eastAsia" w:ascii="仿宋" w:hAnsi="仿宋" w:eastAsia="仿宋" w:cs="仿宋"/>
                <w:b/>
                <w:bCs/>
                <w:color w:val="000000"/>
                <w:kern w:val="0"/>
                <w:sz w:val="22"/>
                <w:szCs w:val="22"/>
              </w:rPr>
              <w:t>费用</w:t>
            </w:r>
          </w:p>
        </w:tc>
        <w:tc>
          <w:tcPr>
            <w:tcW w:w="1322" w:type="dxa"/>
            <w:vMerge w:val="restart"/>
            <w:shd w:val="clear" w:color="auto" w:fill="BFBFBF"/>
            <w:vAlign w:val="center"/>
          </w:tcPr>
          <w:p w14:paraId="117930DC">
            <w:pPr>
              <w:widowControl/>
              <w:spacing w:line="340" w:lineRule="exact"/>
              <w:jc w:val="center"/>
              <w:rPr>
                <w:rFonts w:hint="eastAsia" w:ascii="仿宋" w:hAnsi="仿宋" w:eastAsia="仿宋" w:cs="仿宋"/>
                <w:b/>
                <w:bCs/>
                <w:color w:val="000000"/>
                <w:kern w:val="0"/>
                <w:sz w:val="22"/>
                <w:szCs w:val="22"/>
                <w:lang w:val="en-US" w:eastAsia="zh-CN"/>
              </w:rPr>
            </w:pPr>
            <w:r>
              <w:rPr>
                <w:rFonts w:hint="eastAsia" w:ascii="仿宋" w:hAnsi="仿宋" w:eastAsia="仿宋" w:cs="仿宋"/>
                <w:b/>
                <w:bCs/>
                <w:color w:val="000000"/>
                <w:kern w:val="0"/>
                <w:sz w:val="22"/>
                <w:szCs w:val="22"/>
              </w:rPr>
              <w:t>平台综合服务费</w:t>
            </w:r>
            <w:r>
              <w:rPr>
                <w:rFonts w:hint="eastAsia" w:ascii="仿宋" w:hAnsi="仿宋" w:eastAsia="仿宋" w:cs="仿宋"/>
                <w:b/>
                <w:bCs/>
                <w:color w:val="000000"/>
                <w:kern w:val="0"/>
                <w:sz w:val="22"/>
                <w:szCs w:val="22"/>
                <w:lang w:val="en-US" w:eastAsia="zh-CN"/>
              </w:rPr>
              <w:t>率</w:t>
            </w:r>
          </w:p>
          <w:p w14:paraId="08872144">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lang w:eastAsia="zh-CN"/>
              </w:rPr>
              <w:t>（</w:t>
            </w:r>
            <w:r>
              <w:rPr>
                <w:rFonts w:hint="eastAsia" w:ascii="仿宋" w:hAnsi="仿宋" w:eastAsia="仿宋" w:cs="仿宋"/>
                <w:b/>
                <w:bCs/>
                <w:color w:val="000000"/>
                <w:kern w:val="0"/>
                <w:sz w:val="22"/>
                <w:szCs w:val="22"/>
                <w:lang w:val="en-US" w:eastAsia="zh-CN"/>
              </w:rPr>
              <w:t>{{platformFeeType}}</w:t>
            </w:r>
            <w:r>
              <w:rPr>
                <w:rFonts w:hint="eastAsia" w:ascii="仿宋" w:hAnsi="仿宋" w:eastAsia="仿宋" w:cs="仿宋"/>
                <w:b/>
                <w:bCs/>
                <w:color w:val="000000"/>
                <w:kern w:val="0"/>
                <w:sz w:val="22"/>
                <w:szCs w:val="22"/>
              </w:rPr>
              <w:t>%</w:t>
            </w:r>
            <w:r>
              <w:rPr>
                <w:rFonts w:hint="eastAsia" w:ascii="仿宋" w:hAnsi="仿宋" w:eastAsia="仿宋" w:cs="仿宋"/>
                <w:b/>
                <w:bCs/>
                <w:color w:val="000000"/>
                <w:kern w:val="0"/>
                <w:sz w:val="22"/>
                <w:szCs w:val="22"/>
                <w:lang w:eastAsia="zh-CN"/>
              </w:rPr>
              <w:t>）</w:t>
            </w:r>
          </w:p>
        </w:tc>
      </w:tr>
      <w:tr w14:paraId="008D2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6" w:hRule="atLeast"/>
          <w:jc w:val="center"/>
        </w:trPr>
        <w:tc>
          <w:tcPr>
            <w:tcW w:w="484" w:type="dxa"/>
            <w:vMerge w:val="continue"/>
            <w:shd w:val="clear" w:color="auto" w:fill="BFBFBF"/>
            <w:vAlign w:val="center"/>
          </w:tcPr>
          <w:p w14:paraId="5A21F642">
            <w:pPr>
              <w:widowControl/>
              <w:spacing w:line="340" w:lineRule="exact"/>
              <w:jc w:val="center"/>
              <w:rPr>
                <w:rFonts w:hint="eastAsia" w:ascii="宋体"/>
                <w:sz w:val="24"/>
                <w:szCs w:val="24"/>
              </w:rPr>
            </w:pPr>
          </w:p>
        </w:tc>
        <w:tc>
          <w:tcPr>
            <w:tcW w:w="2802" w:type="dxa"/>
            <w:vMerge w:val="continue"/>
            <w:shd w:val="clear" w:color="auto" w:fill="BFBFBF"/>
            <w:vAlign w:val="center"/>
          </w:tcPr>
          <w:p w14:paraId="4E465987">
            <w:pPr>
              <w:widowControl/>
              <w:spacing w:line="340" w:lineRule="exact"/>
              <w:jc w:val="center"/>
              <w:rPr>
                <w:rFonts w:hint="eastAsia" w:ascii="宋体"/>
                <w:sz w:val="24"/>
                <w:szCs w:val="24"/>
              </w:rPr>
            </w:pPr>
          </w:p>
        </w:tc>
        <w:tc>
          <w:tcPr>
            <w:tcW w:w="1671" w:type="dxa"/>
            <w:vMerge w:val="continue"/>
            <w:shd w:val="clear" w:color="auto" w:fill="BFBFBF"/>
            <w:vAlign w:val="center"/>
          </w:tcPr>
          <w:p w14:paraId="5CF8616A">
            <w:pPr>
              <w:widowControl/>
              <w:spacing w:line="340" w:lineRule="exact"/>
              <w:jc w:val="center"/>
              <w:rPr>
                <w:rFonts w:hint="eastAsia" w:ascii="宋体"/>
                <w:sz w:val="24"/>
                <w:szCs w:val="24"/>
              </w:rPr>
            </w:pPr>
          </w:p>
        </w:tc>
        <w:tc>
          <w:tcPr>
            <w:tcW w:w="1397" w:type="dxa"/>
            <w:shd w:val="clear" w:color="auto" w:fill="BFBFBF"/>
            <w:vAlign w:val="center"/>
          </w:tcPr>
          <w:p w14:paraId="57894FBF">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融资利率（</w:t>
            </w:r>
            <w:r>
              <w:rPr>
                <w:rFonts w:hint="eastAsia" w:ascii="仿宋" w:hAnsi="仿宋" w:eastAsia="仿宋" w:cs="仿宋"/>
                <w:b/>
                <w:bCs/>
                <w:color w:val="000000"/>
                <w:kern w:val="0"/>
                <w:sz w:val="22"/>
                <w:szCs w:val="22"/>
                <w:lang w:val="en-US" w:eastAsia="zh-CN"/>
              </w:rPr>
              <w:t>{{financingRateType}}</w:t>
            </w:r>
            <w:r>
              <w:rPr>
                <w:rFonts w:hint="eastAsia" w:ascii="仿宋" w:hAnsi="仿宋" w:eastAsia="仿宋" w:cs="仿宋"/>
                <w:b/>
                <w:bCs/>
                <w:color w:val="000000"/>
                <w:kern w:val="0"/>
                <w:sz w:val="22"/>
                <w:szCs w:val="22"/>
              </w:rPr>
              <w:t>%）</w:t>
            </w:r>
          </w:p>
        </w:tc>
        <w:tc>
          <w:tcPr>
            <w:tcW w:w="1422" w:type="dxa"/>
            <w:shd w:val="clear" w:color="auto" w:fill="BFBFBF"/>
            <w:vAlign w:val="center"/>
          </w:tcPr>
          <w:p w14:paraId="59034A1B">
            <w:pPr>
              <w:widowControl/>
              <w:spacing w:line="340" w:lineRule="exact"/>
              <w:jc w:val="center"/>
              <w:rPr>
                <w:rFonts w:hint="eastAsia" w:ascii="仿宋" w:hAnsi="仿宋" w:eastAsia="仿宋" w:cs="仿宋"/>
                <w:b/>
                <w:bCs/>
                <w:i w:val="0"/>
                <w:iCs w:val="0"/>
                <w:color w:val="000000"/>
                <w:kern w:val="2"/>
                <w:sz w:val="24"/>
                <w:szCs w:val="24"/>
              </w:rPr>
            </w:pPr>
            <w:r>
              <w:rPr>
                <w:rFonts w:hint="eastAsia" w:ascii="仿宋" w:hAnsi="仿宋" w:eastAsia="仿宋" w:cs="仿宋"/>
                <w:b/>
                <w:bCs/>
                <w:color w:val="000000"/>
                <w:kern w:val="0"/>
                <w:sz w:val="22"/>
                <w:szCs w:val="22"/>
              </w:rPr>
              <w:t>手续费率（</w:t>
            </w:r>
            <w:r>
              <w:rPr>
                <w:rFonts w:hint="eastAsia" w:ascii="仿宋" w:hAnsi="仿宋" w:eastAsia="仿宋" w:cs="仿宋"/>
                <w:b/>
                <w:bCs/>
                <w:color w:val="000000"/>
                <w:kern w:val="0"/>
                <w:sz w:val="22"/>
                <w:szCs w:val="22"/>
                <w:lang w:val="en-US" w:eastAsia="zh-CN"/>
              </w:rPr>
              <w:t>{{factoringFeeType}}</w:t>
            </w:r>
            <w:r>
              <w:rPr>
                <w:rFonts w:hint="eastAsia" w:ascii="仿宋" w:hAnsi="仿宋" w:eastAsia="仿宋" w:cs="仿宋"/>
                <w:b/>
                <w:bCs/>
                <w:color w:val="000000"/>
                <w:kern w:val="0"/>
                <w:sz w:val="22"/>
                <w:szCs w:val="22"/>
              </w:rPr>
              <w:t>%）</w:t>
            </w:r>
          </w:p>
        </w:tc>
        <w:tc>
          <w:tcPr>
            <w:tcW w:w="1322" w:type="dxa"/>
            <w:vMerge w:val="continue"/>
            <w:shd w:val="clear" w:color="auto" w:fill="BFBFBF"/>
            <w:vAlign w:val="center"/>
          </w:tcPr>
          <w:p w14:paraId="20BAF8EF">
            <w:pPr>
              <w:widowControl/>
              <w:spacing w:line="340" w:lineRule="exact"/>
              <w:jc w:val="both"/>
              <w:rPr>
                <w:rFonts w:hint="eastAsia" w:ascii="仿宋" w:hAnsi="仿宋" w:eastAsia="仿宋" w:cs="仿宋"/>
                <w:b/>
                <w:bCs/>
                <w:i w:val="0"/>
                <w:iCs w:val="0"/>
                <w:color w:val="000000"/>
                <w:kern w:val="2"/>
                <w:sz w:val="24"/>
                <w:szCs w:val="24"/>
              </w:rPr>
            </w:pPr>
          </w:p>
        </w:tc>
      </w:tr>
      <w:tr w14:paraId="504FB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dxa"/>
            <w:shd w:val="clear" w:color="auto" w:fill="auto"/>
            <w:vAlign w:val="center"/>
          </w:tcPr>
          <w:p w14:paraId="7C6CA72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1</w:t>
            </w:r>
          </w:p>
        </w:tc>
        <w:tc>
          <w:tcPr>
            <w:tcW w:w="2802" w:type="dxa"/>
            <w:shd w:val="clear" w:color="auto" w:fill="auto"/>
            <w:vAlign w:val="center"/>
          </w:tcPr>
          <w:p w14:paraId="00F22F7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lang w:val="en-US"/>
              </w:rPr>
            </w:pPr>
            <w:r>
              <w:rPr>
                <w:rFonts w:hint="eastAsia" w:ascii="宋体" w:hAnsi="宋体" w:eastAsia="宋体" w:cs="宋体"/>
                <w:i w:val="0"/>
                <w:iCs w:val="0"/>
                <w:color w:val="000000"/>
                <w:kern w:val="0"/>
                <w:sz w:val="22"/>
                <w:szCs w:val="22"/>
                <w:lang w:val="en-US" w:eastAsia="zh-CN" w:bidi="ar"/>
              </w:rPr>
              <w:t>{{consub0_subName}}</w:t>
            </w:r>
          </w:p>
        </w:tc>
        <w:tc>
          <w:tcPr>
            <w:tcW w:w="1671" w:type="dxa"/>
            <w:shd w:val="clear" w:color="auto" w:fill="auto"/>
            <w:noWrap/>
            <w:vAlign w:val="center"/>
          </w:tcPr>
          <w:p w14:paraId="1549071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{{consub0_subQuota}}</w:t>
            </w:r>
          </w:p>
        </w:tc>
        <w:tc>
          <w:tcPr>
            <w:tcW w:w="1397" w:type="dxa"/>
            <w:shd w:val="clear" w:color="auto" w:fill="auto"/>
            <w:vAlign w:val="center"/>
          </w:tcPr>
          <w:p w14:paraId="255763C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{{conrate0}}</w:t>
            </w:r>
          </w:p>
        </w:tc>
        <w:tc>
          <w:tcPr>
            <w:tcW w:w="1422" w:type="dxa"/>
            <w:shd w:val="clear" w:color="auto" w:fill="auto"/>
            <w:vAlign w:val="center"/>
          </w:tcPr>
          <w:p w14:paraId="159B19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{{conbankfee0}}</w:t>
            </w:r>
          </w:p>
        </w:tc>
        <w:tc>
          <w:tcPr>
            <w:tcW w:w="1322" w:type="dxa"/>
            <w:shd w:val="clear" w:color="auto" w:fill="auto"/>
            <w:noWrap/>
            <w:vAlign w:val="center"/>
          </w:tcPr>
          <w:p w14:paraId="58D70EE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6AFB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2EE12E0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2</w:t>
            </w:r>
          </w:p>
        </w:tc>
        <w:tc>
          <w:tcPr>
            <w:tcW w:w="2802" w:type="dxa"/>
            <w:shd w:val="clear" w:color="auto" w:fill="auto"/>
            <w:vAlign w:val="center"/>
          </w:tcPr>
          <w:p w14:paraId="6A102104">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{{consub1_subName}}</w:t>
            </w:r>
          </w:p>
        </w:tc>
        <w:tc>
          <w:tcPr>
            <w:tcW w:w="1671" w:type="dxa"/>
            <w:shd w:val="clear" w:color="auto" w:fill="auto"/>
            <w:noWrap/>
            <w:vAlign w:val="center"/>
          </w:tcPr>
          <w:p w14:paraId="0C7DF36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{{consub1_subQuota}}</w:t>
            </w:r>
          </w:p>
        </w:tc>
        <w:tc>
          <w:tcPr>
            <w:tcW w:w="1397" w:type="dxa"/>
            <w:shd w:val="clear" w:color="auto" w:fill="auto"/>
            <w:noWrap/>
            <w:vAlign w:val="center"/>
          </w:tcPr>
          <w:p w14:paraId="5181F6D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{{conrate1}}</w:t>
            </w:r>
          </w:p>
        </w:tc>
        <w:tc>
          <w:tcPr>
            <w:tcW w:w="1422" w:type="dxa"/>
            <w:shd w:val="clear" w:color="auto" w:fill="auto"/>
            <w:noWrap/>
            <w:vAlign w:val="center"/>
          </w:tcPr>
          <w:p w14:paraId="4AA4F91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{{conbankfee1}}</w:t>
            </w:r>
          </w:p>
        </w:tc>
        <w:tc>
          <w:tcPr>
            <w:tcW w:w="1322" w:type="dxa"/>
            <w:shd w:val="clear" w:color="auto" w:fill="auto"/>
            <w:noWrap/>
            <w:vAlign w:val="center"/>
          </w:tcPr>
          <w:p w14:paraId="45E92D1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2038A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1044757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3</w:t>
            </w:r>
          </w:p>
        </w:tc>
        <w:tc>
          <w:tcPr>
            <w:tcW w:w="2802" w:type="dxa"/>
            <w:shd w:val="clear" w:color="auto" w:fill="auto"/>
            <w:vAlign w:val="center"/>
          </w:tcPr>
          <w:p w14:paraId="46F2034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{{consub2_subName}}</w:t>
            </w:r>
          </w:p>
        </w:tc>
        <w:tc>
          <w:tcPr>
            <w:tcW w:w="1671" w:type="dxa"/>
            <w:shd w:val="clear" w:color="auto" w:fill="auto"/>
            <w:noWrap/>
            <w:vAlign w:val="center"/>
          </w:tcPr>
          <w:p w14:paraId="7792958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{{consub2_subQuota}}</w:t>
            </w:r>
          </w:p>
        </w:tc>
        <w:tc>
          <w:tcPr>
            <w:tcW w:w="1397" w:type="dxa"/>
            <w:shd w:val="clear" w:color="auto" w:fill="auto"/>
            <w:noWrap/>
            <w:vAlign w:val="center"/>
          </w:tcPr>
          <w:p w14:paraId="1A192AF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{{conrate2}}</w:t>
            </w:r>
          </w:p>
        </w:tc>
        <w:tc>
          <w:tcPr>
            <w:tcW w:w="1422" w:type="dxa"/>
            <w:shd w:val="clear" w:color="auto" w:fill="auto"/>
            <w:noWrap/>
            <w:vAlign w:val="center"/>
          </w:tcPr>
          <w:p w14:paraId="0F2FA9B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{{conbankfee2}}</w:t>
            </w:r>
          </w:p>
        </w:tc>
        <w:tc>
          <w:tcPr>
            <w:tcW w:w="1322" w:type="dxa"/>
            <w:shd w:val="clear" w:color="auto" w:fill="auto"/>
            <w:noWrap/>
            <w:vAlign w:val="center"/>
          </w:tcPr>
          <w:p w14:paraId="09E4541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FA3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dxa"/>
            <w:shd w:val="clear" w:color="auto" w:fill="auto"/>
            <w:vAlign w:val="center"/>
          </w:tcPr>
          <w:p w14:paraId="37A0286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4</w:t>
            </w:r>
          </w:p>
        </w:tc>
        <w:tc>
          <w:tcPr>
            <w:tcW w:w="2802" w:type="dxa"/>
            <w:shd w:val="clear" w:color="auto" w:fill="auto"/>
            <w:vAlign w:val="center"/>
          </w:tcPr>
          <w:p w14:paraId="533E2C86">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{{consub3_subName}}</w:t>
            </w:r>
          </w:p>
        </w:tc>
        <w:tc>
          <w:tcPr>
            <w:tcW w:w="1671" w:type="dxa"/>
            <w:shd w:val="clear" w:color="auto" w:fill="auto"/>
            <w:noWrap/>
            <w:vAlign w:val="center"/>
          </w:tcPr>
          <w:p w14:paraId="21280B9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{{consub3_subQuota}}</w:t>
            </w:r>
          </w:p>
        </w:tc>
        <w:tc>
          <w:tcPr>
            <w:tcW w:w="1397" w:type="dxa"/>
            <w:shd w:val="clear" w:color="auto" w:fill="auto"/>
            <w:noWrap/>
            <w:vAlign w:val="center"/>
          </w:tcPr>
          <w:p w14:paraId="5829C32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{{conrate3}}</w:t>
            </w:r>
          </w:p>
        </w:tc>
        <w:tc>
          <w:tcPr>
            <w:tcW w:w="1422" w:type="dxa"/>
            <w:shd w:val="clear" w:color="auto" w:fill="auto"/>
            <w:noWrap/>
            <w:vAlign w:val="center"/>
          </w:tcPr>
          <w:p w14:paraId="4D183E6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{{conbankfee3}}</w:t>
            </w:r>
          </w:p>
        </w:tc>
        <w:tc>
          <w:tcPr>
            <w:tcW w:w="1322" w:type="dxa"/>
            <w:shd w:val="clear" w:color="auto" w:fill="auto"/>
            <w:noWrap/>
            <w:vAlign w:val="center"/>
          </w:tcPr>
          <w:p w14:paraId="1630842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5E8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191D0E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5</w:t>
            </w:r>
          </w:p>
        </w:tc>
        <w:tc>
          <w:tcPr>
            <w:tcW w:w="2802" w:type="dxa"/>
            <w:shd w:val="clear" w:color="auto" w:fill="auto"/>
            <w:vAlign w:val="center"/>
          </w:tcPr>
          <w:p w14:paraId="0008F81A">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{{consub4_subName}}</w:t>
            </w:r>
          </w:p>
        </w:tc>
        <w:tc>
          <w:tcPr>
            <w:tcW w:w="1671" w:type="dxa"/>
            <w:shd w:val="clear" w:color="auto" w:fill="auto"/>
            <w:noWrap/>
            <w:vAlign w:val="center"/>
          </w:tcPr>
          <w:p w14:paraId="1F30A03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{{consub4_subQuota}}</w:t>
            </w:r>
          </w:p>
        </w:tc>
        <w:tc>
          <w:tcPr>
            <w:tcW w:w="1397" w:type="dxa"/>
            <w:shd w:val="clear" w:color="auto" w:fill="auto"/>
            <w:noWrap/>
            <w:vAlign w:val="center"/>
          </w:tcPr>
          <w:p w14:paraId="66156F0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{{conrate4}}</w:t>
            </w:r>
          </w:p>
        </w:tc>
        <w:tc>
          <w:tcPr>
            <w:tcW w:w="1422" w:type="dxa"/>
            <w:shd w:val="clear" w:color="auto" w:fill="auto"/>
            <w:noWrap/>
            <w:vAlign w:val="center"/>
          </w:tcPr>
          <w:p w14:paraId="503432E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{{conbankfee4}}</w:t>
            </w:r>
          </w:p>
        </w:tc>
        <w:tc>
          <w:tcPr>
            <w:tcW w:w="1322" w:type="dxa"/>
            <w:shd w:val="clear" w:color="auto" w:fill="auto"/>
            <w:noWrap/>
            <w:vAlign w:val="center"/>
          </w:tcPr>
          <w:p w14:paraId="6DD68B2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4E3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0BD3267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6</w:t>
            </w:r>
          </w:p>
        </w:tc>
        <w:tc>
          <w:tcPr>
            <w:tcW w:w="2802" w:type="dxa"/>
            <w:shd w:val="clear" w:color="auto" w:fill="auto"/>
            <w:vAlign w:val="center"/>
          </w:tcPr>
          <w:p w14:paraId="0AD5704F">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{{consub5_subName}}</w:t>
            </w:r>
          </w:p>
        </w:tc>
        <w:tc>
          <w:tcPr>
            <w:tcW w:w="1671" w:type="dxa"/>
            <w:shd w:val="clear" w:color="auto" w:fill="auto"/>
            <w:noWrap/>
            <w:vAlign w:val="center"/>
          </w:tcPr>
          <w:p w14:paraId="1449A9DC">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{{consub5_subQuota}}</w:t>
            </w:r>
          </w:p>
        </w:tc>
        <w:tc>
          <w:tcPr>
            <w:tcW w:w="1397" w:type="dxa"/>
            <w:shd w:val="clear" w:color="auto" w:fill="auto"/>
            <w:noWrap/>
            <w:vAlign w:val="center"/>
          </w:tcPr>
          <w:p w14:paraId="0A2CF58B">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{{conrate5}}</w:t>
            </w:r>
          </w:p>
        </w:tc>
        <w:tc>
          <w:tcPr>
            <w:tcW w:w="1422" w:type="dxa"/>
            <w:shd w:val="clear" w:color="auto" w:fill="auto"/>
            <w:noWrap/>
            <w:vAlign w:val="center"/>
          </w:tcPr>
          <w:p w14:paraId="5A624C08">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{{conbankfee5}}</w:t>
            </w:r>
          </w:p>
        </w:tc>
        <w:tc>
          <w:tcPr>
            <w:tcW w:w="1322" w:type="dxa"/>
            <w:shd w:val="clear" w:color="auto" w:fill="auto"/>
            <w:noWrap/>
            <w:vAlign w:val="center"/>
          </w:tcPr>
          <w:p w14:paraId="41BB790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27D5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dxa"/>
            <w:shd w:val="clear" w:color="auto" w:fill="auto"/>
            <w:vAlign w:val="center"/>
          </w:tcPr>
          <w:p w14:paraId="017C331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7</w:t>
            </w:r>
          </w:p>
        </w:tc>
        <w:tc>
          <w:tcPr>
            <w:tcW w:w="2802" w:type="dxa"/>
            <w:shd w:val="clear" w:color="auto" w:fill="auto"/>
            <w:vAlign w:val="center"/>
          </w:tcPr>
          <w:p w14:paraId="1B34EF60">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{{consub6_subName}}</w:t>
            </w:r>
          </w:p>
        </w:tc>
        <w:tc>
          <w:tcPr>
            <w:tcW w:w="1671" w:type="dxa"/>
            <w:shd w:val="clear" w:color="auto" w:fill="auto"/>
            <w:noWrap/>
            <w:vAlign w:val="center"/>
          </w:tcPr>
          <w:p w14:paraId="0C42D9B6">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{{consub6_subQuota}}</w:t>
            </w:r>
          </w:p>
        </w:tc>
        <w:tc>
          <w:tcPr>
            <w:tcW w:w="1397" w:type="dxa"/>
            <w:shd w:val="clear" w:color="auto" w:fill="auto"/>
            <w:noWrap/>
            <w:vAlign w:val="center"/>
          </w:tcPr>
          <w:p w14:paraId="07136249">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{{conrate6}}</w:t>
            </w:r>
          </w:p>
        </w:tc>
        <w:tc>
          <w:tcPr>
            <w:tcW w:w="1422" w:type="dxa"/>
            <w:shd w:val="clear" w:color="auto" w:fill="auto"/>
            <w:noWrap/>
            <w:vAlign w:val="center"/>
          </w:tcPr>
          <w:p w14:paraId="1175FEC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{{conbankfee6}}</w:t>
            </w:r>
          </w:p>
        </w:tc>
        <w:tc>
          <w:tcPr>
            <w:tcW w:w="1322" w:type="dxa"/>
            <w:shd w:val="clear" w:color="auto" w:fill="auto"/>
            <w:noWrap/>
            <w:vAlign w:val="center"/>
          </w:tcPr>
          <w:p w14:paraId="75E9F4B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6630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dxa"/>
            <w:shd w:val="clear" w:color="auto" w:fill="auto"/>
            <w:vAlign w:val="center"/>
          </w:tcPr>
          <w:p w14:paraId="1A48289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8</w:t>
            </w:r>
          </w:p>
        </w:tc>
        <w:tc>
          <w:tcPr>
            <w:tcW w:w="2802" w:type="dxa"/>
            <w:shd w:val="clear" w:color="auto" w:fill="auto"/>
            <w:vAlign w:val="center"/>
          </w:tcPr>
          <w:p w14:paraId="3C018B2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{{consub7_subName}}</w:t>
            </w:r>
          </w:p>
        </w:tc>
        <w:tc>
          <w:tcPr>
            <w:tcW w:w="1671" w:type="dxa"/>
            <w:shd w:val="clear" w:color="auto" w:fill="auto"/>
            <w:noWrap/>
            <w:vAlign w:val="center"/>
          </w:tcPr>
          <w:p w14:paraId="647D638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{{consub7_subQuota}}</w:t>
            </w:r>
          </w:p>
        </w:tc>
        <w:tc>
          <w:tcPr>
            <w:tcW w:w="1397" w:type="dxa"/>
            <w:shd w:val="clear" w:color="auto" w:fill="auto"/>
            <w:noWrap/>
            <w:vAlign w:val="center"/>
          </w:tcPr>
          <w:p w14:paraId="36429897">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{{conrate7}}</w:t>
            </w:r>
          </w:p>
        </w:tc>
        <w:tc>
          <w:tcPr>
            <w:tcW w:w="1422" w:type="dxa"/>
            <w:shd w:val="clear" w:color="auto" w:fill="auto"/>
            <w:noWrap/>
            <w:vAlign w:val="center"/>
          </w:tcPr>
          <w:p w14:paraId="28912D1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{{conbankfee7}}</w:t>
            </w:r>
          </w:p>
        </w:tc>
        <w:tc>
          <w:tcPr>
            <w:tcW w:w="1322" w:type="dxa"/>
            <w:shd w:val="clear" w:color="auto" w:fill="auto"/>
            <w:noWrap/>
            <w:vAlign w:val="center"/>
          </w:tcPr>
          <w:p w14:paraId="24509B12">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EEB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dxa"/>
            <w:shd w:val="clear" w:color="auto" w:fill="auto"/>
            <w:vAlign w:val="center"/>
          </w:tcPr>
          <w:p w14:paraId="0CDAF97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2"/>
                <w:sz w:val="22"/>
                <w:szCs w:val="22"/>
              </w:rPr>
            </w:pPr>
            <w:r>
              <w:rPr>
                <w:rFonts w:hint="eastAsia" w:ascii="宋体" w:hAnsi="宋体" w:eastAsia="宋体" w:cs="宋体"/>
                <w:b/>
                <w:bCs/>
                <w:i w:val="0"/>
                <w:iCs w:val="0"/>
                <w:color w:val="000000"/>
                <w:kern w:val="0"/>
                <w:sz w:val="22"/>
                <w:szCs w:val="22"/>
                <w:lang w:val="en-US" w:eastAsia="zh-CN" w:bidi="ar"/>
              </w:rPr>
              <w:t>9</w:t>
            </w:r>
          </w:p>
        </w:tc>
        <w:tc>
          <w:tcPr>
            <w:tcW w:w="2802" w:type="dxa"/>
            <w:shd w:val="clear" w:color="auto" w:fill="auto"/>
            <w:vAlign w:val="center"/>
          </w:tcPr>
          <w:p w14:paraId="396AD6E4">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{{consub8_subName}}</w:t>
            </w:r>
          </w:p>
        </w:tc>
        <w:tc>
          <w:tcPr>
            <w:tcW w:w="1671" w:type="dxa"/>
            <w:shd w:val="clear" w:color="auto" w:fill="auto"/>
            <w:noWrap/>
            <w:vAlign w:val="center"/>
          </w:tcPr>
          <w:p w14:paraId="21831221">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{{consub8_subQuota}}</w:t>
            </w:r>
          </w:p>
        </w:tc>
        <w:tc>
          <w:tcPr>
            <w:tcW w:w="1397" w:type="dxa"/>
            <w:shd w:val="clear" w:color="auto" w:fill="auto"/>
            <w:noWrap/>
            <w:vAlign w:val="center"/>
          </w:tcPr>
          <w:p w14:paraId="38E93229">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{{conrate8}}</w:t>
            </w:r>
          </w:p>
        </w:tc>
        <w:tc>
          <w:tcPr>
            <w:tcW w:w="1422" w:type="dxa"/>
            <w:shd w:val="clear" w:color="auto" w:fill="auto"/>
            <w:noWrap/>
            <w:vAlign w:val="center"/>
          </w:tcPr>
          <w:p w14:paraId="57F7C843">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{{conbankfee8}}</w:t>
            </w:r>
          </w:p>
        </w:tc>
        <w:tc>
          <w:tcPr>
            <w:tcW w:w="1322" w:type="dxa"/>
            <w:shd w:val="clear" w:color="auto" w:fill="auto"/>
            <w:noWrap/>
            <w:vAlign w:val="center"/>
          </w:tcPr>
          <w:p w14:paraId="0666996E">
            <w:pPr>
              <w:keepNext w:val="0"/>
              <w:keepLines w:val="0"/>
              <w:widowControl/>
              <w:suppressLineNumbers w:val="0"/>
              <w:jc w:val="center"/>
              <w:textAlignment w:val="bottom"/>
              <w:rPr>
                <w:rFonts w:hint="eastAsia" w:ascii="宋体" w:hAnsi="宋体" w:eastAsia="宋体" w:cs="宋体"/>
                <w:i w:val="0"/>
                <w:iCs w:val="0"/>
                <w:color w:val="000000"/>
                <w:kern w:val="2"/>
                <w:sz w:val="22"/>
                <w:szCs w:val="22"/>
              </w:rPr>
            </w:pPr>
            <w:r>
              <w:rPr>
                <w:rFonts w:hint="eastAsia" w:ascii="宋体" w:hAnsi="宋体" w:eastAsia="宋体" w:cs="宋体"/>
                <w:i w:val="0"/>
                <w:iCs w:val="0"/>
                <w:color w:val="000000"/>
                <w:kern w:val="0"/>
                <w:sz w:val="22"/>
                <w:szCs w:val="22"/>
                <w:lang w:val="en-US" w:eastAsia="zh-CN" w:bidi="ar"/>
              </w:rPr>
              <w:t>{{sumplatfee}}</w:t>
            </w:r>
          </w:p>
        </w:tc>
      </w:tr>
      <w:tr w14:paraId="43B3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54" w:hRule="atLeast"/>
          <w:jc w:val="center"/>
        </w:trPr>
        <w:tc>
          <w:tcPr>
            <w:tcW w:w="484" w:type="dxa"/>
            <w:shd w:val="clear" w:color="auto" w:fill="auto"/>
            <w:vAlign w:val="center"/>
          </w:tcPr>
          <w:p w14:paraId="25AAB40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10</w:t>
            </w:r>
          </w:p>
        </w:tc>
        <w:tc>
          <w:tcPr>
            <w:tcW w:w="2802" w:type="dxa"/>
            <w:shd w:val="clear" w:color="auto" w:fill="auto"/>
            <w:vAlign w:val="center"/>
          </w:tcPr>
          <w:p w14:paraId="22D0263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{{consub9_subName}}</w:t>
            </w:r>
          </w:p>
        </w:tc>
        <w:tc>
          <w:tcPr>
            <w:tcW w:w="1671" w:type="dxa"/>
            <w:shd w:val="clear" w:color="auto" w:fill="auto"/>
            <w:noWrap/>
            <w:vAlign w:val="center"/>
          </w:tcPr>
          <w:p w14:paraId="7329993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{{consub9_subQuota}}</w:t>
            </w:r>
          </w:p>
        </w:tc>
        <w:tc>
          <w:tcPr>
            <w:tcW w:w="1397" w:type="dxa"/>
            <w:shd w:val="clear" w:color="auto" w:fill="auto"/>
            <w:noWrap/>
            <w:vAlign w:val="center"/>
          </w:tcPr>
          <w:p w14:paraId="5F3562E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{{conrate9}}</w:t>
            </w:r>
          </w:p>
        </w:tc>
        <w:tc>
          <w:tcPr>
            <w:tcW w:w="1422" w:type="dxa"/>
            <w:shd w:val="clear" w:color="auto" w:fill="auto"/>
            <w:noWrap/>
            <w:vAlign w:val="center"/>
          </w:tcPr>
          <w:p w14:paraId="4B2FB8B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{{conbankfee9}}</w:t>
            </w:r>
          </w:p>
        </w:tc>
        <w:tc>
          <w:tcPr>
            <w:tcW w:w="1322" w:type="dxa"/>
            <w:shd w:val="clear" w:color="auto" w:fill="auto"/>
            <w:noWrap/>
            <w:vAlign w:val="center"/>
          </w:tcPr>
          <w:p w14:paraId="3C781A6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{{sumplatfee}}</w:t>
            </w:r>
          </w:p>
        </w:tc>
      </w:tr>
      <w:tr w14:paraId="45BA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dxa"/>
            <w:shd w:val="clear" w:color="auto" w:fill="auto"/>
            <w:vAlign w:val="center"/>
          </w:tcPr>
          <w:p w14:paraId="06C3991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11</w:t>
            </w:r>
          </w:p>
        </w:tc>
        <w:tc>
          <w:tcPr>
            <w:tcW w:w="2802" w:type="dxa"/>
            <w:shd w:val="clear" w:color="auto" w:fill="auto"/>
            <w:vAlign w:val="center"/>
          </w:tcPr>
          <w:p w14:paraId="094E6A6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{{consub10_subName}}</w:t>
            </w:r>
          </w:p>
        </w:tc>
        <w:tc>
          <w:tcPr>
            <w:tcW w:w="1671" w:type="dxa"/>
            <w:shd w:val="clear" w:color="auto" w:fill="auto"/>
            <w:noWrap/>
            <w:vAlign w:val="center"/>
          </w:tcPr>
          <w:p w14:paraId="06A72FE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{{consub10_subQuota}}</w:t>
            </w:r>
          </w:p>
        </w:tc>
        <w:tc>
          <w:tcPr>
            <w:tcW w:w="1397" w:type="dxa"/>
            <w:shd w:val="clear" w:color="auto" w:fill="auto"/>
            <w:noWrap/>
            <w:vAlign w:val="center"/>
          </w:tcPr>
          <w:p w14:paraId="50430F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{{conrate10}}</w:t>
            </w:r>
          </w:p>
        </w:tc>
        <w:tc>
          <w:tcPr>
            <w:tcW w:w="1422" w:type="dxa"/>
            <w:shd w:val="clear" w:color="auto" w:fill="auto"/>
            <w:noWrap/>
            <w:vAlign w:val="center"/>
          </w:tcPr>
          <w:p w14:paraId="0492A7C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{{conbankfee10}}</w:t>
            </w:r>
          </w:p>
        </w:tc>
        <w:tc>
          <w:tcPr>
            <w:tcW w:w="1322" w:type="dxa"/>
            <w:shd w:val="clear" w:color="auto" w:fill="auto"/>
            <w:noWrap/>
            <w:vAlign w:val="center"/>
          </w:tcPr>
          <w:p w14:paraId="06A0C29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{{sumplatfee}}</w:t>
            </w:r>
          </w:p>
        </w:tc>
      </w:tr>
      <w:tr w14:paraId="5B13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6D5E9C4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12</w:t>
            </w:r>
          </w:p>
        </w:tc>
        <w:tc>
          <w:tcPr>
            <w:tcW w:w="2802" w:type="dxa"/>
            <w:shd w:val="clear" w:color="auto" w:fill="auto"/>
            <w:vAlign w:val="center"/>
          </w:tcPr>
          <w:p w14:paraId="52BA66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{{consub11_subName}}</w:t>
            </w:r>
          </w:p>
        </w:tc>
        <w:tc>
          <w:tcPr>
            <w:tcW w:w="1671" w:type="dxa"/>
            <w:shd w:val="clear" w:color="auto" w:fill="auto"/>
            <w:noWrap/>
            <w:vAlign w:val="center"/>
          </w:tcPr>
          <w:p w14:paraId="1B3EA4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{{consub11_subQuota}}</w:t>
            </w:r>
          </w:p>
        </w:tc>
        <w:tc>
          <w:tcPr>
            <w:tcW w:w="1397" w:type="dxa"/>
            <w:shd w:val="clear" w:color="auto" w:fill="auto"/>
            <w:noWrap/>
            <w:vAlign w:val="center"/>
          </w:tcPr>
          <w:p w14:paraId="5F92642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{{conrate11}}</w:t>
            </w:r>
          </w:p>
        </w:tc>
        <w:tc>
          <w:tcPr>
            <w:tcW w:w="1422" w:type="dxa"/>
            <w:shd w:val="clear" w:color="auto" w:fill="auto"/>
            <w:noWrap/>
            <w:vAlign w:val="center"/>
          </w:tcPr>
          <w:p w14:paraId="4780978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{{conbankfee11}}</w:t>
            </w:r>
          </w:p>
        </w:tc>
        <w:tc>
          <w:tcPr>
            <w:tcW w:w="1322" w:type="dxa"/>
            <w:shd w:val="clear" w:color="auto" w:fill="auto"/>
            <w:noWrap/>
            <w:vAlign w:val="center"/>
          </w:tcPr>
          <w:p w14:paraId="40627D5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val="0"/>
                <w:bCs w:val="0"/>
                <w:i w:val="0"/>
                <w:iCs w:val="0"/>
                <w:color w:val="000000"/>
                <w:kern w:val="0"/>
                <w:sz w:val="22"/>
                <w:szCs w:val="22"/>
                <w:lang w:val="en-US" w:eastAsia="zh-CN" w:bidi="ar"/>
              </w:rPr>
              <w:t>{{sumplatfee}}</w:t>
            </w:r>
            <w:bookmarkStart w:id="0" w:name="_GoBack"/>
            <w:bookmarkEnd w:id="0"/>
          </w:p>
        </w:tc>
      </w:tr>
      <w:tr w14:paraId="68B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93" w:hRule="atLeast"/>
          <w:jc w:val="center"/>
        </w:trPr>
        <w:tc>
          <w:tcPr>
            <w:tcW w:w="484" w:type="dxa"/>
            <w:shd w:val="clear" w:color="auto" w:fill="auto"/>
            <w:vAlign w:val="center"/>
          </w:tcPr>
          <w:p w14:paraId="78A189A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2802" w:type="dxa"/>
            <w:shd w:val="clear" w:color="auto" w:fill="auto"/>
            <w:vAlign w:val="center"/>
          </w:tcPr>
          <w:p w14:paraId="7D4A896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kern w:val="0"/>
                <w:sz w:val="22"/>
                <w:szCs w:val="22"/>
                <w:lang w:val="en-US" w:eastAsia="zh-CN" w:bidi="ar"/>
              </w:rPr>
            </w:pPr>
            <w:r>
              <w:rPr>
                <w:rFonts w:hint="eastAsia" w:ascii="宋体" w:hAnsi="宋体" w:eastAsia="宋体" w:cs="宋体"/>
                <w:b/>
                <w:bCs/>
                <w:i w:val="0"/>
                <w:iCs w:val="0"/>
                <w:color w:val="000000"/>
                <w:kern w:val="0"/>
                <w:sz w:val="22"/>
                <w:szCs w:val="22"/>
                <w:lang w:val="en-US" w:eastAsia="zh-CN" w:bidi="ar"/>
              </w:rPr>
              <w:t>合计</w:t>
            </w:r>
          </w:p>
        </w:tc>
        <w:tc>
          <w:tcPr>
            <w:tcW w:w="1671" w:type="dxa"/>
            <w:shd w:val="clear" w:color="auto" w:fill="auto"/>
            <w:noWrap/>
            <w:vAlign w:val="center"/>
          </w:tcPr>
          <w:p w14:paraId="71694365">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val="0"/>
                <w:bCs w:val="0"/>
                <w:i w:val="0"/>
                <w:iCs w:val="0"/>
                <w:color w:val="000000"/>
                <w:kern w:val="0"/>
                <w:sz w:val="22"/>
                <w:szCs w:val="22"/>
                <w:lang w:val="en-US" w:eastAsia="zh-CN" w:bidi="ar"/>
              </w:rPr>
            </w:pPr>
            <w:r>
              <w:rPr>
                <w:rFonts w:hint="eastAsia" w:ascii="宋体" w:hAnsi="宋体" w:eastAsia="宋体" w:cs="宋体"/>
                <w:b/>
                <w:bCs/>
                <w:i w:val="0"/>
                <w:iCs w:val="0"/>
                <w:color w:val="000000"/>
                <w:kern w:val="0"/>
                <w:sz w:val="22"/>
                <w:szCs w:val="22"/>
                <w:lang w:val="en-US" w:eastAsia="zh-CN" w:bidi="ar"/>
              </w:rPr>
              <w:t>{{sumconsub</w:t>
            </w:r>
            <w:r>
              <w:rPr>
                <w:rFonts w:hint="eastAsia" w:ascii="宋体" w:hAnsi="宋体" w:eastAsia="宋体" w:cs="宋体"/>
                <w:b w:val="0"/>
                <w:bCs w:val="0"/>
                <w:i w:val="0"/>
                <w:iCs w:val="0"/>
                <w:color w:val="000000"/>
                <w:kern w:val="0"/>
                <w:sz w:val="22"/>
                <w:szCs w:val="22"/>
                <w:lang w:val="en-US" w:eastAsia="zh-CN" w:bidi="ar"/>
              </w:rPr>
              <w:t>Quota</w:t>
            </w:r>
            <w:r>
              <w:rPr>
                <w:rFonts w:hint="eastAsia" w:ascii="宋体" w:hAnsi="宋体" w:eastAsia="宋体" w:cs="宋体"/>
                <w:b/>
                <w:bCs/>
                <w:i w:val="0"/>
                <w:iCs w:val="0"/>
                <w:color w:val="000000"/>
                <w:kern w:val="0"/>
                <w:sz w:val="22"/>
                <w:szCs w:val="22"/>
                <w:lang w:val="en-US" w:eastAsia="zh-CN" w:bidi="ar"/>
              </w:rPr>
              <w:t>}}</w:t>
            </w:r>
          </w:p>
        </w:tc>
        <w:tc>
          <w:tcPr>
            <w:tcW w:w="1397" w:type="dxa"/>
            <w:shd w:val="clear" w:color="auto" w:fill="auto"/>
            <w:noWrap/>
            <w:vAlign w:val="center"/>
          </w:tcPr>
          <w:p w14:paraId="0F5E24D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422" w:type="dxa"/>
            <w:shd w:val="clear" w:color="auto" w:fill="auto"/>
            <w:noWrap/>
            <w:vAlign w:val="center"/>
          </w:tcPr>
          <w:p w14:paraId="23540F9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c>
          <w:tcPr>
            <w:tcW w:w="1322" w:type="dxa"/>
            <w:shd w:val="clear" w:color="auto" w:fill="auto"/>
            <w:noWrap/>
            <w:vAlign w:val="center"/>
          </w:tcPr>
          <w:p w14:paraId="744BE09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kern w:val="0"/>
                <w:sz w:val="22"/>
                <w:szCs w:val="22"/>
                <w:lang w:val="en-US" w:eastAsia="zh-CN" w:bidi="ar"/>
              </w:rPr>
            </w:pPr>
          </w:p>
        </w:tc>
      </w:tr>
    </w:tbl>
    <w:p w14:paraId="25E822CC">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1、我公司知悉上表所列</w:t>
      </w:r>
      <w:r>
        <w:rPr>
          <w:rFonts w:hint="eastAsia" w:ascii="仿宋" w:hAnsi="仿宋" w:eastAsia="仿宋" w:cs="仿宋"/>
          <w:sz w:val="22"/>
          <w:szCs w:val="22"/>
          <w:lang w:val="en-US" w:eastAsia="zh-CN"/>
        </w:rPr>
        <w:t>各项费率</w:t>
      </w:r>
      <w:r>
        <w:rPr>
          <w:rFonts w:hint="eastAsia" w:ascii="仿宋" w:hAnsi="仿宋" w:eastAsia="仿宋" w:cs="仿宋"/>
          <w:sz w:val="22"/>
          <w:szCs w:val="22"/>
        </w:rPr>
        <w:t>仅为贵司系统设置参考，供应商实际融资成本以其通过平台签署的</w:t>
      </w:r>
      <w:r>
        <w:rPr>
          <w:rFonts w:hint="eastAsia" w:ascii="仿宋" w:hAnsi="仿宋" w:eastAsia="仿宋" w:cs="仿宋"/>
          <w:sz w:val="22"/>
          <w:szCs w:val="22"/>
          <w:lang w:val="en-US" w:eastAsia="zh-CN"/>
        </w:rPr>
        <w:t>实际业务合同</w:t>
      </w:r>
      <w:r>
        <w:rPr>
          <w:rFonts w:hint="eastAsia" w:ascii="仿宋" w:hAnsi="仿宋" w:eastAsia="仿宋" w:cs="仿宋"/>
          <w:sz w:val="22"/>
          <w:szCs w:val="22"/>
        </w:rPr>
        <w:t>记载为准。</w:t>
      </w:r>
    </w:p>
    <w:p w14:paraId="13CDE573">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2、我公司确认并保证我公司在资金方授信额度充分有效，任意时点我公司在资金方的闲置授信及已通过云信业务占用授信之和</w:t>
      </w:r>
      <w:r>
        <w:rPr>
          <w:rFonts w:hint="eastAsia" w:ascii="仿宋" w:hAnsi="仿宋" w:eastAsia="仿宋" w:cs="仿宋"/>
          <w:sz w:val="22"/>
          <w:szCs w:val="22"/>
          <w:lang w:eastAsia="zh-CN"/>
        </w:rPr>
        <w:t>，</w:t>
      </w:r>
      <w:r>
        <w:rPr>
          <w:rFonts w:hint="eastAsia" w:ascii="仿宋" w:hAnsi="仿宋" w:eastAsia="仿宋" w:cs="仿宋"/>
          <w:sz w:val="22"/>
          <w:szCs w:val="22"/>
        </w:rPr>
        <w:t>不低于相关协议确认的我公司云信开立额度。</w:t>
      </w:r>
    </w:p>
    <w:p w14:paraId="50FB9BED">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3、我公司将按照贵公司运营的网站平台上的《云信使用协议》使用云信，对我公司在上述额度内开立的云信承担到期付款义务，并对我公司</w:t>
      </w:r>
      <w:r>
        <w:rPr>
          <w:rFonts w:hint="eastAsia" w:ascii="仿宋" w:hAnsi="仿宋" w:eastAsia="仿宋" w:cs="仿宋"/>
          <w:sz w:val="22"/>
          <w:szCs w:val="22"/>
          <w:lang w:val="en-US" w:eastAsia="zh-CN"/>
        </w:rPr>
        <w:t>集团内</w:t>
      </w:r>
      <w:r>
        <w:rPr>
          <w:rFonts w:hint="eastAsia" w:ascii="仿宋" w:hAnsi="仿宋" w:eastAsia="仿宋" w:cs="仿宋"/>
          <w:sz w:val="22"/>
          <w:szCs w:val="22"/>
        </w:rPr>
        <w:t>企业在上述额度内开立的云信承担连带付款义务。</w:t>
      </w:r>
    </w:p>
    <w:p w14:paraId="3194D794">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4、我公司授权贵公司及贵公司的关联公司在云信开立场景中将我公司简称为：“{{quotaLetterShortName}}”，并授权贵公司及贵公司的关联公司在上述场景、在我公司所开立的云信资料中使用我公司LOGO。</w:t>
      </w:r>
    </w:p>
    <w:p w14:paraId="590BFFE4">
      <w:pPr>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我公司确认所使用的LOGO图样如下：</w:t>
      </w:r>
    </w:p>
    <w:p w14:paraId="49E2E063">
      <w:pPr>
        <w:spacing w:line="340" w:lineRule="exact"/>
        <w:ind w:firstLine="442" w:firstLineChars="200"/>
        <w:rPr>
          <w:rFonts w:hint="eastAsia" w:ascii="仿宋" w:hAnsi="仿宋" w:eastAsia="仿宋" w:cs="仿宋"/>
          <w:b/>
          <w:bCs/>
          <w:sz w:val="22"/>
          <w:szCs w:val="22"/>
        </w:rPr>
      </w:pPr>
      <w:r>
        <w:rPr>
          <w:rFonts w:hint="eastAsia" w:ascii="仿宋" w:hAnsi="仿宋" w:eastAsia="仿宋" w:cs="仿宋"/>
          <w:b/>
          <w:bCs/>
          <w:sz w:val="22"/>
          <w:szCs w:val="22"/>
          <w:lang w:val="en-US" w:eastAsia="zh-CN"/>
        </w:rPr>
        <w:t>不使用logo</w:t>
      </w:r>
    </w:p>
    <w:p w14:paraId="6023CDF4">
      <w:pPr>
        <w:numPr>
          <w:ilvl w:val="0"/>
          <w:numId w:val="1"/>
        </w:numPr>
        <w:tabs>
          <w:tab w:val="left" w:pos="5880"/>
        </w:tabs>
        <w:spacing w:line="340" w:lineRule="exact"/>
        <w:ind w:firstLine="440" w:firstLineChars="200"/>
        <w:rPr>
          <w:rFonts w:hint="eastAsia" w:ascii="仿宋" w:hAnsi="仿宋" w:eastAsia="仿宋" w:cs="仿宋"/>
          <w:sz w:val="22"/>
          <w:szCs w:val="22"/>
        </w:rPr>
      </w:pPr>
      <w:r>
        <w:rPr>
          <w:rFonts w:hint="eastAsia" w:ascii="仿宋" w:hAnsi="仿宋" w:eastAsia="仿宋" w:cs="仿宋"/>
          <w:sz w:val="22"/>
          <w:szCs w:val="22"/>
        </w:rPr>
        <w:t>本函自我公司加盖公章、通过中企云链平台验证电子签名或完成账户验证之日起生效，除我司另行出具函件调整以外持续生效，但资金方调整授信额度导致本函确认的云信开立额度超过我司可用授信额度或平台</w:t>
      </w:r>
      <w:r>
        <w:rPr>
          <w:rFonts w:hint="eastAsia" w:ascii="仿宋" w:hAnsi="仿宋" w:eastAsia="仿宋" w:cs="仿宋"/>
          <w:sz w:val="22"/>
          <w:szCs w:val="22"/>
          <w:lang w:val="en-US" w:eastAsia="zh-CN"/>
        </w:rPr>
        <w:t>综合服务</w:t>
      </w:r>
      <w:r>
        <w:rPr>
          <w:rFonts w:hint="eastAsia" w:ascii="仿宋" w:hAnsi="仿宋" w:eastAsia="仿宋" w:cs="仿宋"/>
          <w:sz w:val="22"/>
          <w:szCs w:val="22"/>
        </w:rPr>
        <w:t>费调整的除外。</w:t>
      </w:r>
    </w:p>
    <w:p w14:paraId="01FEB022">
      <w:pPr>
        <w:numPr>
          <w:ilvl w:val="0"/>
          <w:numId w:val="0"/>
        </w:numPr>
        <w:tabs>
          <w:tab w:val="left" w:pos="5880"/>
        </w:tabs>
        <w:spacing w:line="340" w:lineRule="exact"/>
        <w:rPr>
          <w:rFonts w:hint="eastAsia" w:ascii="仿宋" w:hAnsi="仿宋" w:eastAsia="仿宋" w:cs="仿宋"/>
          <w:sz w:val="22"/>
          <w:szCs w:val="22"/>
        </w:rPr>
      </w:pPr>
    </w:p>
    <w:p w14:paraId="62E278D4">
      <w:pPr>
        <w:wordWrap/>
        <w:spacing w:line="340" w:lineRule="exact"/>
        <w:ind w:right="240"/>
        <w:jc w:val="right"/>
        <w:rPr>
          <w:rFonts w:hint="eastAsia" w:ascii="仿宋" w:hAnsi="仿宋" w:eastAsia="仿宋" w:cs="仿宋"/>
          <w:sz w:val="22"/>
          <w:szCs w:val="22"/>
          <w:lang w:val="en-US" w:eastAsia="zh-CN"/>
        </w:rPr>
      </w:pPr>
      <w:r>
        <w:rPr>
          <w:rFonts w:hint="eastAsia" w:ascii="仿宋" w:hAnsi="仿宋" w:eastAsia="仿宋" w:cs="仿宋"/>
          <w:sz w:val="22"/>
          <w:szCs w:val="22"/>
          <w:lang w:val="en-US" w:eastAsia="zh-CN"/>
        </w:rPr>
        <w:t xml:space="preserve">             </w:t>
      </w:r>
    </w:p>
    <w:p w14:paraId="00EBADAC">
      <w:pPr>
        <w:wordWrap/>
        <w:spacing w:line="340" w:lineRule="exact"/>
        <w:ind w:right="240"/>
        <w:jc w:val="right"/>
        <w:rPr>
          <w:rFonts w:hint="eastAsia" w:ascii="仿宋" w:hAnsi="仿宋" w:eastAsia="仿宋" w:cs="仿宋"/>
          <w:sz w:val="22"/>
          <w:szCs w:val="22"/>
        </w:rPr>
      </w:pPr>
      <w:r>
        <w:rPr>
          <w:rFonts w:hint="eastAsia" w:ascii="仿宋" w:hAnsi="仿宋" w:eastAsia="仿宋" w:cs="仿宋"/>
          <w:sz w:val="22"/>
          <w:szCs w:val="22"/>
          <w:lang w:val="en-US" w:eastAsia="zh-CN"/>
        </w:rPr>
        <w:t xml:space="preserve">    {{initiatorName}}</w:t>
      </w:r>
    </w:p>
    <w:p w14:paraId="1028E7E9">
      <w:pPr>
        <w:ind w:firstLine="6820" w:firstLineChars="3100"/>
      </w:pPr>
      <w:r>
        <w:rPr>
          <w:rFonts w:hint="eastAsia" w:ascii="仿宋" w:hAnsi="仿宋" w:eastAsia="仿宋" w:cs="仿宋"/>
          <w:sz w:val="22"/>
          <w:szCs w:val="22"/>
        </w:rPr>
        <w:t>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4BD6C"/>
    <w:multiLevelType w:val="singleLevel"/>
    <w:tmpl w:val="7014BD6C"/>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73B72"/>
    <w:rsid w:val="2C9F7BCD"/>
    <w:rsid w:val="32070FA4"/>
    <w:rsid w:val="335D39ED"/>
    <w:rsid w:val="36E56849"/>
    <w:rsid w:val="3BDA3550"/>
    <w:rsid w:val="44012237"/>
    <w:rsid w:val="4539487A"/>
    <w:rsid w:val="46A633C3"/>
    <w:rsid w:val="59A05363"/>
    <w:rsid w:val="68CF0D79"/>
    <w:rsid w:val="69231F61"/>
    <w:rsid w:val="6C673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684</Words>
  <Characters>1781</Characters>
  <Lines>0</Lines>
  <Paragraphs>0</Paragraphs>
  <TotalTime>4</TotalTime>
  <ScaleCrop>false</ScaleCrop>
  <LinksUpToDate>false</LinksUpToDate>
  <CharactersWithSpaces>1805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2026-06-03T03:34:00Z</dcterms:created>
  <dc:creator>风控审计部</dc:creator>
  <cp:lastModifiedBy>付鹏</cp:lastModifiedBy>
  <dcterms:modified xsi:type="dcterms:W3CDTF">2026-07-07T09:43:56Z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68B4B8B8AAD64F5EBF4698BAEFF88A52_13</vt:lpwstr>
  </property>
  <property fmtid="{D5CDD505-2E9C-101B-9397-08002B2CF9AE}" pid="4" name="KSOTemplateDocerSaveRecord">
    <vt:lpwstr>eyJoZGlkIjoiYzI0M2Q5M2MxNDA3NjgzNDA3ZTk1NWFiNTY2NjBiYzMiLCJ1c2VySWQiOiIzNTEyNDA4MzAifQ==</vt:lpwstr>
  </property>
</Properties>
</file>