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61D" w:rsidRDefault="001E061D" w:rsidP="006903B3">
      <w:r>
        <w:rPr>
          <w:noProof/>
          <w:lang w:eastAsia="fr-FR"/>
        </w:rPr>
        <w:drawing>
          <wp:anchor distT="0" distB="0" distL="114300" distR="114300" simplePos="0" relativeHeight="251669504" behindDoc="0" locked="0" layoutInCell="1" allowOverlap="1">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061D" w:rsidRDefault="001E061D" w:rsidP="006903B3"/>
    <w:p w:rsidR="001E061D" w:rsidRDefault="001E061D" w:rsidP="006903B3"/>
    <w:p w:rsidR="00363C9F" w:rsidRDefault="00363C9F" w:rsidP="006903B3"/>
    <w:p w:rsidR="00363C9F" w:rsidRDefault="00363C9F" w:rsidP="006903B3"/>
    <w:p w:rsidR="001E061D" w:rsidRDefault="00997659" w:rsidP="006903B3">
      <w:r>
        <w:rPr>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left:0;text-align:left;margin-left:0;margin-top:25.55pt;width:522.4pt;height:51.35pt;z-index:251665408;visibility:visible;mso-position-horizontal:center;mso-position-horizontal-relative:margin;mso-width-relative:margin;mso-height-relative:margin;v-text-anchor:middle" adj="0" fillcolor="#2c2c2c" stroked="f" strokeweight="2pt">
            <v:textbox>
              <w:txbxContent>
                <w:p w:rsidR="00495046" w:rsidRPr="00783D8D" w:rsidRDefault="0099765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094A70">
                        <w:rPr>
                          <w:rFonts w:ascii="Conduit ITC Light" w:eastAsia="Adobe Song Std L" w:hAnsi="Conduit ITC Light" w:cstheme="minorHAnsi"/>
                          <w:color w:val="FFFFFF" w:themeColor="background1"/>
                          <w:sz w:val="54"/>
                          <w:szCs w:val="32"/>
                        </w:rPr>
                        <w:t>Portes Conteneurs</w:t>
                      </w:r>
                    </w:sdtContent>
                  </w:sdt>
                </w:p>
              </w:txbxContent>
            </v:textbox>
            <w10:wrap anchorx="margin"/>
          </v:shape>
        </w:pic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094A70" w:rsidRDefault="00094A70" w:rsidP="00DA05F8">
      <w:pPr>
        <w:pStyle w:val="Titre1"/>
      </w:pPr>
      <w:r>
        <w:lastRenderedPageBreak/>
        <w:t>Contexte</w:t>
      </w:r>
    </w:p>
    <w:p w:rsidR="00414191" w:rsidRPr="00414191" w:rsidRDefault="00414191" w:rsidP="00414191">
      <w:pPr>
        <w:jc w:val="center"/>
      </w:pPr>
      <w:r>
        <w:rPr>
          <w:noProof/>
        </w:rPr>
        <w:drawing>
          <wp:inline distT="0" distB="0" distL="0" distR="0">
            <wp:extent cx="3145923" cy="2038350"/>
            <wp:effectExtent l="152400" t="152400" r="340360" b="3429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343" cy="2041862"/>
                    </a:xfrm>
                    <a:prstGeom prst="rect">
                      <a:avLst/>
                    </a:prstGeom>
                    <a:ln>
                      <a:noFill/>
                    </a:ln>
                    <a:effectLst>
                      <a:outerShdw blurRad="292100" dist="139700" dir="2700000" algn="tl" rotWithShape="0">
                        <a:srgbClr val="333333">
                          <a:alpha val="65000"/>
                        </a:srgbClr>
                      </a:outerShdw>
                    </a:effectLst>
                  </pic:spPr>
                </pic:pic>
              </a:graphicData>
            </a:graphic>
          </wp:inline>
        </w:drawing>
      </w:r>
    </w:p>
    <w:p w:rsidR="00094A70" w:rsidRPr="00094A70" w:rsidRDefault="00094A70" w:rsidP="00094A70">
      <w:r>
        <w:t xml:space="preserve">Le transport maritime mondial passe aujourd’hui par les </w:t>
      </w:r>
      <w:hyperlink r:id="rId10" w:history="1">
        <w:r w:rsidR="0033215E">
          <w:rPr>
            <w:rStyle w:val="Lienhypertexte"/>
          </w:rPr>
          <w:t>conteneurs</w:t>
        </w:r>
      </w:hyperlink>
      <w:r>
        <w:t xml:space="preserve">, grosses boite d’acier de </w:t>
      </w:r>
      <w:r w:rsidR="00C44550">
        <w:t>6 à 12m</w:t>
      </w:r>
      <w:r>
        <w:t xml:space="preserve"> de long pour le modèle standard empilé sur des </w:t>
      </w:r>
      <w:hyperlink r:id="rId11" w:history="1">
        <w:r w:rsidRPr="00C44550">
          <w:rPr>
            <w:rStyle w:val="Lienhypertexte"/>
          </w:rPr>
          <w:t>navires</w:t>
        </w:r>
      </w:hyperlink>
      <w:r>
        <w:t xml:space="preserve"> qui </w:t>
      </w:r>
      <w:r w:rsidR="00681BC0">
        <w:t>desservent</w:t>
      </w:r>
      <w:r>
        <w:t xml:space="preserve"> tout les ports du monde. La plus longue ligne maritime relie </w:t>
      </w:r>
      <w:r w:rsidR="00681BC0">
        <w:t>B</w:t>
      </w:r>
      <w:r>
        <w:t>oston à San-</w:t>
      </w:r>
      <w:r w:rsidR="00681BC0">
        <w:t>Francisco</w:t>
      </w:r>
      <w:r>
        <w:t xml:space="preserve"> en passant par la </w:t>
      </w:r>
      <w:r w:rsidR="00681BC0">
        <w:t>Méditerranée, le canal de Suez, Singapour</w:t>
      </w:r>
      <w:r w:rsidR="00C44550">
        <w:t xml:space="preserve">, Taïwan </w:t>
      </w:r>
      <w:r w:rsidR="00681BC0">
        <w:t xml:space="preserve">et le Japon en moins de 15 semaines. </w:t>
      </w:r>
    </w:p>
    <w:p w:rsidR="00094A70" w:rsidRDefault="00681BC0" w:rsidP="00094A70">
      <w:r>
        <w:t>L’organisation du transport maritime se résume à associer</w:t>
      </w:r>
      <w:r w:rsidR="0033215E">
        <w:t xml:space="preserve"> des</w:t>
      </w:r>
      <w:r>
        <w:t xml:space="preserve"> conteneur</w:t>
      </w:r>
      <w:r w:rsidR="0033215E">
        <w:t>s</w:t>
      </w:r>
      <w:r>
        <w:t xml:space="preserve"> aux navires qui passent par les ports de destination et à empiler les conteneur dans le bon ordre. Rien de tel qu’une base de données relationnelle pour gérer tout ça !</w:t>
      </w:r>
    </w:p>
    <w:p w:rsidR="00094A70" w:rsidRPr="00094A70" w:rsidRDefault="00E268CF" w:rsidP="00094A70">
      <w:pPr>
        <w:pStyle w:val="Titre1"/>
      </w:pPr>
      <w:r>
        <w:t>Enoncé</w:t>
      </w:r>
    </w:p>
    <w:p w:rsidR="00A23020" w:rsidRDefault="0020578B" w:rsidP="00A23020">
      <w:r>
        <w:t xml:space="preserve">L'objectif de cet exercice est </w:t>
      </w:r>
      <w:r w:rsidR="00283963">
        <w:t xml:space="preserve">d'implémenter </w:t>
      </w:r>
      <w:r w:rsidR="00094A70">
        <w:t>une librairie d’accès à une base de données relationnelle</w:t>
      </w:r>
      <w:r w:rsidR="00283963">
        <w:t xml:space="preserve"> </w:t>
      </w:r>
      <w:r w:rsidR="0097747F">
        <w:t xml:space="preserve">(DAL) </w:t>
      </w:r>
      <w:r w:rsidR="00283963">
        <w:t>sous la forme de tests unitaires. Autrement dit : l'objectif de l'exercice est de faire passer en vert un jeu de tests.</w:t>
      </w:r>
    </w:p>
    <w:p w:rsidR="00283963" w:rsidRDefault="00283963" w:rsidP="00A23020">
      <w:r>
        <w:t>Vous disposez pour cela d'une solution comprenant 2 projets :</w:t>
      </w:r>
    </w:p>
    <w:p w:rsidR="00283963" w:rsidRDefault="00283963" w:rsidP="00283963">
      <w:pPr>
        <w:pStyle w:val="Paragraphedeliste"/>
        <w:numPr>
          <w:ilvl w:val="0"/>
          <w:numId w:val="3"/>
        </w:numPr>
      </w:pPr>
      <w:proofErr w:type="spellStart"/>
      <w:proofErr w:type="gramStart"/>
      <w:r>
        <w:t>ITI.</w:t>
      </w:r>
      <w:r w:rsidR="00094A70">
        <w:t>DataAccesLibrary</w:t>
      </w:r>
      <w:r>
        <w:t>.Tests</w:t>
      </w:r>
      <w:proofErr w:type="spellEnd"/>
      <w:proofErr w:type="gramEnd"/>
      <w:r>
        <w:t xml:space="preserve">, </w:t>
      </w:r>
      <w:r w:rsidR="009A29B2">
        <w:t xml:space="preserve">contient les </w:t>
      </w:r>
      <w:r>
        <w:t>tests unitaires</w:t>
      </w:r>
    </w:p>
    <w:p w:rsidR="00283963" w:rsidRDefault="00283963" w:rsidP="00283963">
      <w:pPr>
        <w:pStyle w:val="Paragraphedeliste"/>
        <w:numPr>
          <w:ilvl w:val="0"/>
          <w:numId w:val="3"/>
        </w:numPr>
      </w:pPr>
      <w:r>
        <w:t>ITI.</w:t>
      </w:r>
      <w:r w:rsidR="00094A70" w:rsidRPr="00094A70">
        <w:t xml:space="preserve"> </w:t>
      </w:r>
      <w:proofErr w:type="spellStart"/>
      <w:r w:rsidR="00094A70">
        <w:t>DataAccesLibrary</w:t>
      </w:r>
      <w:proofErr w:type="spellEnd"/>
      <w:r>
        <w:t>, une implémentation minimale d</w:t>
      </w:r>
      <w:r w:rsidR="00C61697">
        <w:t>u modèle</w:t>
      </w:r>
      <w:r>
        <w:t xml:space="preserve"> (le code écrit ne permet rien de plus que de pouvoir compiler sans erreur</w:t>
      </w:r>
      <w:r w:rsidR="00754BA6">
        <w:t>)</w:t>
      </w:r>
    </w:p>
    <w:p w:rsidR="00754BA6" w:rsidRDefault="001C25EB" w:rsidP="00754BA6">
      <w:r>
        <w:t xml:space="preserve">Pour faire tourner les tests unitaires il vous suffit </w:t>
      </w:r>
      <w:r w:rsidR="00EA5AF0">
        <w:t xml:space="preserve">d’utiliser le </w:t>
      </w:r>
      <w:r w:rsidR="00EA5AF0" w:rsidRPr="00EA5AF0">
        <w:rPr>
          <w:i/>
        </w:rPr>
        <w:t>Test Explorer</w:t>
      </w:r>
      <w:r w:rsidR="00EA5AF0">
        <w:t>.</w:t>
      </w:r>
    </w:p>
    <w:p w:rsidR="009A29B2" w:rsidRDefault="009A29B2" w:rsidP="009A29B2">
      <w:r>
        <w:t>Comme vous pouvez le constater, pour le moment, tous les tests sont rouges</w:t>
      </w:r>
      <w:r w:rsidR="00A10069">
        <w:t>.</w:t>
      </w:r>
    </w:p>
    <w:p w:rsidR="001B1F96" w:rsidRDefault="001B1F96" w:rsidP="001B1F96">
      <w:pPr>
        <w:jc w:val="center"/>
      </w:pPr>
      <w:r>
        <w:rPr>
          <w:noProof/>
        </w:rPr>
        <w:lastRenderedPageBreak/>
        <w:drawing>
          <wp:inline distT="0" distB="0" distL="0" distR="0" wp14:anchorId="5150FF02" wp14:editId="48F84AE2">
            <wp:extent cx="2724150" cy="1619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619250"/>
                    </a:xfrm>
                    <a:prstGeom prst="rect">
                      <a:avLst/>
                    </a:prstGeom>
                  </pic:spPr>
                </pic:pic>
              </a:graphicData>
            </a:graphic>
          </wp:inline>
        </w:drawing>
      </w:r>
    </w:p>
    <w:p w:rsidR="009A29B2" w:rsidRDefault="009A29B2" w:rsidP="009A29B2">
      <w:r>
        <w:t xml:space="preserve">Pour les autres tests, à vous de faire en sorte qu'ils passent en vert. Pour cela, vous avez le droit de faire ce que bon vous semble dans le projet </w:t>
      </w:r>
      <w:proofErr w:type="spellStart"/>
      <w:r>
        <w:t>ITI.</w:t>
      </w:r>
      <w:r w:rsidR="00094A70">
        <w:t>DataAccesLibrary</w:t>
      </w:r>
      <w:proofErr w:type="spellEnd"/>
      <w:r w:rsidR="00094A70">
        <w:t xml:space="preserve"> </w:t>
      </w:r>
      <w:r>
        <w:t xml:space="preserve">(modifier l'implémentation des méthodes, des propriétés ou des constructeurs, ajouter des membres </w:t>
      </w:r>
      <w:proofErr w:type="spellStart"/>
      <w:r w:rsidRPr="00EF2F72">
        <w:rPr>
          <w:i/>
        </w:rPr>
        <w:t>internal</w:t>
      </w:r>
      <w:proofErr w:type="spellEnd"/>
      <w:r>
        <w:t xml:space="preserve"> ou </w:t>
      </w:r>
      <w:proofErr w:type="spellStart"/>
      <w:r w:rsidRPr="00EF2F72">
        <w:rPr>
          <w:i/>
        </w:rPr>
        <w:t>private</w:t>
      </w:r>
      <w:proofErr w:type="spellEnd"/>
      <w:r>
        <w:t xml:space="preserve">, créer de nouveaux types </w:t>
      </w:r>
      <w:proofErr w:type="gramStart"/>
      <w:r>
        <w:t>etc...</w:t>
      </w:r>
      <w:proofErr w:type="gramEnd"/>
      <w:r>
        <w:t xml:space="preserve">) En revanche, vous ne devez pas modifier le projet </w:t>
      </w:r>
      <w:proofErr w:type="spellStart"/>
      <w:proofErr w:type="gramStart"/>
      <w:r>
        <w:t>ITI</w:t>
      </w:r>
      <w:r w:rsidR="00094A70">
        <w:t>.DataAccesLibrary</w:t>
      </w:r>
      <w:r>
        <w:t>.Tests</w:t>
      </w:r>
      <w:proofErr w:type="spellEnd"/>
      <w:proofErr w:type="gramEnd"/>
      <w:r>
        <w:t>.</w:t>
      </w:r>
    </w:p>
    <w:p w:rsidR="0097747F" w:rsidRDefault="0097747F" w:rsidP="00094A70">
      <w:pPr>
        <w:rPr>
          <w:rFonts w:eastAsia="Times New Roman"/>
          <w:color w:val="000000"/>
          <w:sz w:val="24"/>
          <w:szCs w:val="24"/>
        </w:rPr>
      </w:pPr>
      <w:r w:rsidRPr="0097747F">
        <w:rPr>
          <w:rFonts w:eastAsia="Times New Roman"/>
          <w:color w:val="000000"/>
          <w:sz w:val="24"/>
          <w:szCs w:val="24"/>
        </w:rPr>
        <w:t>La</w:t>
      </w:r>
      <w:r>
        <w:rPr>
          <w:rFonts w:eastAsia="Times New Roman"/>
          <w:color w:val="000000"/>
          <w:sz w:val="24"/>
          <w:szCs w:val="24"/>
        </w:rPr>
        <w:t xml:space="preserve"> librairie est composée de classes qui reflètent les éléments qu’elle récupère. Exemple </w:t>
      </w:r>
      <w:proofErr w:type="spellStart"/>
      <w:r>
        <w:rPr>
          <w:rFonts w:eastAsia="Times New Roman"/>
          <w:color w:val="000000"/>
          <w:sz w:val="24"/>
          <w:szCs w:val="24"/>
        </w:rPr>
        <w:t>HarborQueries</w:t>
      </w:r>
      <w:proofErr w:type="spellEnd"/>
      <w:r>
        <w:rPr>
          <w:rFonts w:eastAsia="Times New Roman"/>
          <w:color w:val="000000"/>
          <w:sz w:val="24"/>
          <w:szCs w:val="24"/>
        </w:rPr>
        <w:t xml:space="preserve"> gère les éléments de type Harbor, etc. Chacune de ces classes dérive de la classe abstraite </w:t>
      </w:r>
      <w:proofErr w:type="spellStart"/>
      <w:r>
        <w:rPr>
          <w:rFonts w:eastAsia="Times New Roman"/>
          <w:color w:val="000000"/>
          <w:sz w:val="24"/>
          <w:szCs w:val="24"/>
        </w:rPr>
        <w:t>Queries</w:t>
      </w:r>
      <w:proofErr w:type="spellEnd"/>
      <w:r>
        <w:rPr>
          <w:rFonts w:eastAsia="Times New Roman"/>
          <w:color w:val="000000"/>
          <w:sz w:val="24"/>
          <w:szCs w:val="24"/>
        </w:rPr>
        <w:t xml:space="preserve"> qui expose la propriété </w:t>
      </w:r>
      <w:proofErr w:type="spellStart"/>
      <w:r>
        <w:rPr>
          <w:rFonts w:eastAsia="Times New Roman"/>
          <w:color w:val="000000"/>
          <w:sz w:val="24"/>
          <w:szCs w:val="24"/>
        </w:rPr>
        <w:t>ConnexionString</w:t>
      </w:r>
      <w:proofErr w:type="spellEnd"/>
      <w:r>
        <w:rPr>
          <w:rFonts w:eastAsia="Times New Roman"/>
          <w:color w:val="000000"/>
          <w:sz w:val="24"/>
          <w:szCs w:val="24"/>
        </w:rPr>
        <w:t xml:space="preserve"> qui décrit le chemin vers la base </w:t>
      </w:r>
      <w:r w:rsidR="00A034B1">
        <w:rPr>
          <w:rFonts w:eastAsia="Times New Roman"/>
          <w:color w:val="000000"/>
          <w:sz w:val="24"/>
          <w:szCs w:val="24"/>
        </w:rPr>
        <w:t>SQLite</w:t>
      </w:r>
      <w:r>
        <w:rPr>
          <w:rFonts w:eastAsia="Times New Roman"/>
          <w:color w:val="000000"/>
          <w:sz w:val="24"/>
          <w:szCs w:val="24"/>
        </w:rPr>
        <w:t xml:space="preserve"> généré par les tests. C’est elle qui faudra </w:t>
      </w:r>
      <w:r w:rsidR="00BA1685">
        <w:rPr>
          <w:rFonts w:eastAsia="Times New Roman"/>
          <w:color w:val="000000"/>
          <w:sz w:val="24"/>
          <w:szCs w:val="24"/>
        </w:rPr>
        <w:t>appeler</w:t>
      </w:r>
      <w:r>
        <w:rPr>
          <w:rFonts w:eastAsia="Times New Roman"/>
          <w:color w:val="000000"/>
          <w:sz w:val="24"/>
          <w:szCs w:val="24"/>
        </w:rPr>
        <w:t xml:space="preserve"> pour instancier les connexion</w:t>
      </w:r>
      <w:r w:rsidR="00BA1685">
        <w:rPr>
          <w:rFonts w:eastAsia="Times New Roman"/>
          <w:color w:val="000000"/>
          <w:sz w:val="24"/>
          <w:szCs w:val="24"/>
        </w:rPr>
        <w:t>s</w:t>
      </w:r>
      <w:r>
        <w:rPr>
          <w:rFonts w:eastAsia="Times New Roman"/>
          <w:color w:val="000000"/>
          <w:sz w:val="24"/>
          <w:szCs w:val="24"/>
        </w:rPr>
        <w:t xml:space="preserve"> à SQLite.</w:t>
      </w:r>
    </w:p>
    <w:p w:rsidR="001B1F96" w:rsidRDefault="001B1F96" w:rsidP="00094A70">
      <w:pPr>
        <w:rPr>
          <w:rFonts w:eastAsia="Times New Roman"/>
          <w:color w:val="000000"/>
          <w:sz w:val="24"/>
          <w:szCs w:val="24"/>
        </w:rPr>
      </w:pPr>
      <w:r>
        <w:rPr>
          <w:rFonts w:eastAsia="Times New Roman"/>
          <w:color w:val="000000"/>
          <w:sz w:val="24"/>
          <w:szCs w:val="24"/>
        </w:rPr>
        <w:t xml:space="preserve">Toutes les requêtes sont décrites dans les classes de </w:t>
      </w:r>
      <w:proofErr w:type="spellStart"/>
      <w:r>
        <w:rPr>
          <w:rFonts w:eastAsia="Times New Roman"/>
          <w:color w:val="000000"/>
          <w:sz w:val="24"/>
          <w:szCs w:val="24"/>
        </w:rPr>
        <w:t>ITI.DataAccessLibrary</w:t>
      </w:r>
      <w:proofErr w:type="spellEnd"/>
      <w:r>
        <w:rPr>
          <w:rFonts w:eastAsia="Times New Roman"/>
          <w:color w:val="000000"/>
          <w:sz w:val="24"/>
          <w:szCs w:val="24"/>
        </w:rPr>
        <w:t>, les commentaires additionnels précisent au besoin les paramètres et la sortie. Vous pouvez choisir de charger en mémoire chaque table et d’effectuer toutes les opération dans la DAL ou d’écrire les requêtes spécifiques à chaque fois. Toutes les requêtes sont réalisables directement en SQL et ne nécessitent normalement pas de manipulation (Sort, LINQ supplémentaires).</w:t>
      </w:r>
    </w:p>
    <w:p w:rsidR="00414191" w:rsidRDefault="00414191">
      <w:pPr>
        <w:rPr>
          <w:rFonts w:asciiTheme="majorHAnsi" w:eastAsiaTheme="majorEastAsia" w:hAnsiTheme="majorHAnsi" w:cstheme="majorBidi"/>
          <w:bCs/>
          <w:color w:val="3A1144"/>
          <w:sz w:val="26"/>
          <w:szCs w:val="26"/>
        </w:rPr>
      </w:pPr>
      <w:r>
        <w:br w:type="page"/>
      </w:r>
    </w:p>
    <w:p w:rsidR="00094A70" w:rsidRDefault="00681BC0" w:rsidP="00681BC0">
      <w:pPr>
        <w:pStyle w:val="Titre2"/>
      </w:pPr>
      <w:r>
        <w:lastRenderedPageBreak/>
        <w:t>Structure de la base</w:t>
      </w:r>
    </w:p>
    <w:p w:rsidR="00681BC0" w:rsidRDefault="00681BC0" w:rsidP="00681BC0">
      <w:r>
        <w:t xml:space="preserve">Pour faciliter l’embarquement d’une base de </w:t>
      </w:r>
      <w:r w:rsidR="00C44550">
        <w:t>données</w:t>
      </w:r>
      <w:r>
        <w:t>, le choix s’est porté sur SQLite, une version allégé et portable de SQL. La base modélise 3 table liées entre elles. A chaque exécution des tests elle est regénéré de manière aléatoire et cohérente. Inutile donc de se baser sur son contenu. (</w:t>
      </w:r>
      <w:r w:rsidR="00C44550">
        <w:t>Qui</w:t>
      </w:r>
      <w:r>
        <w:t xml:space="preserve"> reste néanmoins accessible via une invite de commande</w:t>
      </w:r>
      <w:r w:rsidR="00C44550">
        <w:t>)</w:t>
      </w:r>
    </w:p>
    <w:p w:rsidR="00C44550" w:rsidRDefault="00C44550" w:rsidP="00C44550">
      <w:pPr>
        <w:rPr>
          <w:rFonts w:eastAsia="Times New Roman"/>
          <w:color w:val="000000"/>
          <w:sz w:val="24"/>
          <w:szCs w:val="24"/>
        </w:rPr>
      </w:pPr>
      <w:r>
        <w:rPr>
          <w:rFonts w:eastAsia="Times New Roman"/>
          <w:color w:val="000000"/>
          <w:sz w:val="24"/>
          <w:szCs w:val="24"/>
        </w:rPr>
        <w:t xml:space="preserve">Les ports (Harbor) sont modélisés simplement avec un id, un nom, un pays et une position (Latitude/Longitude) </w:t>
      </w:r>
    </w:p>
    <w:p w:rsidR="009061E6" w:rsidRDefault="00C44550" w:rsidP="009061E6">
      <w:pPr>
        <w:rPr>
          <w:rFonts w:eastAsia="Times New Roman"/>
          <w:color w:val="000000"/>
          <w:sz w:val="24"/>
          <w:szCs w:val="24"/>
        </w:rPr>
      </w:pPr>
      <w:r>
        <w:rPr>
          <w:rFonts w:eastAsia="Times New Roman"/>
          <w:color w:val="000000"/>
          <w:sz w:val="24"/>
          <w:szCs w:val="24"/>
        </w:rPr>
        <w:t>Les navires (</w:t>
      </w:r>
      <w:proofErr w:type="spellStart"/>
      <w:r>
        <w:rPr>
          <w:rFonts w:eastAsia="Times New Roman"/>
          <w:color w:val="000000"/>
          <w:sz w:val="24"/>
          <w:szCs w:val="24"/>
        </w:rPr>
        <w:t>ContainerShip</w:t>
      </w:r>
      <w:proofErr w:type="spellEnd"/>
      <w:r>
        <w:rPr>
          <w:rFonts w:eastAsia="Times New Roman"/>
          <w:color w:val="000000"/>
          <w:sz w:val="24"/>
          <w:szCs w:val="24"/>
        </w:rPr>
        <w:t xml:space="preserve">) sont modélisés par </w:t>
      </w:r>
      <w:r w:rsidR="009061E6">
        <w:rPr>
          <w:rFonts w:eastAsia="Times New Roman"/>
          <w:color w:val="000000"/>
          <w:sz w:val="24"/>
          <w:szCs w:val="24"/>
        </w:rPr>
        <w:t xml:space="preserve">un id, </w:t>
      </w:r>
      <w:r>
        <w:rPr>
          <w:rFonts w:eastAsia="Times New Roman"/>
          <w:color w:val="000000"/>
          <w:sz w:val="24"/>
          <w:szCs w:val="24"/>
        </w:rPr>
        <w:t>un code ATIS (</w:t>
      </w:r>
      <w:proofErr w:type="spellStart"/>
      <w:r>
        <w:rPr>
          <w:rFonts w:eastAsia="Times New Roman"/>
          <w:color w:val="000000"/>
          <w:sz w:val="24"/>
          <w:szCs w:val="24"/>
        </w:rPr>
        <w:t>Guid</w:t>
      </w:r>
      <w:proofErr w:type="spellEnd"/>
      <w:r>
        <w:rPr>
          <w:rFonts w:eastAsia="Times New Roman"/>
          <w:color w:val="000000"/>
          <w:sz w:val="24"/>
          <w:szCs w:val="24"/>
        </w:rPr>
        <w:t xml:space="preserve">), le nom, le port d’origine et de destination </w:t>
      </w:r>
      <w:r w:rsidR="009061E6">
        <w:rPr>
          <w:rFonts w:eastAsia="Times New Roman"/>
          <w:color w:val="000000"/>
          <w:sz w:val="24"/>
          <w:szCs w:val="24"/>
        </w:rPr>
        <w:t xml:space="preserve">(relation un à plusieurs depuis les ports), la date de départ et d’arrivée (Au format supporté par </w:t>
      </w:r>
      <w:proofErr w:type="spellStart"/>
      <w:r w:rsidR="009061E6">
        <w:rPr>
          <w:rFonts w:eastAsia="Times New Roman"/>
          <w:color w:val="000000"/>
          <w:sz w:val="24"/>
          <w:szCs w:val="24"/>
        </w:rPr>
        <w:t>SQLlite</w:t>
      </w:r>
      <w:proofErr w:type="spellEnd"/>
      <w:r w:rsidR="009061E6">
        <w:rPr>
          <w:rFonts w:eastAsia="Times New Roman"/>
          <w:color w:val="000000"/>
          <w:sz w:val="24"/>
          <w:szCs w:val="24"/>
        </w:rPr>
        <w:t xml:space="preserve">), du nombre de membre d’équipage, de la charge (en Tonnes) et la vitesse maximale du navire (en nœuds nautiques). Enfin 3 valeurs définissent le nombre de conteneur à bord. Par convention </w:t>
      </w:r>
      <w:r w:rsidR="009061E6" w:rsidRPr="009061E6">
        <w:rPr>
          <w:rFonts w:eastAsia="Times New Roman"/>
          <w:color w:val="000000"/>
          <w:sz w:val="24"/>
          <w:szCs w:val="24"/>
        </w:rPr>
        <w:t>la largeur (</w:t>
      </w:r>
      <w:proofErr w:type="spellStart"/>
      <w:r w:rsidR="009061E6" w:rsidRPr="009061E6">
        <w:rPr>
          <w:rFonts w:eastAsia="Times New Roman"/>
          <w:color w:val="000000"/>
          <w:sz w:val="24"/>
          <w:szCs w:val="24"/>
        </w:rPr>
        <w:t>width</w:t>
      </w:r>
      <w:proofErr w:type="spellEnd"/>
      <w:r w:rsidR="009061E6" w:rsidRPr="009061E6">
        <w:rPr>
          <w:rFonts w:eastAsia="Times New Roman"/>
          <w:color w:val="000000"/>
          <w:sz w:val="24"/>
          <w:szCs w:val="24"/>
        </w:rPr>
        <w:t xml:space="preserve">) </w:t>
      </w:r>
      <w:r w:rsidR="009061E6">
        <w:rPr>
          <w:rFonts w:eastAsia="Times New Roman"/>
          <w:color w:val="000000"/>
          <w:sz w:val="24"/>
          <w:szCs w:val="24"/>
        </w:rPr>
        <w:t>comme axe</w:t>
      </w:r>
      <w:r w:rsidR="009061E6" w:rsidRPr="009061E6">
        <w:rPr>
          <w:rFonts w:eastAsia="Times New Roman"/>
          <w:color w:val="000000"/>
          <w:sz w:val="24"/>
          <w:szCs w:val="24"/>
        </w:rPr>
        <w:t xml:space="preserve"> X</w:t>
      </w:r>
      <w:r w:rsidR="009061E6">
        <w:rPr>
          <w:rFonts w:eastAsia="Times New Roman"/>
          <w:color w:val="000000"/>
          <w:sz w:val="24"/>
          <w:szCs w:val="24"/>
        </w:rPr>
        <w:t>, la hauteur (</w:t>
      </w:r>
      <w:proofErr w:type="spellStart"/>
      <w:r w:rsidR="009061E6" w:rsidRPr="009061E6">
        <w:rPr>
          <w:rFonts w:eastAsia="Times New Roman"/>
          <w:color w:val="000000"/>
          <w:sz w:val="24"/>
          <w:szCs w:val="24"/>
        </w:rPr>
        <w:t>height</w:t>
      </w:r>
      <w:proofErr w:type="spellEnd"/>
      <w:r w:rsidR="009061E6">
        <w:rPr>
          <w:rFonts w:eastAsia="Times New Roman"/>
          <w:color w:val="000000"/>
          <w:sz w:val="24"/>
          <w:szCs w:val="24"/>
        </w:rPr>
        <w:t>) comme axe</w:t>
      </w:r>
      <w:r w:rsidR="009061E6" w:rsidRPr="009061E6">
        <w:rPr>
          <w:rFonts w:eastAsia="Times New Roman"/>
          <w:color w:val="000000"/>
          <w:sz w:val="24"/>
          <w:szCs w:val="24"/>
        </w:rPr>
        <w:t xml:space="preserve"> Y </w:t>
      </w:r>
      <w:r w:rsidR="009061E6">
        <w:rPr>
          <w:rFonts w:eastAsia="Times New Roman"/>
          <w:color w:val="000000"/>
          <w:sz w:val="24"/>
          <w:szCs w:val="24"/>
        </w:rPr>
        <w:t>et la longueur (</w:t>
      </w:r>
      <w:proofErr w:type="spellStart"/>
      <w:r w:rsidR="009061E6">
        <w:rPr>
          <w:rFonts w:eastAsia="Times New Roman"/>
          <w:color w:val="000000"/>
          <w:sz w:val="24"/>
          <w:szCs w:val="24"/>
        </w:rPr>
        <w:t>length</w:t>
      </w:r>
      <w:proofErr w:type="spellEnd"/>
      <w:r w:rsidR="009061E6">
        <w:rPr>
          <w:rFonts w:eastAsia="Times New Roman"/>
          <w:color w:val="000000"/>
          <w:sz w:val="24"/>
          <w:szCs w:val="24"/>
        </w:rPr>
        <w:t>) comme axe Z.</w:t>
      </w:r>
    </w:p>
    <w:p w:rsidR="00FC1799" w:rsidRDefault="00FC1799" w:rsidP="00FC1799">
      <w:pPr>
        <w:jc w:val="center"/>
        <w:rPr>
          <w:rFonts w:eastAsia="Times New Roman"/>
          <w:color w:val="000000"/>
          <w:sz w:val="24"/>
          <w:szCs w:val="24"/>
        </w:rPr>
      </w:pPr>
      <w:r>
        <w:rPr>
          <w:rFonts w:eastAsia="Times New Roman"/>
          <w:noProof/>
          <w:color w:val="000000"/>
          <w:sz w:val="24"/>
          <w:szCs w:val="24"/>
        </w:rPr>
        <w:drawing>
          <wp:inline distT="0" distB="0" distL="0" distR="0">
            <wp:extent cx="4305300" cy="28155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9088" cy="2818030"/>
                    </a:xfrm>
                    <a:prstGeom prst="rect">
                      <a:avLst/>
                    </a:prstGeom>
                    <a:noFill/>
                    <a:ln>
                      <a:noFill/>
                    </a:ln>
                  </pic:spPr>
                </pic:pic>
              </a:graphicData>
            </a:graphic>
          </wp:inline>
        </w:drawing>
      </w:r>
    </w:p>
    <w:p w:rsidR="009061E6" w:rsidRPr="009061E6" w:rsidRDefault="009061E6" w:rsidP="009061E6">
      <w:pPr>
        <w:rPr>
          <w:rFonts w:eastAsia="Times New Roman"/>
          <w:color w:val="000000"/>
          <w:sz w:val="24"/>
          <w:szCs w:val="24"/>
        </w:rPr>
      </w:pPr>
      <w:r>
        <w:rPr>
          <w:rFonts w:eastAsia="Times New Roman"/>
          <w:color w:val="000000"/>
          <w:sz w:val="24"/>
          <w:szCs w:val="24"/>
        </w:rPr>
        <w:t>Les conteneurs (Container) sont modélisés par un id, un code de référence (</w:t>
      </w:r>
      <w:proofErr w:type="spellStart"/>
      <w:r>
        <w:rPr>
          <w:rFonts w:eastAsia="Times New Roman"/>
          <w:color w:val="000000"/>
          <w:sz w:val="24"/>
          <w:szCs w:val="24"/>
        </w:rPr>
        <w:t>Guid</w:t>
      </w:r>
      <w:proofErr w:type="spellEnd"/>
      <w:r>
        <w:rPr>
          <w:rFonts w:eastAsia="Times New Roman"/>
          <w:color w:val="000000"/>
          <w:sz w:val="24"/>
          <w:szCs w:val="24"/>
        </w:rPr>
        <w:t>), un contenu, le navire qui les transporte (relation un à plusieurs depuis les navires), l’origine et la destination (relation un à plusieurs depuis les ports), si le conteneur à un toit ouvert (il est donc forcément au sommet des piles), sa masse à vide, sa charge maximale et enfin sa position dans le navire (</w:t>
      </w:r>
      <w:proofErr w:type="spellStart"/>
      <w:r>
        <w:rPr>
          <w:rFonts w:eastAsia="Times New Roman"/>
          <w:color w:val="000000"/>
          <w:sz w:val="24"/>
          <w:szCs w:val="24"/>
        </w:rPr>
        <w:t>cf</w:t>
      </w:r>
      <w:proofErr w:type="spellEnd"/>
      <w:r>
        <w:rPr>
          <w:rFonts w:eastAsia="Times New Roman"/>
          <w:color w:val="000000"/>
          <w:sz w:val="24"/>
          <w:szCs w:val="24"/>
        </w:rPr>
        <w:t> : convention plus haut).</w:t>
      </w:r>
    </w:p>
    <w:p w:rsidR="00C44550" w:rsidRDefault="009061E6" w:rsidP="00681BC0">
      <w:r w:rsidRPr="009061E6">
        <w:rPr>
          <w:noProof/>
        </w:rPr>
        <w:lastRenderedPageBreak/>
        <w:drawing>
          <wp:inline distT="0" distB="0" distL="0" distR="0">
            <wp:extent cx="5760720" cy="50787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078730"/>
                    </a:xfrm>
                    <a:prstGeom prst="rect">
                      <a:avLst/>
                    </a:prstGeom>
                    <a:noFill/>
                    <a:ln>
                      <a:noFill/>
                    </a:ln>
                  </pic:spPr>
                </pic:pic>
              </a:graphicData>
            </a:graphic>
          </wp:inline>
        </w:drawing>
      </w:r>
    </w:p>
    <w:p w:rsidR="00C44550" w:rsidRPr="00681BC0" w:rsidRDefault="00C44550" w:rsidP="00C44550">
      <w:pPr>
        <w:pStyle w:val="Titre2"/>
      </w:pPr>
      <w:r>
        <w:t>Fonctionnalités attendues</w:t>
      </w:r>
    </w:p>
    <w:p w:rsidR="003B44AF" w:rsidRDefault="003B44AF" w:rsidP="009A29B2">
      <w:r>
        <w:t>Les tests u</w:t>
      </w:r>
      <w:r w:rsidR="00152B6B">
        <w:t>nitaires sont là pour spécifier</w:t>
      </w:r>
      <w:r>
        <w:t xml:space="preserve"> de façon détaillée les fonctionnalités attendues. Cependant voici une courte description de ce qui est attendu :</w:t>
      </w:r>
    </w:p>
    <w:p w:rsidR="001C221F" w:rsidRPr="00A37086" w:rsidRDefault="001C221F" w:rsidP="003B44AF">
      <w:pPr>
        <w:pStyle w:val="Paragraphedeliste"/>
        <w:numPr>
          <w:ilvl w:val="0"/>
          <w:numId w:val="4"/>
        </w:numPr>
      </w:pPr>
      <w:r w:rsidRPr="00A37086">
        <w:t>Port</w:t>
      </w:r>
    </w:p>
    <w:p w:rsidR="00C61697" w:rsidRPr="00A37086" w:rsidRDefault="001C221F" w:rsidP="001C221F">
      <w:pPr>
        <w:pStyle w:val="Paragraphedeliste"/>
        <w:numPr>
          <w:ilvl w:val="1"/>
          <w:numId w:val="4"/>
        </w:numPr>
      </w:pPr>
      <w:r w:rsidRPr="00A37086">
        <w:t>On peut créer des ports</w:t>
      </w:r>
      <w:r w:rsidR="00C61697" w:rsidRPr="00A37086">
        <w:t>.</w:t>
      </w:r>
    </w:p>
    <w:p w:rsidR="001C221F" w:rsidRPr="00A37086" w:rsidRDefault="001C221F" w:rsidP="001C221F">
      <w:pPr>
        <w:pStyle w:val="Paragraphedeliste"/>
        <w:numPr>
          <w:ilvl w:val="1"/>
          <w:numId w:val="4"/>
        </w:numPr>
      </w:pPr>
      <w:r w:rsidRPr="00A37086">
        <w:t>On peut récupérer tous les ports.</w:t>
      </w:r>
    </w:p>
    <w:p w:rsidR="001C221F" w:rsidRPr="00A37086" w:rsidRDefault="001C221F" w:rsidP="001C221F">
      <w:pPr>
        <w:pStyle w:val="Paragraphedeliste"/>
        <w:numPr>
          <w:ilvl w:val="1"/>
          <w:numId w:val="4"/>
        </w:numPr>
      </w:pPr>
      <w:r w:rsidRPr="00A37086">
        <w:t>On peut récupérer tout les ports triés par pays</w:t>
      </w:r>
    </w:p>
    <w:p w:rsidR="001C221F" w:rsidRPr="00A37086" w:rsidRDefault="001C221F" w:rsidP="001C221F">
      <w:pPr>
        <w:pStyle w:val="Paragraphedeliste"/>
        <w:numPr>
          <w:ilvl w:val="1"/>
          <w:numId w:val="4"/>
        </w:numPr>
        <w:rPr>
          <w:highlight w:val="yellow"/>
        </w:rPr>
      </w:pPr>
      <w:r w:rsidRPr="00A37086">
        <w:rPr>
          <w:highlight w:val="yellow"/>
        </w:rPr>
        <w:t>On peut</w:t>
      </w:r>
      <w:r w:rsidR="00A37086" w:rsidRPr="00A37086">
        <w:rPr>
          <w:highlight w:val="yellow"/>
        </w:rPr>
        <w:t xml:space="preserve"> connaitre le nombre de port par pays</w:t>
      </w:r>
    </w:p>
    <w:p w:rsidR="001C221F" w:rsidRPr="00A37086" w:rsidRDefault="001C221F" w:rsidP="003B44AF">
      <w:pPr>
        <w:pStyle w:val="Paragraphedeliste"/>
        <w:numPr>
          <w:ilvl w:val="0"/>
          <w:numId w:val="4"/>
        </w:numPr>
      </w:pPr>
      <w:r w:rsidRPr="00A37086">
        <w:t>Bateaux</w:t>
      </w:r>
    </w:p>
    <w:p w:rsidR="001C221F" w:rsidRPr="00A37086" w:rsidRDefault="001C221F" w:rsidP="001C221F">
      <w:pPr>
        <w:pStyle w:val="Paragraphedeliste"/>
        <w:numPr>
          <w:ilvl w:val="1"/>
          <w:numId w:val="4"/>
        </w:numPr>
      </w:pPr>
      <w:r w:rsidRPr="00A37086">
        <w:t>On peut créer un bateau</w:t>
      </w:r>
    </w:p>
    <w:p w:rsidR="001C221F" w:rsidRPr="00A37086" w:rsidRDefault="001C221F" w:rsidP="001C221F">
      <w:pPr>
        <w:pStyle w:val="Paragraphedeliste"/>
        <w:numPr>
          <w:ilvl w:val="1"/>
          <w:numId w:val="4"/>
        </w:numPr>
      </w:pPr>
      <w:r w:rsidRPr="00A37086">
        <w:t xml:space="preserve">On peut </w:t>
      </w:r>
      <w:r w:rsidRPr="00A37086">
        <w:t>supprimer</w:t>
      </w:r>
      <w:r w:rsidRPr="00A37086">
        <w:t xml:space="preserve"> un bateau</w:t>
      </w:r>
    </w:p>
    <w:p w:rsidR="001C221F" w:rsidRPr="00A37086" w:rsidRDefault="001C221F" w:rsidP="001C221F">
      <w:pPr>
        <w:pStyle w:val="Paragraphedeliste"/>
        <w:numPr>
          <w:ilvl w:val="1"/>
          <w:numId w:val="4"/>
        </w:numPr>
      </w:pPr>
      <w:r w:rsidRPr="00A37086">
        <w:t>On peut récupérer tous les bateaux</w:t>
      </w:r>
    </w:p>
    <w:p w:rsidR="001C221F" w:rsidRPr="00A37086" w:rsidRDefault="001C221F" w:rsidP="001C221F">
      <w:pPr>
        <w:pStyle w:val="Paragraphedeliste"/>
        <w:numPr>
          <w:ilvl w:val="1"/>
          <w:numId w:val="4"/>
        </w:numPr>
      </w:pPr>
      <w:r w:rsidRPr="00A37086">
        <w:t>On peut récupérer tou</w:t>
      </w:r>
      <w:r w:rsidRPr="00A37086">
        <w:t>s</w:t>
      </w:r>
      <w:r w:rsidRPr="00A37086">
        <w:t xml:space="preserve"> les bateaux</w:t>
      </w:r>
      <w:r w:rsidRPr="00A37086">
        <w:t xml:space="preserve"> </w:t>
      </w:r>
      <w:r w:rsidRPr="00A37086">
        <w:t xml:space="preserve">triés par </w:t>
      </w:r>
      <w:r w:rsidRPr="00A37086">
        <w:t>équipage</w:t>
      </w:r>
    </w:p>
    <w:p w:rsidR="001C221F" w:rsidRPr="00A37086" w:rsidRDefault="001C221F" w:rsidP="001C221F">
      <w:pPr>
        <w:pStyle w:val="Paragraphedeliste"/>
        <w:numPr>
          <w:ilvl w:val="1"/>
          <w:numId w:val="4"/>
        </w:numPr>
      </w:pPr>
      <w:r w:rsidRPr="00A37086">
        <w:t xml:space="preserve">On peut récupérer tous les bateaux triés par </w:t>
      </w:r>
      <w:r w:rsidRPr="00A37086">
        <w:t>date de départ</w:t>
      </w:r>
    </w:p>
    <w:p w:rsidR="001C221F" w:rsidRPr="00A37086" w:rsidRDefault="001C221F" w:rsidP="001C221F">
      <w:pPr>
        <w:pStyle w:val="Paragraphedeliste"/>
        <w:numPr>
          <w:ilvl w:val="1"/>
          <w:numId w:val="4"/>
        </w:numPr>
      </w:pPr>
      <w:r w:rsidRPr="00A37086">
        <w:t xml:space="preserve">On peut récupérer tous les bateaux triés par </w:t>
      </w:r>
      <w:r w:rsidRPr="00A37086">
        <w:t>capacité</w:t>
      </w:r>
    </w:p>
    <w:p w:rsidR="001C221F" w:rsidRDefault="001C221F" w:rsidP="001C221F">
      <w:pPr>
        <w:pStyle w:val="Paragraphedeliste"/>
        <w:numPr>
          <w:ilvl w:val="1"/>
          <w:numId w:val="4"/>
        </w:numPr>
      </w:pPr>
      <w:r w:rsidRPr="00A37086">
        <w:t>On peut récupérer tous les bateaux qui sont vides</w:t>
      </w:r>
    </w:p>
    <w:p w:rsidR="00A37086" w:rsidRDefault="00A37086" w:rsidP="001C221F">
      <w:pPr>
        <w:pStyle w:val="Paragraphedeliste"/>
        <w:numPr>
          <w:ilvl w:val="1"/>
          <w:numId w:val="4"/>
        </w:numPr>
        <w:rPr>
          <w:highlight w:val="yellow"/>
        </w:rPr>
      </w:pPr>
      <w:r w:rsidRPr="00D4086C">
        <w:rPr>
          <w:highlight w:val="yellow"/>
        </w:rPr>
        <w:t>On peut récupérer tous les bateaux qui transportent un contenu spécifique</w:t>
      </w:r>
    </w:p>
    <w:p w:rsidR="00D4086C" w:rsidRDefault="00D4086C" w:rsidP="00D4086C">
      <w:pPr>
        <w:pStyle w:val="Paragraphedeliste"/>
        <w:numPr>
          <w:ilvl w:val="0"/>
          <w:numId w:val="4"/>
        </w:numPr>
        <w:rPr>
          <w:highlight w:val="yellow"/>
        </w:rPr>
      </w:pPr>
      <w:r>
        <w:rPr>
          <w:highlight w:val="yellow"/>
        </w:rPr>
        <w:t>Conteneurs</w:t>
      </w:r>
    </w:p>
    <w:p w:rsidR="00D4086C" w:rsidRPr="00D4086C" w:rsidRDefault="00D4086C" w:rsidP="00D4086C">
      <w:pPr>
        <w:pStyle w:val="Paragraphedeliste"/>
        <w:numPr>
          <w:ilvl w:val="1"/>
          <w:numId w:val="4"/>
        </w:numPr>
        <w:rPr>
          <w:highlight w:val="yellow"/>
        </w:rPr>
      </w:pPr>
      <w:bookmarkStart w:id="0" w:name="_GoBack"/>
      <w:bookmarkEnd w:id="0"/>
    </w:p>
    <w:p w:rsidR="009A29B2" w:rsidRDefault="009A29B2" w:rsidP="0045645A">
      <w:r w:rsidRPr="00015D87">
        <w:t xml:space="preserve">Il y a </w:t>
      </w:r>
      <w:r w:rsidR="00015D87" w:rsidRPr="00015D87">
        <w:rPr>
          <w:highlight w:val="yellow"/>
        </w:rPr>
        <w:t>N</w:t>
      </w:r>
      <w:r w:rsidRPr="00015D87">
        <w:t xml:space="preserve"> tests à passer au vert :</w:t>
      </w:r>
    </w:p>
    <w:p w:rsidR="001C221F" w:rsidRDefault="001C221F" w:rsidP="0045645A">
      <w:r>
        <w:rPr>
          <w:noProof/>
        </w:rPr>
        <w:drawing>
          <wp:inline distT="0" distB="0" distL="0" distR="0" wp14:anchorId="0E8FD33B" wp14:editId="2E5AF304">
            <wp:extent cx="2724150" cy="1619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619250"/>
                    </a:xfrm>
                    <a:prstGeom prst="rect">
                      <a:avLst/>
                    </a:prstGeom>
                  </pic:spPr>
                </pic:pic>
              </a:graphicData>
            </a:graphic>
          </wp:inline>
        </w:drawing>
      </w:r>
    </w:p>
    <w:p w:rsidR="009A29B2" w:rsidRDefault="00094A70" w:rsidP="0045645A">
      <w:pPr>
        <w:rPr>
          <w:noProof/>
          <w:lang w:eastAsia="fr-FR"/>
        </w:rPr>
      </w:pPr>
      <w:r>
        <w:rPr>
          <w:noProof/>
          <w:lang w:eastAsia="fr-FR"/>
        </w:rPr>
        <w:t>SCREEN TESTS</w:t>
      </w:r>
    </w:p>
    <w:p w:rsidR="00094A70" w:rsidRDefault="00094A70" w:rsidP="00094A70">
      <w:pPr>
        <w:pStyle w:val="Titre1"/>
        <w:rPr>
          <w:noProof/>
          <w:lang w:eastAsia="fr-FR"/>
        </w:rPr>
      </w:pPr>
      <w:r>
        <w:rPr>
          <w:noProof/>
          <w:lang w:eastAsia="fr-FR"/>
        </w:rPr>
        <w:t>Ressources</w:t>
      </w:r>
    </w:p>
    <w:p w:rsidR="00094A70" w:rsidRDefault="00997659" w:rsidP="00094A70">
      <w:pPr>
        <w:rPr>
          <w:rStyle w:val="Lienhypertexte"/>
          <w:lang w:eastAsia="fr-FR"/>
        </w:rPr>
      </w:pPr>
      <w:hyperlink r:id="rId15" w:history="1">
        <w:r w:rsidR="00094A70" w:rsidRPr="002F3868">
          <w:rPr>
            <w:rStyle w:val="Lienhypertexte"/>
            <w:lang w:eastAsia="fr-FR"/>
          </w:rPr>
          <w:t>https://www.sqlite.org</w:t>
        </w:r>
      </w:hyperlink>
    </w:p>
    <w:p w:rsidR="00A10069" w:rsidRDefault="00997659" w:rsidP="00094A70">
      <w:pPr>
        <w:rPr>
          <w:lang w:eastAsia="fr-FR"/>
        </w:rPr>
      </w:pPr>
      <w:hyperlink r:id="rId16" w:history="1">
        <w:r w:rsidR="00A10069" w:rsidRPr="00B2306E">
          <w:rPr>
            <w:rStyle w:val="Lienhypertexte"/>
            <w:lang w:eastAsia="fr-FR"/>
          </w:rPr>
          <w:t>https://system.data.sqlite.org/index.html/doc/trunk/www/index.wiki</w:t>
        </w:r>
      </w:hyperlink>
    </w:p>
    <w:p w:rsidR="00A10069" w:rsidRPr="00094A70" w:rsidRDefault="00A10069" w:rsidP="00094A70">
      <w:pPr>
        <w:rPr>
          <w:lang w:eastAsia="fr-FR"/>
        </w:rPr>
      </w:pPr>
    </w:p>
    <w:p w:rsidR="009A29B2" w:rsidRDefault="009A29B2" w:rsidP="0045645A">
      <w:r>
        <w:t>Au boulot !</w:t>
      </w:r>
    </w:p>
    <w:p w:rsidR="009A29B2" w:rsidRPr="00A23020" w:rsidRDefault="009A29B2" w:rsidP="0045645A"/>
    <w:sectPr w:rsidR="009A29B2" w:rsidRPr="00A23020" w:rsidSect="001E061D">
      <w:headerReference w:type="default" r:id="rId17"/>
      <w:footerReference w:type="default" r:id="rId18"/>
      <w:footerReference w:type="first" r:id="rId19"/>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659" w:rsidRDefault="00997659" w:rsidP="00490BDC">
      <w:pPr>
        <w:spacing w:after="0" w:line="240" w:lineRule="auto"/>
      </w:pPr>
      <w:r>
        <w:separator/>
      </w:r>
    </w:p>
  </w:endnote>
  <w:endnote w:type="continuationSeparator" w:id="0">
    <w:p w:rsidR="00997659" w:rsidRDefault="00997659"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997659">
      <w:rPr>
        <w:rFonts w:ascii="Conduit ITC Light" w:hAnsi="Conduit ITC Light"/>
        <w:noProof/>
        <w:color w:val="FFFFFF" w:themeColor="background1"/>
        <w:sz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left:0;text-align:left;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015D87">
                  <w:rPr>
                    <w:rFonts w:ascii="Conduit ITC Light" w:hAnsi="Conduit ITC Light"/>
                    <w:noProof/>
                    <w:sz w:val="16"/>
                    <w:szCs w:val="16"/>
                  </w:rPr>
                  <w:t>11/09/2019</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B0DB2">
                      <w:rPr>
                        <w:rFonts w:ascii="Conduit ITC Light" w:hAnsi="Conduit ITC Light"/>
                        <w:sz w:val="16"/>
                        <w:szCs w:val="16"/>
                      </w:rPr>
                      <w:t>Antoine</w:t>
                    </w:r>
                    <w:r w:rsidR="00970741">
                      <w:rPr>
                        <w:rFonts w:ascii="Conduit ITC Light" w:hAnsi="Conduit ITC Light"/>
                        <w:sz w:val="16"/>
                        <w:szCs w:val="16"/>
                      </w:rPr>
                      <w:t xml:space="preserve"> </w:t>
                    </w:r>
                    <w:proofErr w:type="spellStart"/>
                    <w:r w:rsidR="00970741">
                      <w:rPr>
                        <w:rFonts w:ascii="Conduit ITC Light" w:hAnsi="Conduit ITC Light"/>
                        <w:sz w:val="16"/>
                        <w:szCs w:val="16"/>
                      </w:rPr>
                      <w:t>Raquillet</w:t>
                    </w:r>
                    <w:proofErr w:type="spellEnd"/>
                  </w:sdtContent>
                </w:sdt>
              </w:p>
            </w:txbxContent>
          </v:textbox>
        </v:shape>
      </w:pict>
    </w:r>
    <w:r w:rsidR="00997659">
      <w:rPr>
        <w:rFonts w:ascii="Conduit ITC Light" w:hAnsi="Conduit ITC Light"/>
        <w:noProof/>
        <w:color w:val="FFFFFF" w:themeColor="background1"/>
        <w:sz w:val="24"/>
        <w:lang w:val="en-US"/>
      </w:rPr>
      <w:pict>
        <v:shape id="Parallélogramme 20" o:spid="_x0000_s2049" type="#_x0000_t7" style="position:absolute;left:0;text-align:left;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451C4">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9451C4" w:rsidRPr="009451C4">
                    <w:rPr>
                      <w:rFonts w:ascii="Conduit ITC Light" w:hAnsi="Conduit ITC Light"/>
                      <w:b/>
                      <w:noProof/>
                      <w:sz w:val="24"/>
                    </w:rPr>
                    <w:t>3</w:t>
                  </w:r>
                </w:fldSimple>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659" w:rsidRDefault="00997659" w:rsidP="00490BDC">
      <w:pPr>
        <w:spacing w:after="0" w:line="240" w:lineRule="auto"/>
      </w:pPr>
      <w:r>
        <w:separator/>
      </w:r>
    </w:p>
  </w:footnote>
  <w:footnote w:type="continuationSeparator" w:id="0">
    <w:p w:rsidR="00997659" w:rsidRDefault="00997659"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E8" w:rsidRPr="006F3C3E" w:rsidRDefault="001E061D" w:rsidP="00EB34E8">
    <w:pPr>
      <w:pStyle w:val="En-tte"/>
      <w:rPr>
        <w:rFonts w:ascii="Conduit ITC Light" w:hAnsi="Conduit ITC Light"/>
        <w:color w:val="464B4C"/>
      </w:rPr>
    </w:pPr>
    <w:proofErr w:type="spellStart"/>
    <w:r>
      <w:rPr>
        <w:rFonts w:ascii="Conduit ITC Light" w:hAnsi="Conduit ITC Light"/>
        <w:color w:val="464B4C"/>
      </w:rPr>
      <w:t>Intech</w:t>
    </w:r>
    <w:proofErr w:type="spellEnd"/>
    <w:r>
      <w:rPr>
        <w:rFonts w:ascii="Conduit ITC Light" w:hAnsi="Conduit ITC Light"/>
        <w:color w:val="464B4C"/>
      </w:rPr>
      <w:t xml:space="preserve">’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094A70">
          <w:rPr>
            <w:rFonts w:ascii="Conduit ITC Light" w:hAnsi="Conduit ITC Light"/>
            <w:color w:val="464B4C"/>
          </w:rPr>
          <w:t>Exercice : Portes Conteneurs</w:t>
        </w:r>
      </w:sdtContent>
    </w:sdt>
  </w:p>
  <w:p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15D87"/>
    <w:rsid w:val="00020D5C"/>
    <w:rsid w:val="0002307F"/>
    <w:rsid w:val="000278AD"/>
    <w:rsid w:val="00034F3D"/>
    <w:rsid w:val="000679E6"/>
    <w:rsid w:val="00094A70"/>
    <w:rsid w:val="000A3D17"/>
    <w:rsid w:val="000A4F25"/>
    <w:rsid w:val="000B14EA"/>
    <w:rsid w:val="000C3D02"/>
    <w:rsid w:val="000E2F5E"/>
    <w:rsid w:val="000F4B47"/>
    <w:rsid w:val="000F6B96"/>
    <w:rsid w:val="00116778"/>
    <w:rsid w:val="001517A9"/>
    <w:rsid w:val="00152B6B"/>
    <w:rsid w:val="00153509"/>
    <w:rsid w:val="001847BD"/>
    <w:rsid w:val="001B1F96"/>
    <w:rsid w:val="001C221F"/>
    <w:rsid w:val="001C25EB"/>
    <w:rsid w:val="001C2AF8"/>
    <w:rsid w:val="001E061D"/>
    <w:rsid w:val="001F3ED8"/>
    <w:rsid w:val="0020578B"/>
    <w:rsid w:val="0021560B"/>
    <w:rsid w:val="00223405"/>
    <w:rsid w:val="00232BE2"/>
    <w:rsid w:val="00271FD2"/>
    <w:rsid w:val="0027254C"/>
    <w:rsid w:val="00283963"/>
    <w:rsid w:val="002B76BE"/>
    <w:rsid w:val="002C1BF4"/>
    <w:rsid w:val="002D1C8E"/>
    <w:rsid w:val="002F5978"/>
    <w:rsid w:val="002F5CDD"/>
    <w:rsid w:val="002F774B"/>
    <w:rsid w:val="0031245C"/>
    <w:rsid w:val="00317AAA"/>
    <w:rsid w:val="0033215E"/>
    <w:rsid w:val="00363C9F"/>
    <w:rsid w:val="003A3651"/>
    <w:rsid w:val="003B44AF"/>
    <w:rsid w:val="003C5236"/>
    <w:rsid w:val="003D00E3"/>
    <w:rsid w:val="003E1FE0"/>
    <w:rsid w:val="003E280E"/>
    <w:rsid w:val="00412ACA"/>
    <w:rsid w:val="00414191"/>
    <w:rsid w:val="0045645A"/>
    <w:rsid w:val="00490BDC"/>
    <w:rsid w:val="00495046"/>
    <w:rsid w:val="004A4F9D"/>
    <w:rsid w:val="004C5772"/>
    <w:rsid w:val="004D43D0"/>
    <w:rsid w:val="004F34F8"/>
    <w:rsid w:val="00500F15"/>
    <w:rsid w:val="00531BFF"/>
    <w:rsid w:val="00532D69"/>
    <w:rsid w:val="00573B51"/>
    <w:rsid w:val="00593342"/>
    <w:rsid w:val="005A2890"/>
    <w:rsid w:val="005B0DB2"/>
    <w:rsid w:val="005B2824"/>
    <w:rsid w:val="005E27B5"/>
    <w:rsid w:val="005F085E"/>
    <w:rsid w:val="0060247C"/>
    <w:rsid w:val="00644D67"/>
    <w:rsid w:val="00650138"/>
    <w:rsid w:val="00656633"/>
    <w:rsid w:val="00665284"/>
    <w:rsid w:val="00681BC0"/>
    <w:rsid w:val="006903B3"/>
    <w:rsid w:val="006A0992"/>
    <w:rsid w:val="006B622D"/>
    <w:rsid w:val="006C5F91"/>
    <w:rsid w:val="006F3C3E"/>
    <w:rsid w:val="00754BA6"/>
    <w:rsid w:val="007610DC"/>
    <w:rsid w:val="00775F66"/>
    <w:rsid w:val="00783D8D"/>
    <w:rsid w:val="0078501E"/>
    <w:rsid w:val="00794C6C"/>
    <w:rsid w:val="007D0E6C"/>
    <w:rsid w:val="007D58A5"/>
    <w:rsid w:val="008173F9"/>
    <w:rsid w:val="008177D1"/>
    <w:rsid w:val="008438E8"/>
    <w:rsid w:val="00867FEF"/>
    <w:rsid w:val="00896532"/>
    <w:rsid w:val="008A30E9"/>
    <w:rsid w:val="008C7376"/>
    <w:rsid w:val="008D012E"/>
    <w:rsid w:val="008F1025"/>
    <w:rsid w:val="009057E4"/>
    <w:rsid w:val="009061E6"/>
    <w:rsid w:val="009451C4"/>
    <w:rsid w:val="009526C5"/>
    <w:rsid w:val="00970741"/>
    <w:rsid w:val="0097747F"/>
    <w:rsid w:val="00985C58"/>
    <w:rsid w:val="00997659"/>
    <w:rsid w:val="009A29B2"/>
    <w:rsid w:val="009A3DF5"/>
    <w:rsid w:val="009B5790"/>
    <w:rsid w:val="00A034B1"/>
    <w:rsid w:val="00A10069"/>
    <w:rsid w:val="00A23020"/>
    <w:rsid w:val="00A30B20"/>
    <w:rsid w:val="00A37086"/>
    <w:rsid w:val="00A86F71"/>
    <w:rsid w:val="00A916C5"/>
    <w:rsid w:val="00AD1038"/>
    <w:rsid w:val="00AF540A"/>
    <w:rsid w:val="00B125CA"/>
    <w:rsid w:val="00B37A4F"/>
    <w:rsid w:val="00B520D2"/>
    <w:rsid w:val="00B60404"/>
    <w:rsid w:val="00BA0686"/>
    <w:rsid w:val="00BA1685"/>
    <w:rsid w:val="00BA1EE1"/>
    <w:rsid w:val="00BD10ED"/>
    <w:rsid w:val="00BD5D9B"/>
    <w:rsid w:val="00BD675D"/>
    <w:rsid w:val="00C102C1"/>
    <w:rsid w:val="00C132DF"/>
    <w:rsid w:val="00C2720A"/>
    <w:rsid w:val="00C44550"/>
    <w:rsid w:val="00C61697"/>
    <w:rsid w:val="00C64F5C"/>
    <w:rsid w:val="00CC36C6"/>
    <w:rsid w:val="00CC7752"/>
    <w:rsid w:val="00CD09EC"/>
    <w:rsid w:val="00CD781E"/>
    <w:rsid w:val="00D11449"/>
    <w:rsid w:val="00D12551"/>
    <w:rsid w:val="00D12B05"/>
    <w:rsid w:val="00D25B1E"/>
    <w:rsid w:val="00D4086C"/>
    <w:rsid w:val="00D6418D"/>
    <w:rsid w:val="00D65014"/>
    <w:rsid w:val="00D75E79"/>
    <w:rsid w:val="00D94554"/>
    <w:rsid w:val="00DA05F8"/>
    <w:rsid w:val="00DC1D7E"/>
    <w:rsid w:val="00DC5476"/>
    <w:rsid w:val="00DD3E61"/>
    <w:rsid w:val="00DE029E"/>
    <w:rsid w:val="00DE59B1"/>
    <w:rsid w:val="00DE78F0"/>
    <w:rsid w:val="00E268CF"/>
    <w:rsid w:val="00E3740D"/>
    <w:rsid w:val="00E42FB2"/>
    <w:rsid w:val="00E4713F"/>
    <w:rsid w:val="00E47D56"/>
    <w:rsid w:val="00E66898"/>
    <w:rsid w:val="00E85664"/>
    <w:rsid w:val="00EA5AF0"/>
    <w:rsid w:val="00EA617F"/>
    <w:rsid w:val="00EB34E8"/>
    <w:rsid w:val="00EC315B"/>
    <w:rsid w:val="00EC6EF4"/>
    <w:rsid w:val="00ED147E"/>
    <w:rsid w:val="00F42F9E"/>
    <w:rsid w:val="00F83092"/>
    <w:rsid w:val="00FC1308"/>
    <w:rsid w:val="00FC1799"/>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6FD2A04E"/>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F96"/>
    <w:pPr>
      <w:jc w:val="both"/>
    </w:pPr>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094A70"/>
    <w:rPr>
      <w:color w:val="4F6128" w:themeColor="hyperlink"/>
      <w:u w:val="single"/>
    </w:rPr>
  </w:style>
  <w:style w:type="character" w:styleId="Mentionnonrsolue">
    <w:name w:val="Unresolved Mention"/>
    <w:basedOn w:val="Policepardfaut"/>
    <w:uiPriority w:val="99"/>
    <w:semiHidden/>
    <w:unhideWhenUsed/>
    <w:rsid w:val="00094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ystem.data.sqlite.org/index.html/doc/trunk/www/index.wik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orte-conteneurs" TargetMode="External"/><Relationship Id="rId5" Type="http://schemas.openxmlformats.org/officeDocument/2006/relationships/webSettings" Target="webSettings.xml"/><Relationship Id="rId15" Type="http://schemas.openxmlformats.org/officeDocument/2006/relationships/hyperlink" Target="https://www.sqlite.org" TargetMode="External"/><Relationship Id="rId10" Type="http://schemas.openxmlformats.org/officeDocument/2006/relationships/hyperlink" Target="https://fr.wikipedia.org/wiki/Conteneu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371A02"/>
    <w:rsid w:val="00481F1A"/>
    <w:rsid w:val="00553286"/>
    <w:rsid w:val="006C239E"/>
    <w:rsid w:val="007540DD"/>
    <w:rsid w:val="00766200"/>
    <w:rsid w:val="007F6CCB"/>
    <w:rsid w:val="00807060"/>
    <w:rsid w:val="0083063D"/>
    <w:rsid w:val="00904C4C"/>
    <w:rsid w:val="00941C28"/>
    <w:rsid w:val="009C2690"/>
    <w:rsid w:val="00AB1A4C"/>
    <w:rsid w:val="00B73F3F"/>
    <w:rsid w:val="00C7521F"/>
    <w:rsid w:val="00CF5461"/>
    <w:rsid w:val="00E4451D"/>
    <w:rsid w:val="00E6122B"/>
    <w:rsid w:val="00E917C6"/>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ABEAF-CCC6-4C27-B943-F3E8A81E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417</TotalTime>
  <Pages>6</Pages>
  <Words>782</Words>
  <Characters>4302</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Portes Conteneurs</vt:lpstr>
      <vt:lpstr>Exercice : L’école primaire</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Portes Conteneurs</dc:title>
  <dc:creator>Antoine Raquillet</dc:creator>
  <cp:lastModifiedBy>Vanbutsele Quentin</cp:lastModifiedBy>
  <cp:revision>58</cp:revision>
  <cp:lastPrinted>2019-07-26T08:01:00Z</cp:lastPrinted>
  <dcterms:created xsi:type="dcterms:W3CDTF">2014-08-25T08:34:00Z</dcterms:created>
  <dcterms:modified xsi:type="dcterms:W3CDTF">2019-09-11T13:28:00Z</dcterms:modified>
  <cp:category>Nom du projet</cp:category>
</cp:coreProperties>
</file>