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48D33618"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Pr="00F358DD" w:rsidRDefault="0018289E" w:rsidP="0018289E">
      <w:pPr>
        <w:pStyle w:val="a3"/>
        <w:numPr>
          <w:ilvl w:val="0"/>
          <w:numId w:val="1"/>
        </w:numPr>
        <w:spacing w:line="480" w:lineRule="auto"/>
        <w:contextualSpacing w:val="0"/>
        <w:rPr>
          <w:rFonts w:asciiTheme="minorEastAsia" w:eastAsiaTheme="minorEastAsia" w:hAnsiTheme="minorEastAsia"/>
          <w:b/>
        </w:rPr>
      </w:pPr>
      <w:proofErr w:type="spellStart"/>
      <w:r w:rsidRPr="00F358DD">
        <w:rPr>
          <w:rFonts w:asciiTheme="minorEastAsia" w:eastAsiaTheme="minorEastAsia" w:hAnsiTheme="minorEastAsia" w:hint="eastAsia"/>
          <w:b/>
        </w:rPr>
        <w:t>研究動機</w:t>
      </w:r>
      <w:proofErr w:type="spellEnd"/>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72960F99" w14:textId="77777777" w:rsidR="00F358DD"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p>
    <w:p w14:paraId="07044FF3" w14:textId="1292D2A5" w:rsidR="00803E1F" w:rsidRPr="00BF22FB" w:rsidRDefault="00F358DD" w:rsidP="001A35B1">
      <w:pPr>
        <w:spacing w:after="40"/>
        <w:ind w:left="475" w:firstLine="160"/>
        <w:rPr>
          <w:rFonts w:ascii="DFKai-SB" w:eastAsiaTheme="minorEastAsia" w:hAnsi="DFKai-SB"/>
          <w:sz w:val="25"/>
          <w:szCs w:val="25"/>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5E37F5CB"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w:t>
      </w:r>
      <w:proofErr w:type="gramStart"/>
      <w:r w:rsidR="00AC3757">
        <w:rPr>
          <w:rFonts w:ascii="DFKai-SB" w:eastAsia="DFKai-SB" w:hAnsi="DFKai-SB"/>
          <w:sz w:val="25"/>
          <w:szCs w:val="25"/>
        </w:rPr>
        <w:t>Seq</w:t>
      </w:r>
      <w:r w:rsidR="00524DF3">
        <w:rPr>
          <w:rFonts w:ascii="DFKai-SB" w:eastAsia="DFKai-SB" w:hAnsi="DFKai-SB" w:hint="eastAsia"/>
          <w:sz w:val="25"/>
          <w:szCs w:val="25"/>
          <w:lang w:eastAsia="zh-TW"/>
        </w:rPr>
        <w:t>(</w:t>
      </w:r>
      <w:proofErr w:type="gramEnd"/>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(query</w:t>
      </w:r>
      <w:r w:rsidR="00675FEB" w:rsidRPr="00BF22FB">
        <w:rPr>
          <w:rFonts w:ascii="DFKai-SB" w:eastAsia="DFKai-SB" w:hAnsi="DFKai-SB" w:hint="eastAsia"/>
          <w:sz w:val="25"/>
          <w:szCs w:val="25"/>
        </w:rPr>
        <w:t>查詢向量、k</w:t>
      </w:r>
      <w:r w:rsidR="00675FEB" w:rsidRPr="00BF22FB">
        <w:rPr>
          <w:rFonts w:ascii="DFKai-SB" w:eastAsia="DFKai-SB" w:hAnsi="DFKai-SB"/>
          <w:sz w:val="25"/>
          <w:szCs w:val="25"/>
        </w:rPr>
        <w:t>ey</w:t>
      </w:r>
      <w:r w:rsidR="00675FEB" w:rsidRPr="00BF22FB">
        <w:rPr>
          <w:rFonts w:ascii="DFKai-SB" w:eastAsia="DFKai-SB" w:hAnsi="DFKai-SB" w:hint="eastAsia"/>
          <w:sz w:val="25"/>
          <w:szCs w:val="25"/>
        </w:rPr>
        <w:t>鍵向量、v</w:t>
      </w:r>
      <w:r w:rsidR="00675FEB" w:rsidRPr="00BF22FB">
        <w:rPr>
          <w:rFonts w:ascii="DFKai-SB" w:eastAsia="DFKai-SB" w:hAnsi="DFKai-SB"/>
          <w:sz w:val="25"/>
          <w:szCs w:val="25"/>
        </w:rPr>
        <w:t>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BF22FB">
        <w:rPr>
          <w:rFonts w:ascii="DFKai-SB" w:eastAsia="DFKai-SB" w:hAnsi="DFKai-SB"/>
          <w:sz w:val="25"/>
          <w:szCs w:val="25"/>
        </w:rPr>
        <w:t>(query, key, value)</w:t>
      </w:r>
      <w:r w:rsidR="00675FEB" w:rsidRPr="00BF22FB">
        <w:rPr>
          <w:rFonts w:ascii="DFKai-SB" w:eastAsia="DFKai-SB" w:hAnsi="DFKai-SB" w:hint="eastAsia"/>
          <w:sz w:val="25"/>
          <w:szCs w:val="25"/>
        </w:rPr>
        <w:t xml:space="preserve"> 進行點乘 </w:t>
      </w:r>
      <w:r w:rsidR="00675FEB" w:rsidRPr="00BF22FB">
        <w:rPr>
          <w:rFonts w:ascii="DFKai-SB" w:eastAsia="DFKai-SB" w:hAnsi="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7F0043B7" w14:textId="1897E656" w:rsidR="00395CD8" w:rsidRDefault="00D4378E" w:rsidP="00395CD8">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166C2CAA" w14:textId="77777777" w:rsidR="00395CD8" w:rsidRPr="00395CD8" w:rsidRDefault="00395CD8" w:rsidP="00395CD8">
      <w:pPr>
        <w:pStyle w:val="a3"/>
        <w:autoSpaceDE w:val="0"/>
        <w:autoSpaceDN w:val="0"/>
        <w:adjustRightInd w:val="0"/>
        <w:ind w:left="1230"/>
        <w:contextualSpacing w:val="0"/>
        <w:rPr>
          <w:rFonts w:ascii="DFKai-SB" w:eastAsia="DFKai-SB" w:hAnsi="DFKai-SB" w:cs="DFKai-SB"/>
          <w:color w:val="000000"/>
          <w:sz w:val="25"/>
          <w:szCs w:val="25"/>
        </w:rPr>
      </w:pPr>
      <w:bookmarkStart w:id="0" w:name="_GoBack"/>
      <w:bookmarkEnd w:id="0"/>
    </w:p>
    <w:p w14:paraId="02B3A0EC" w14:textId="4ED2908D"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w:t>
      </w:r>
      <w:proofErr w:type="gramStart"/>
      <w:r w:rsidR="0057321C">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proofErr w:type="gramStart"/>
      <w:r w:rsidR="00EB2455">
        <w:rPr>
          <w:rFonts w:ascii="DFKai-SB" w:eastAsia="DFKai-SB" w:hAnsi="DFKai-SB" w:cs="PingFang TC" w:hint="eastAsia"/>
          <w:sz w:val="25"/>
          <w:szCs w:val="25"/>
          <w:lang w:eastAsia="zh-TW"/>
        </w:rPr>
        <w:t>此外，</w:t>
      </w:r>
      <w:proofErr w:type="gramEnd"/>
      <w:r w:rsidR="00EB2455">
        <w:rPr>
          <w:rFonts w:ascii="DFKai-SB" w:eastAsia="DFKai-SB" w:hAnsi="DFKai-SB" w:cs="PingFang TC" w:hint="eastAsia"/>
          <w:sz w:val="25"/>
          <w:szCs w:val="25"/>
          <w:lang w:eastAsia="zh-TW"/>
        </w:rPr>
        <w:t>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1"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1"/>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hint="eastAsia"/>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Pr>
          <w:rFonts w:ascii="DFKai-SB" w:eastAsia="DFKai-SB" w:hAnsi="DFKai-SB" w:cs="DFKai-SB"/>
          <w:color w:val="000000"/>
          <w:sz w:val="16"/>
          <w:szCs w:val="16"/>
          <w:lang w:eastAsia="zh-TW"/>
        </w:rPr>
        <w:t>Attention</w:t>
      </w:r>
      <w:r w:rsidRPr="00C270C4">
        <w:rPr>
          <w:rFonts w:ascii="DFKai-SB" w:eastAsia="DFKai-SB" w:hAnsi="DFKai-SB" w:cs="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lastRenderedPageBreak/>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2" w:name="_Hlk31720659"/>
      <w:r w:rsidRPr="00BF22FB">
        <w:rPr>
          <w:rFonts w:ascii="DFKai-SB" w:eastAsia="DFKai-SB" w:hAnsi="DFKai-SB" w:cs="Microsoft JhengHei" w:hint="eastAsia"/>
          <w:sz w:val="25"/>
          <w:szCs w:val="25"/>
          <w:shd w:val="clear" w:color="auto" w:fill="FFFFFF"/>
          <w:lang w:eastAsia="zh-TW"/>
        </w:rPr>
        <w:t>，</w:t>
      </w:r>
      <w:bookmarkEnd w:id="2"/>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S</w:t>
      </w:r>
      <w:r>
        <w:rPr>
          <w:rFonts w:ascii="DFKai-SB" w:eastAsia="DFKai-SB" w:hAnsi="DFKai-SB" w:cs="DFKai-SB"/>
          <w:color w:val="000000"/>
          <w:sz w:val="25"/>
          <w:szCs w:val="25"/>
          <w:lang w:eastAsia="zh-TW"/>
        </w:rPr>
        <w:t>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proofErr w:type="gramStart"/>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w:t>
      </w:r>
      <w:proofErr w:type="gramEnd"/>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lastRenderedPageBreak/>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4,Seq2Seq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251FF61" w14:textId="20262DC7" w:rsidR="00B97F40" w:rsidRPr="000B03B0" w:rsidRDefault="00B97F40" w:rsidP="000B03B0">
      <w:pPr>
        <w:autoSpaceDE w:val="0"/>
        <w:autoSpaceDN w:val="0"/>
        <w:adjustRightInd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723096">
        <w:rPr>
          <w:rFonts w:ascii="DFKai-SB" w:eastAsia="DFKai-SB" w:hAnsi="DFKai-SB" w:cs="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723096">
        <w:rPr>
          <w:rFonts w:ascii="DFKai-SB" w:eastAsia="DFKai-SB" w:hAnsi="DFKai-SB" w:cs="PingFang TC"/>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層標準化(La</w:t>
      </w:r>
      <w:r w:rsidR="00B149EB" w:rsidRPr="00723096">
        <w:rPr>
          <w:rFonts w:ascii="DFKai-SB" w:eastAsia="DFKai-SB" w:hAnsi="DFKai-SB" w:cs="PingFang TC"/>
          <w:sz w:val="25"/>
          <w:szCs w:val="25"/>
          <w:lang w:eastAsia="zh-TW"/>
        </w:rPr>
        <w:t>yer Normalization</w:t>
      </w:r>
      <w:r w:rsidR="00B149EB" w:rsidRPr="00723096">
        <w:rPr>
          <w:rFonts w:ascii="DFKai-SB" w:eastAsia="DFKai-SB" w:hAnsi="DFKai-SB" w:cs="PingFang TC" w:hint="eastAsia"/>
          <w:sz w:val="25"/>
          <w:szCs w:val="25"/>
          <w:lang w:eastAsia="zh-TW"/>
        </w:rPr>
        <w:t>)</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360696">
        <w:rPr>
          <w:rFonts w:ascii="DFKai-SB" w:eastAsia="DFKai-SB" w:hAnsi="DFKai-SB" w:cs="PingFang TC"/>
          <w:sz w:val="25"/>
          <w:szCs w:val="25"/>
          <w:lang w:eastAsia="zh-TW"/>
        </w:rPr>
        <w:t>Transformer</w:t>
      </w:r>
      <w:r w:rsidRPr="00360696">
        <w:rPr>
          <w:rFonts w:ascii="DFKai-SB" w:eastAsia="DFKai-SB" w:hAnsi="DFKai-SB" w:cs="PingFang TC" w:hint="eastAsia"/>
          <w:sz w:val="25"/>
          <w:szCs w:val="25"/>
          <w:lang w:eastAsia="zh-TW"/>
        </w:rPr>
        <w:t>相比之下只對</w:t>
      </w:r>
      <w:r w:rsidRPr="00360696">
        <w:rPr>
          <w:rFonts w:ascii="DFKai-SB" w:eastAsia="DFKai-SB" w:hAnsi="DFKai-SB" w:cs="PingFang TC"/>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Pr>
          <w:rFonts w:ascii="DFKai-SB" w:eastAsia="DFKai-SB" w:hAnsi="DFKai-SB" w:cs="PingFang TC"/>
          <w:sz w:val="25"/>
          <w:szCs w:val="25"/>
          <w:lang w:eastAsia="zh-TW"/>
        </w:rPr>
        <w:t>sigmoid</w:t>
      </w:r>
      <w:r w:rsidR="00CD1A0B">
        <w:rPr>
          <w:rFonts w:ascii="DFKai-SB" w:eastAsia="DFKai-SB" w:hAnsi="DFKai-SB" w:cs="PingFang TC" w:hint="eastAsia"/>
          <w:sz w:val="25"/>
          <w:szCs w:val="25"/>
          <w:lang w:eastAsia="zh-TW"/>
        </w:rPr>
        <w:t>產生Q</w:t>
      </w:r>
      <w:r w:rsidR="00CD1A0B">
        <w:rPr>
          <w:rFonts w:ascii="DFKai-SB" w:eastAsia="DFKai-SB" w:hAnsi="DFKai-SB" w:cs="PingFang TC"/>
          <w:sz w:val="25"/>
          <w:szCs w:val="25"/>
          <w:lang w:eastAsia="zh-TW"/>
        </w:rPr>
        <w:t>, K</w:t>
      </w:r>
      <w:r w:rsidRPr="00360696">
        <w:rPr>
          <w:rFonts w:ascii="DFKai-SB" w:eastAsia="DFKai-SB" w:hAnsi="DFKai-SB" w:cs="PingFang TC" w:hint="eastAsia"/>
          <w:sz w:val="25"/>
          <w:szCs w:val="25"/>
          <w:lang w:eastAsia="zh-TW"/>
        </w:rPr>
        <w:t>。但實作過程發現LSTM的輸出必須經過全</w:t>
      </w:r>
      <w:proofErr w:type="gramStart"/>
      <w:r w:rsidRPr="00360696">
        <w:rPr>
          <w:rFonts w:ascii="DFKai-SB" w:eastAsia="DFKai-SB" w:hAnsi="DFKai-SB" w:cs="PingFang TC" w:hint="eastAsia"/>
          <w:sz w:val="25"/>
          <w:szCs w:val="25"/>
          <w:lang w:eastAsia="zh-TW"/>
        </w:rPr>
        <w:t>連接層才</w:t>
      </w:r>
      <w:r w:rsidR="006D3841" w:rsidRPr="00360696">
        <w:rPr>
          <w:rFonts w:ascii="DFKai-SB" w:eastAsia="DFKai-SB" w:hAnsi="DFKai-SB" w:cs="PingFang TC" w:hint="eastAsia"/>
          <w:sz w:val="25"/>
          <w:szCs w:val="25"/>
          <w:lang w:eastAsia="zh-TW"/>
        </w:rPr>
        <w:t>成為</w:t>
      </w:r>
      <w:proofErr w:type="gramEnd"/>
      <w:r w:rsidRPr="00360696">
        <w:rPr>
          <w:rFonts w:ascii="DFKai-SB" w:eastAsia="DFKai-SB" w:hAnsi="DFKai-SB" w:cs="PingFang TC"/>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w:t>
      </w:r>
      <w:proofErr w:type="gramStart"/>
      <w:r w:rsidR="007D0ABF" w:rsidRPr="00360696">
        <w:rPr>
          <w:rFonts w:ascii="DFKai-SB" w:eastAsia="DFKai-SB" w:hAnsi="DFKai-SB" w:cs="PingFang TC" w:hint="eastAsia"/>
          <w:sz w:val="25"/>
          <w:szCs w:val="25"/>
          <w:lang w:eastAsia="zh-TW"/>
        </w:rPr>
        <w:t>饋</w:t>
      </w:r>
      <w:proofErr w:type="gramEnd"/>
      <w:r w:rsidR="007D0ABF" w:rsidRPr="00360696">
        <w:rPr>
          <w:rFonts w:ascii="DFKai-SB" w:eastAsia="DFKai-SB" w:hAnsi="DFKai-SB" w:cs="PingFang TC" w:hint="eastAsia"/>
          <w:sz w:val="25"/>
          <w:szCs w:val="25"/>
          <w:lang w:eastAsia="zh-TW"/>
        </w:rPr>
        <w:t>層(B</w:t>
      </w:r>
      <w:r w:rsidR="007D0ABF" w:rsidRPr="00360696">
        <w:rPr>
          <w:rFonts w:ascii="DFKai-SB" w:eastAsia="DFKai-SB" w:hAnsi="DFKai-SB" w:cs="PingFang TC"/>
          <w:sz w:val="25"/>
          <w:szCs w:val="25"/>
          <w:lang w:eastAsia="zh-TW"/>
        </w:rPr>
        <w:t>oom Layer</w:t>
      </w:r>
      <w:r w:rsidR="007D0ABF" w:rsidRPr="00360696">
        <w:rPr>
          <w:rFonts w:ascii="DFKai-SB" w:eastAsia="DFKai-SB" w:hAnsi="DFKai-SB" w:cs="PingFang TC" w:hint="eastAsia"/>
          <w:sz w:val="25"/>
          <w:szCs w:val="25"/>
          <w:lang w:eastAsia="zh-TW"/>
        </w:rPr>
        <w:t>)</w:t>
      </w:r>
      <w:r w:rsidRPr="00360696">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lastRenderedPageBreak/>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或少量標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Pr>
          <w:rFonts w:ascii="DFKai-SB" w:eastAsia="DFKai-SB" w:hAnsi="DFKai-SB" w:cs="PingFang TC"/>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hint="eastAsia"/>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文本進行預處理過程中會對句子開頭向量位置加入分類符[CLS]，並以[SEP]以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區分第一句與第二句。再以中文BERT對文本</w:t>
      </w:r>
      <w:proofErr w:type="gramStart"/>
      <w:r w:rsidR="0038510D" w:rsidRPr="0038510D">
        <w:rPr>
          <w:rFonts w:ascii="DFKai-SB" w:eastAsia="DFKai-SB" w:hAnsi="DFKai-SB" w:cs="PingFang TC" w:hint="eastAsia"/>
          <w:sz w:val="25"/>
          <w:szCs w:val="25"/>
          <w:lang w:eastAsia="zh-TW"/>
        </w:rPr>
        <w:t>進行斷詞</w:t>
      </w:r>
      <w:proofErr w:type="gramEnd"/>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0220EEB" w:rsidR="00494E87" w:rsidRDefault="00494E87" w:rsidP="009851C0">
      <w:pPr>
        <w:autoSpaceDE w:val="0"/>
        <w:autoSpaceDN w:val="0"/>
        <w:adjustRightInd w:val="0"/>
        <w:ind w:left="1230"/>
        <w:rPr>
          <w:rFonts w:ascii="DFKai-SB" w:eastAsia="DFKai-SB" w:hAnsi="DFKai-SB" w:cs="PingFang TC"/>
          <w:sz w:val="16"/>
          <w:szCs w:val="16"/>
          <w:lang w:eastAsia="zh-TW"/>
        </w:rPr>
      </w:pPr>
      <w:bookmarkStart w:id="3"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5A30BB7" w14:textId="77777777" w:rsidR="00360696" w:rsidRDefault="00360696" w:rsidP="009851C0">
      <w:pPr>
        <w:autoSpaceDE w:val="0"/>
        <w:autoSpaceDN w:val="0"/>
        <w:adjustRightInd w:val="0"/>
        <w:ind w:left="1230"/>
        <w:rPr>
          <w:rFonts w:ascii="DFKai-SB" w:eastAsia="DFKai-SB" w:hAnsi="DFKai-SB" w:cs="PingFang TC" w:hint="eastAsia"/>
          <w:sz w:val="16"/>
          <w:szCs w:val="16"/>
          <w:lang w:eastAsia="zh-TW"/>
        </w:rPr>
      </w:pP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3"/>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對B</w:t>
      </w:r>
      <w:r w:rsidR="00042C0E">
        <w:rPr>
          <w:rFonts w:ascii="DFKai-SB" w:eastAsia="DFKai-SB" w:hAnsi="DFKai-SB" w:cs="PingFang TC"/>
          <w:sz w:val="25"/>
          <w:szCs w:val="25"/>
          <w:lang w:eastAsia="zh-TW"/>
        </w:rPr>
        <w:t>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lastRenderedPageBreak/>
        <w:t>圖</w:t>
      </w:r>
      <w:r w:rsidRPr="000B03B0">
        <w:rPr>
          <w:rFonts w:ascii="DFKai-SB" w:eastAsia="DFKai-SB" w:hAnsi="DFKai-SB" w:cs="PingFang TC"/>
          <w:sz w:val="23"/>
          <w:szCs w:val="23"/>
          <w:lang w:eastAsia="zh-TW"/>
        </w:rPr>
        <w:t xml:space="preserve"> 6,</w:t>
      </w:r>
      <w:r w:rsidR="006A2E9F" w:rsidRPr="000B03B0">
        <w:rPr>
          <w:rFonts w:ascii="DFKai-SB" w:eastAsia="DFKai-SB" w:hAnsi="DFKai-SB" w:cs="PingFang TC"/>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proofErr w:type="spellStart"/>
      <w:r w:rsidR="006A2E9F" w:rsidRPr="006A2E9F">
        <w:rPr>
          <w:rFonts w:ascii="DFKai-SB" w:eastAsia="DFKai-SB" w:hAnsi="DFKai-SB" w:cs="PingFang TC"/>
          <w:sz w:val="16"/>
          <w:szCs w:val="16"/>
          <w:lang w:eastAsia="zh-TW"/>
        </w:rPr>
        <w:t>Khattak</w:t>
      </w:r>
      <w:proofErr w:type="spellEnd"/>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Pr>
          <w:rFonts w:ascii="DFKai-SB" w:eastAsia="DFKai-SB" w:hAnsi="DFKai-SB" w:cs="PingFang TC"/>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Pr>
          <w:rFonts w:ascii="DFKai-SB" w:eastAsia="DFKai-SB" w:hAnsi="DFKai-SB" w:cs="PingFang TC"/>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B124047" w14:textId="027BC1FB" w:rsidR="00B149EB" w:rsidRPr="00C0024C" w:rsidRDefault="00E67044" w:rsidP="00C0024C">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proofErr w:type="gramStart"/>
      <w:r w:rsidR="00B149EB" w:rsidRPr="00C0024C">
        <w:rPr>
          <w:rFonts w:ascii="DFKai-SB" w:eastAsia="DFKai-SB" w:hAnsi="DFKai-SB" w:cs="PingFang TC" w:hint="eastAsia"/>
          <w:sz w:val="25"/>
          <w:szCs w:val="25"/>
          <w:lang w:eastAsia="zh-TW"/>
        </w:rPr>
        <w:t>基於指針的注意力(</w:t>
      </w:r>
      <w:proofErr w:type="gramEnd"/>
      <w:r w:rsidR="00B149EB" w:rsidRPr="00C0024C">
        <w:rPr>
          <w:rFonts w:ascii="DFKai-SB" w:eastAsia="DFKai-SB" w:hAnsi="DFKai-SB" w:cs="PingFang TC"/>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C0024C">
        <w:rPr>
          <w:rFonts w:ascii="DFKai-SB" w:eastAsia="DFKai-SB" w:hAnsi="DFKai-SB" w:cs="PingFang TC"/>
          <w:sz w:val="25"/>
          <w:szCs w:val="25"/>
          <w:lang w:eastAsia="zh-TW"/>
        </w:rPr>
        <w:t>Boom</w:t>
      </w:r>
      <w:r w:rsidR="00C0024C">
        <w:rPr>
          <w:rFonts w:ascii="DFKai-SB" w:eastAsia="DFKai-SB" w:hAnsi="DFKai-SB" w:cs="PingFang TC" w:hint="eastAsia"/>
          <w:sz w:val="25"/>
          <w:szCs w:val="25"/>
          <w:lang w:eastAsia="zh-TW"/>
        </w:rPr>
        <w:t xml:space="preserve"> </w:t>
      </w:r>
      <w:r w:rsidR="00C0024C">
        <w:rPr>
          <w:rFonts w:ascii="DFKai-SB" w:eastAsia="DFKai-SB" w:hAnsi="DFKai-SB" w:cs="PingFang TC"/>
          <w:sz w:val="25"/>
          <w:szCs w:val="25"/>
          <w:lang w:eastAsia="zh-TW"/>
        </w:rPr>
        <w:t>Layer</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Pr>
          <w:rFonts w:ascii="DFKai-SB" w:eastAsia="DFKai-SB" w:hAnsi="DFKai-SB" w:cs="PingFang TC"/>
          <w:sz w:val="25"/>
          <w:szCs w:val="25"/>
          <w:lang w:eastAsia="zh-TW"/>
        </w:rPr>
        <w:t>(Pointer Based Attention)</w:t>
      </w:r>
      <w:r w:rsidR="00B149EB" w:rsidRPr="00C373D4">
        <w:rPr>
          <w:rFonts w:ascii="DFKai-SB" w:eastAsia="DFKai-SB" w:hAnsi="DFKai-SB" w:cs="PingFang TC" w:hint="eastAsia"/>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05BB7545">
            <wp:simplePos x="0" y="0"/>
            <wp:positionH relativeFrom="column">
              <wp:posOffset>1672641</wp:posOffset>
            </wp:positionH>
            <wp:positionV relativeFrom="paragraph">
              <wp:posOffset>7950</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66E50C95"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7C20A5C3" w:rsidR="00AD34C3" w:rsidRDefault="00763A8E"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7D913F1D">
            <wp:simplePos x="0" y="0"/>
            <wp:positionH relativeFrom="margin">
              <wp:posOffset>402235</wp:posOffset>
            </wp:positionH>
            <wp:positionV relativeFrom="paragraph">
              <wp:posOffset>234619</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0E2661"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C6658B8"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786FF312">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p>
    <w:p w14:paraId="476C6C25" w14:textId="66F1306C" w:rsidR="00AD34C3" w:rsidRDefault="00AD34C3" w:rsidP="005E21A9">
      <w:pPr>
        <w:widowControl w:val="0"/>
        <w:spacing w:after="40"/>
        <w:ind w:left="1200"/>
        <w:jc w:val="both"/>
        <w:rPr>
          <w:rFonts w:ascii="DFKai-SB" w:eastAsia="DFKai-SB" w:hAnsi="DFKai-SB" w:cs="PingFang TC"/>
          <w:sz w:val="25"/>
          <w:szCs w:val="25"/>
          <w:lang w:eastAsia="zh-TW"/>
        </w:rPr>
      </w:pPr>
    </w:p>
    <w:p w14:paraId="78684605" w14:textId="30CD5C46" w:rsidR="00604FB2" w:rsidRPr="000B03B0" w:rsidRDefault="00075EC7" w:rsidP="000B03B0">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3182A01A" w14:textId="3922ECFD" w:rsidR="00E83758" w:rsidRPr="000B03B0" w:rsidRDefault="0062505A" w:rsidP="000B03B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lastRenderedPageBreak/>
        <w:drawing>
          <wp:anchor distT="0" distB="0" distL="114300" distR="114300" simplePos="0" relativeHeight="251660288" behindDoc="0" locked="0" layoutInCell="1" allowOverlap="1" wp14:anchorId="02E89A73" wp14:editId="161436CA">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5E21A9" w:rsidRPr="000B03B0">
        <w:rPr>
          <w:rFonts w:ascii="DFKai-SB" w:eastAsia="DFKai-SB" w:hAnsi="DFKai-SB" w:cs="PingFang TC" w:hint="eastAsia"/>
          <w:sz w:val="25"/>
          <w:szCs w:val="25"/>
          <w:lang w:eastAsia="zh-TW"/>
        </w:rPr>
        <w:t>改造</w:t>
      </w:r>
      <w:r w:rsidR="000B03B0">
        <w:rPr>
          <w:rFonts w:ascii="DFKai-SB" w:eastAsia="DFKai-SB" w:hAnsi="DFKai-SB" w:cs="PingFang TC" w:hint="eastAsia"/>
          <w:sz w:val="25"/>
          <w:szCs w:val="25"/>
          <w:lang w:eastAsia="zh-TW"/>
        </w:rPr>
        <w:t>後</w:t>
      </w:r>
      <w:r w:rsidR="005E21A9" w:rsidRPr="000B03B0">
        <w:rPr>
          <w:rFonts w:ascii="DFKai-SB" w:eastAsia="DFKai-SB" w:hAnsi="DFKai-SB" w:cs="PingFang TC" w:hint="eastAsia"/>
          <w:sz w:val="25"/>
          <w:szCs w:val="25"/>
          <w:lang w:eastAsia="zh-TW"/>
        </w:rPr>
        <w:t>的前</w:t>
      </w:r>
      <w:proofErr w:type="gramStart"/>
      <w:r w:rsidR="005E21A9" w:rsidRPr="000B03B0">
        <w:rPr>
          <w:rFonts w:ascii="DFKai-SB" w:eastAsia="DFKai-SB" w:hAnsi="DFKai-SB" w:cs="PingFang TC" w:hint="eastAsia"/>
          <w:sz w:val="25"/>
          <w:szCs w:val="25"/>
          <w:lang w:eastAsia="zh-TW"/>
        </w:rPr>
        <w:t>饋</w:t>
      </w:r>
      <w:proofErr w:type="gramEnd"/>
      <w:r w:rsidR="005E21A9" w:rsidRPr="000B03B0">
        <w:rPr>
          <w:rFonts w:ascii="DFKai-SB" w:eastAsia="DFKai-SB" w:hAnsi="DFKai-SB" w:cs="PingFang TC" w:hint="eastAsia"/>
          <w:sz w:val="25"/>
          <w:szCs w:val="25"/>
          <w:lang w:eastAsia="zh-TW"/>
        </w:rPr>
        <w:t>層</w:t>
      </w:r>
      <w:r w:rsidR="007C75BC" w:rsidRPr="000B03B0">
        <w:rPr>
          <w:rFonts w:ascii="DFKai-SB" w:eastAsia="DFKai-SB" w:hAnsi="DFKai-SB" w:cs="PingFang TC" w:hint="eastAsia"/>
          <w:sz w:val="25"/>
          <w:szCs w:val="25"/>
          <w:lang w:eastAsia="zh-TW"/>
        </w:rPr>
        <w:t>(Bo</w:t>
      </w:r>
      <w:r w:rsidR="007C75BC" w:rsidRPr="000B03B0">
        <w:rPr>
          <w:rFonts w:ascii="DFKai-SB" w:eastAsia="DFKai-SB" w:hAnsi="DFKai-SB" w:cs="PingFang TC"/>
          <w:sz w:val="25"/>
          <w:szCs w:val="25"/>
          <w:lang w:eastAsia="zh-TW"/>
        </w:rPr>
        <w:t>om</w:t>
      </w:r>
      <w:r w:rsidR="00F67111">
        <w:rPr>
          <w:rFonts w:ascii="DFKai-SB" w:eastAsia="DFKai-SB" w:hAnsi="DFKai-SB" w:cs="PingFang TC" w:hint="eastAsia"/>
          <w:sz w:val="25"/>
          <w:szCs w:val="25"/>
          <w:lang w:eastAsia="zh-TW"/>
        </w:rPr>
        <w:t xml:space="preserve"> </w:t>
      </w:r>
      <w:r w:rsidR="00F67111">
        <w:rPr>
          <w:rFonts w:ascii="DFKai-SB" w:eastAsia="DFKai-SB" w:hAnsi="DFKai-SB" w:cs="PingFang TC"/>
          <w:sz w:val="25"/>
          <w:szCs w:val="25"/>
          <w:lang w:eastAsia="zh-TW"/>
        </w:rPr>
        <w:t>Layer</w:t>
      </w:r>
      <w:r w:rsidR="007C75BC" w:rsidRPr="000B03B0">
        <w:rPr>
          <w:rFonts w:ascii="DFKai-SB" w:eastAsia="DFKai-SB" w:hAnsi="DFKai-SB" w:cs="PingFang TC" w:hint="eastAsia"/>
          <w:sz w:val="25"/>
          <w:szCs w:val="25"/>
          <w:lang w:eastAsia="zh-TW"/>
        </w:rPr>
        <w:t>)</w:t>
      </w:r>
      <w:r w:rsidR="005E21A9" w:rsidRPr="000B03B0">
        <w:rPr>
          <w:rFonts w:ascii="DFKai-SB" w:eastAsia="DFKai-SB" w:hAnsi="DFKai-SB" w:cs="PingFang TC" w:hint="eastAsia"/>
          <w:sz w:val="25"/>
          <w:szCs w:val="25"/>
          <w:lang w:eastAsia="zh-TW"/>
        </w:rPr>
        <w:t>:</w:t>
      </w:r>
    </w:p>
    <w:p w14:paraId="4B0C0FD6" w14:textId="6F009787" w:rsidR="007C75BC" w:rsidRPr="005E21A9" w:rsidRDefault="00805FCC" w:rsidP="007C75BC">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62336" behindDoc="0" locked="0" layoutInCell="1" allowOverlap="1" wp14:anchorId="5EB161E1" wp14:editId="169D0117">
            <wp:simplePos x="0" y="0"/>
            <wp:positionH relativeFrom="column">
              <wp:posOffset>4221937</wp:posOffset>
            </wp:positionH>
            <wp:positionV relativeFrom="paragraph">
              <wp:posOffset>9220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w:t>
      </w:r>
      <w:proofErr w:type="gramStart"/>
      <w:r w:rsidR="007C75BC">
        <w:rPr>
          <w:rFonts w:ascii="DFKai-SB" w:eastAsia="DFKai-SB" w:hAnsi="DFKai-SB" w:cs="PingFang TC" w:hint="eastAsia"/>
          <w:sz w:val="25"/>
          <w:szCs w:val="25"/>
          <w:lang w:eastAsia="zh-TW"/>
        </w:rPr>
        <w:t>饋</w:t>
      </w:r>
      <w:proofErr w:type="gramEnd"/>
      <w:r w:rsidR="007C75BC">
        <w:rPr>
          <w:rFonts w:ascii="DFKai-SB" w:eastAsia="DFKai-SB" w:hAnsi="DFKai-SB" w:cs="PingFang TC" w:hint="eastAsia"/>
          <w:sz w:val="25"/>
          <w:szCs w:val="25"/>
          <w:lang w:eastAsia="zh-TW"/>
        </w:rPr>
        <w:t>層</w:t>
      </w:r>
      <w:r w:rsidR="00E83758">
        <w:rPr>
          <w:rFonts w:ascii="DFKai-SB" w:eastAsia="DFKai-SB" w:hAnsi="DFKai-SB" w:cs="PingFang TC" w:hint="eastAsia"/>
          <w:sz w:val="25"/>
          <w:szCs w:val="25"/>
          <w:lang w:eastAsia="zh-TW"/>
        </w:rPr>
        <w:t>，使用一個</w:t>
      </w:r>
    </w:p>
    <w:p w14:paraId="2ECB3634" w14:textId="04C20697" w:rsidR="00E83758" w:rsidRPr="00E83758" w:rsidRDefault="00805FCC"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11AA8381">
            <wp:simplePos x="0" y="0"/>
            <wp:positionH relativeFrom="column">
              <wp:posOffset>4096893</wp:posOffset>
            </wp:positionH>
            <wp:positionV relativeFrom="paragraph">
              <wp:posOffset>2540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E83758">
        <w:rPr>
          <w:rFonts w:ascii="DFKai-SB" w:eastAsia="DFKai-SB" w:hAnsi="DFKai-SB" w:cs="PingFang TC" w:hint="eastAsia"/>
          <w:sz w:val="25"/>
          <w:szCs w:val="25"/>
          <w:lang w:eastAsia="zh-TW"/>
        </w:rPr>
        <w:t>向量，透過以激活函數</w:t>
      </w:r>
      <w:proofErr w:type="spellStart"/>
      <w:r w:rsidR="00E83758">
        <w:rPr>
          <w:rFonts w:ascii="DFKai-SB" w:eastAsia="DFKai-SB" w:hAnsi="DFKai-SB" w:cs="PingFang TC" w:hint="eastAsia"/>
          <w:sz w:val="25"/>
          <w:szCs w:val="25"/>
          <w:lang w:eastAsia="zh-TW"/>
        </w:rPr>
        <w:t>G</w:t>
      </w:r>
      <w:r w:rsidR="00E83758">
        <w:rPr>
          <w:rFonts w:ascii="DFKai-SB" w:eastAsia="DFKai-SB" w:hAnsi="DFKai-SB" w:cs="PingFang TC"/>
          <w:sz w:val="25"/>
          <w:szCs w:val="25"/>
          <w:lang w:eastAsia="zh-TW"/>
        </w:rPr>
        <w:t>eLU</w:t>
      </w:r>
      <w:proofErr w:type="spellEnd"/>
      <w:r w:rsidR="00E83758">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00F48506">
            <wp:simplePos x="0" y="0"/>
            <wp:positionH relativeFrom="column">
              <wp:posOffset>693699</wp:posOffset>
            </wp:positionH>
            <wp:positionV relativeFrom="paragraph">
              <wp:posOffset>7569</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26395E" w:rsidRDefault="001905F1" w:rsidP="0026395E">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75904166" w14:textId="77777777" w:rsidR="000B03B0" w:rsidRDefault="000B03B0"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Pr>
          <w:rFonts w:ascii="DFKai-SB" w:eastAsia="DFKai-SB" w:hAnsi="DFKai-SB" w:cs="PingFang TC"/>
          <w:sz w:val="25"/>
          <w:szCs w:val="25"/>
          <w:lang w:eastAsia="zh-TW"/>
        </w:rPr>
        <w:t>Transformer</w:t>
      </w:r>
      <w:r w:rsidR="00633B22">
        <w:rPr>
          <w:rFonts w:ascii="DFKai-SB" w:eastAsia="DFKai-SB" w:hAnsi="DFKai-SB" w:cs="PingFang TC" w:hint="eastAsia"/>
          <w:sz w:val="25"/>
          <w:szCs w:val="25"/>
          <w:lang w:eastAsia="zh-TW"/>
        </w:rPr>
        <w:t>中的編碼器部分以</w:t>
      </w:r>
      <w:r w:rsidR="00633B22">
        <w:rPr>
          <w:rFonts w:ascii="DFKai-SB" w:eastAsia="DFKai-SB" w:hAnsi="DFKai-SB" w:cs="PingFang TC"/>
          <w:sz w:val="25"/>
          <w:szCs w:val="25"/>
          <w:lang w:eastAsia="zh-TW"/>
        </w:rPr>
        <w:t>BERT</w:t>
      </w:r>
      <w:r w:rsidR="00633B22">
        <w:rPr>
          <w:rFonts w:ascii="DFKai-SB" w:eastAsia="DFKai-SB" w:hAnsi="DFKai-SB" w:cs="PingFang TC" w:hint="eastAsia"/>
          <w:sz w:val="25"/>
          <w:szCs w:val="25"/>
          <w:lang w:eastAsia="zh-TW"/>
        </w:rPr>
        <w:t>進行預訓練和監督式微調，並將BERT輸出向量做為</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的輸入向量。再透過</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723096" w:rsidRDefault="00604FB2" w:rsidP="00604FB2">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470DB89E" w14:textId="77777777" w:rsidR="00723096" w:rsidRDefault="00723096" w:rsidP="00AF3A4C">
      <w:pPr>
        <w:spacing w:after="40"/>
        <w:ind w:firstLine="640"/>
        <w:rPr>
          <w:rFonts w:ascii="DFKai-SB" w:eastAsia="DFKai-SB"/>
          <w:sz w:val="32"/>
        </w:rPr>
      </w:pP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lastRenderedPageBreak/>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0194DC30"/>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96648"/>
    <w:rsid w:val="002B24B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95CD8"/>
    <w:rsid w:val="003B16D5"/>
    <w:rsid w:val="003B20A5"/>
    <w:rsid w:val="003E0652"/>
    <w:rsid w:val="003E3F4F"/>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732EE"/>
    <w:rsid w:val="00D77022"/>
    <w:rsid w:val="00DA4821"/>
    <w:rsid w:val="00DC63CC"/>
    <w:rsid w:val="00DF2A2A"/>
    <w:rsid w:val="00E15561"/>
    <w:rsid w:val="00E22C57"/>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10</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224</cp:revision>
  <cp:lastPrinted>2020-02-24T06:20:00Z</cp:lastPrinted>
  <dcterms:created xsi:type="dcterms:W3CDTF">2019-12-14T14:19:00Z</dcterms:created>
  <dcterms:modified xsi:type="dcterms:W3CDTF">2020-02-24T06:21:00Z</dcterms:modified>
</cp:coreProperties>
</file>