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500"/>
        <w:jc w:val="center"/>
      </w:pPr>
      <w:r>
        <w:rPr>
          <w:b/>
          <w:bCs/>
          <w:color w:val="1F3864"/>
          <w:sz w:val="40"/>
          <w:szCs w:val="40"/>
        </w:rPr>
        <w:t xml:space="preserve">توثيق مشروع تحليل بيانات عملاء الاتصالات المصرية</w:t>
      </w:r>
    </w:p>
    <w:p>
      <w:pPr>
        <w:spacing w:after="100"/>
        <w:jc w:val="center"/>
      </w:pPr>
      <w:r>
        <w:rPr>
          <w:b/>
          <w:bCs/>
          <w:color w:val="2E75B6"/>
          <w:sz w:val="30"/>
          <w:szCs w:val="30"/>
        </w:rPr>
        <w:t xml:space="preserve">Egypt Telecom Customer Analytics &amp; Churn Analysis</w:t>
      </w:r>
    </w:p>
    <w:p>
      <w:pPr>
        <w:spacing w:after="40"/>
        <w:jc w:val="center"/>
      </w:pPr>
      <w:r>
        <w:rPr>
          <w:sz w:val="22"/>
          <w:szCs w:val="22"/>
        </w:rPr>
        <w:t xml:space="preserve">Data Analysis Track — مبادرة رواد مصر الرقمية، الدفعة الرابعة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Final Project Documentation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 &amp; Objectives</w:t>
      </w:r>
    </w:p>
    <w:p>
      <w:pPr>
        <w:spacing w:after="150"/>
      </w:pPr>
      <w:r>
        <w:t xml:space="preserve">Customer churn — subscribers leaving for a competitor — is one of the most costly problems telecom operators face. This project builds a complete analytics pipeline on Egyptian telecom customer and network-performance data to understand who churns, why, and what drives revenue and satisfaction.</w:t>
      </w:r>
    </w:p>
    <w:p>
      <w:pPr>
        <w:pStyle w:val="Heading2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customer segments, operators, and governorates most affected by churn.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 revenue drivers across operators, plan types, and device tiers.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the relationship between network quality (speed, latency), satisfaction, and churn.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the analysis through five complementary tools: Excel, SQL, Python (Streamlit), Power BI, and Tableau.</w:t>
      </w:r>
    </w:p>
    <w:p>
      <w:pPr>
        <w:pStyle w:val="Heading2"/>
        <w:spacing w:after="150" w:before="300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5,500 customer records (raw) + 5,000-record calibrated churn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965 network performance measurement points (Ookla-format, Q4 2024) across 27 governorates.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Four operators covered: Orange, Vodafone, e&amp;, and WE.</w:t>
      </w:r>
    </w:p>
    <w:p>
      <w:pPr>
        <w:pStyle w:val="Heading1"/>
        <w:spacing w:after="200" w:before="400"/>
      </w:pPr>
      <w:r>
        <w:t xml:space="preserve">2. Data Description &amp; Sources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50"/>
        <w:gridCol w:w="15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6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egypt_telecom_dataset-1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customer-level data: demographics, plan, usage, revenue, churn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5,500 rows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egypt_telecom_calibrated_5000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Calibrated customer dataset used specifically for churn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 rows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tiles_raw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Ookla-format synthetic network performance dataset (Q4 2024)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965 tiles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gov_summary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Aggregated network performance metrics per governorate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 governorates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Key Fields</w:t>
      </w:r>
    </w:p>
    <w:p>
      <w:pPr>
        <w:spacing w:after="150"/>
      </w:pPr>
      <w:r>
        <w:t xml:space="preserve">customer_id, operator, phone_prefix, governorate, region, age, age_group, gender, plan_type, customer_segment, tenure_months, network_type, data_bundle, data_used_GB, voice_minutes, sms_count, monthly_revenue_EGP, recharge_frequency, device_tier, complaints_count, satisfaction_score, churn, registration_date.</w:t>
      </w:r>
    </w:p>
    <w:p>
      <w:pPr>
        <w:pStyle w:val="Heading1"/>
        <w:spacing w:after="200" w:before="400"/>
      </w:pPr>
      <w:r>
        <w:t xml:space="preserve">3. Data Cleaning &amp; Preparation (Excel)</w:t>
      </w:r>
    </w:p>
    <w:p>
      <w:pPr>
        <w:spacing w:after="150"/>
      </w:pPr>
      <w:r>
        <w:t xml:space="preserve">The raw dataset was cleaned and prepared in Excel before being used across the other tools. The workbook contains the cleaned customer table alongside several pivot-table summary sheets used to power the Power BI/Tableau visuals and sanity-check the 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egypt_telecom_dataset-1 / egypt_telecom_calibrated_5000 — cleaned customer-level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gov_summary — pivoted network performance metrics per governorate.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pivot sheets summarizing revenue by governorate, operator, device tier, and customer segment.</w:t>
      </w:r>
    </w:p>
    <w:p>
      <w:pPr>
        <w:pStyle w:val="Heading2"/>
        <w:spacing w:after="150" w:before="300"/>
      </w:pPr>
      <w:r>
        <w:t xml:space="preserve">Data Quality Checks Performed</w:t>
      </w:r>
    </w:p>
    <w:p>
      <w:pPr>
        <w:spacing w:after="150"/>
      </w:pPr>
      <w:r>
        <w:t xml:space="preserve">Based on the final cleaned workbook, the following checks and standardizations are reflected in the 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missing values in any of the 23 columns across the full 5,500-row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 customer_id values and no fully duplicated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fields standardized to a fixed, consistent set of values — e.g. operator (Orange, Vodafone, WE, e&amp;), region (Urban/Rural), gender (Male/Female), plan_type (Prepaid/Postpaid), customer_segment (Low, Regular, Business, VIP), network_type (2G–5G), and device_tier (6 tiers from Feature Phone to Tablet).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27 Egyptian governorate names standardized and spelled consistently in Arabic.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age_group correctly derived from age for every row (18-25, 26-35, 36-45, 46-55, 55+), with age itself bounded to a realistic 18-69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phone_prefix consistently mapped one-to-one with operator (e.g. Vodafone → 10, e&amp; → 11, Orange → 12, WE → 15).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 fields fall within realistic bounds after cleaning: satisfaction_score (1-5), churn (binary 0/1), complaints_count (0-5), monthly_revenue_EGP (≈8-2,354 EGP), and registration_date (valid dates between 2022-01-01 and 2024-11-16).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data_bundle standardized to 9 consistent plan names (e.g. Mini 1GB, Smart 5GB, Super 10GB, Mega 20GB, Unlimited+, Business 10/25/40/Max).</w:t>
      </w:r>
    </w:p>
    <w:p>
      <w:pPr>
        <w:spacing w:after="150"/>
      </w:pPr>
      <w:r>
        <w:rPr>
          <w:i/>
          <w:iCs/>
          <w:color w:val="888888"/>
          <w:sz w:val="20"/>
          <w:szCs w:val="20"/>
        </w:rPr>
        <w:t xml:space="preserve">These checks indicate the raw export was de-duplicated, had its categorical labels normalized, and had derived fields (like age_group and phone_prefix) validated for consistency before being used across SQL, Python, Power BI, and Tableau.</w:t>
      </w:r>
    </w:p>
    <w:p>
      <w:pPr>
        <w:pStyle w:val="Heading1"/>
        <w:spacing w:after="200" w:before="400"/>
      </w:pPr>
      <w:r>
        <w:t xml:space="preserve">4. Database Design &amp; Analytical Queries (SQL)</w:t>
      </w:r>
    </w:p>
    <w:p>
      <w:pPr>
        <w:spacing w:after="150"/>
      </w:pPr>
      <w:r>
        <w:t xml:space="preserve">A relational database (EgyptTelecomAnalysis) was created in SQL Server (T-SQL) with three tables: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5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 (PK), operator, governorate, plan_type, monthly_revenue_EGP, churn, ...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 to GovernorateSummary via governorate name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NetworkTiles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tile_id (PK), governorate_en (FK), avg_d_kbps, avg_u_kbps, avg_lat_ms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GovernorateSummary(governorate_en)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GovernorateSummary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governorate_en (PK), governorate_ar, avg_d_mbps, avg_u_mbps, total_tests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Referenced by NetworkTiles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Entity-Relationship Diagram (ERD)</w:t>
      </w:r>
    </w:p>
    <w:p>
      <w:pPr>
        <w:spacing w:after="150"/>
      </w:pPr>
      <w:r>
        <w:t xml:space="preserve">GovernorateSummary is the parent table: NetworkTiles has a formal foreign key to it (governorate_en), so GovernorateSummary must be seeded before NetworkTiles. Customers links to GovernorateSummary informally, by matching governorate names (governorate_ar = governorate) — this relationship exists in the data but is not enforced by a foreign key constraint.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Organizing the SQL File for the Repository</w:t>
      </w:r>
    </w:p>
    <w:p>
      <w:pPr>
        <w:spacing w:after="150"/>
      </w:pPr>
      <w:r>
        <w:t xml:space="preserve">The original script combines schema, ~5,500 rows of seed data, and analytical queries in a single 7,000-line file. For the repository, it was split into ordered files so each part is easy to review and run independently: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00_run_all.sql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Instructions describing the required run order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01_schema.sql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DATABASE + 3 CREATE TABLE statements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02_seed_customers.sql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5,500 Customers rows (no FK dependency)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03_seed_governorate_summary.sql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 GovernorateSummary rows — must run before step 4 (FK dependency)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04_seed_network_tiles.sql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965 NetworkTiles rows (FK to GovernorateSummary)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05_analytical_queries.sql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Row-count checks + all churn / revenue / usage / geographic / time / advanced-join queries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  <w:color w:val="888888"/>
          <w:sz w:val="20"/>
          <w:szCs w:val="20"/>
        </w:rPr>
        <w:t xml:space="preserve">Note: the original file inserted NetworkTiles before GovernorateSummary, which would fail under the declared foreign key. The split above corrects the run order — seed GovernorateSummary first.</w:t>
      </w:r>
    </w:p>
    <w:p>
      <w:pPr>
        <w:pStyle w:val="Heading2"/>
        <w:spacing w:after="150" w:before="300"/>
      </w:pPr>
      <w:r>
        <w:t xml:space="preserve">Analytical Query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Churn analysis — churn rate by operator, age group, network type, and tenure bucket.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analysis — top customers, revenue by device tier, total revenue per operator.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Usage analysis — data/voice/SMS usage by age group, high-usage customers, bundle efficiency.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Geographic analysis — churn and satisfaction by governorate, urban vs. rural comparison.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analysis — new customers and churn trend by registration month, tenure by operator.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Advanced joins — network quality combined with satisfaction and churn per governorate.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segmentation — high-value customers, at-risk customers (high complaints + low satisfaction), operator ranking per governorate.</w:t>
      </w:r>
    </w:p>
    <w:p>
      <w:pPr>
        <w:pStyle w:val="Heading1"/>
        <w:spacing w:after="200" w:before="400"/>
      </w:pPr>
      <w:r>
        <w:t xml:space="preserve">5. Interactive Dashboard (Python + Streamlit)</w:t>
      </w:r>
    </w:p>
    <w:p>
      <w:pPr>
        <w:spacing w:after="150"/>
      </w:pPr>
      <w:r>
        <w:t xml:space="preserve">An interactive Streamlit application (Project_Final_Telecom.py) was built using Pandas and Plotly Express, with three linked dashboards and sidebar filters (operator, governorate, plan type, customer segment):</w:t>
      </w:r>
    </w:p>
    <w:p>
      <w:pPr>
        <w:pStyle w:val="Heading2"/>
        <w:spacing w:after="150" w:before="300"/>
      </w:pPr>
      <w:r>
        <w:t xml:space="preserve">📊 Dashboard 1 — Customer &amp; Revenue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KPIs: customer count, average monthly revenue, churn rate, average satisfaction, average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Charts: revenue by operator, top 10 governorates by customer count, age distribution by gender, churn rate by customer segment, data usage by bundle, plan-type split.</w:t>
      </w:r>
    </w:p>
    <w:p>
      <w:pPr>
        <w:pStyle w:val="Heading2"/>
        <w:spacing w:after="150" w:before="300"/>
      </w:pPr>
      <w:r>
        <w:t xml:space="preserve">📶 Dashboard 2 — Network Performance by Governorate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KPIs: average download/upload speed, average latency, total tests.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Charts: download speed by governorate, speed-vs-latency scatter, geographic map of measurement tiles.</w:t>
      </w:r>
    </w:p>
    <w:p>
      <w:pPr>
        <w:pStyle w:val="Heading2"/>
        <w:spacing w:after="150" w:before="300"/>
      </w:pPr>
      <w:r>
        <w:t xml:space="preserve">⚠️ Dashboard 3 — Churn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KPIs: overall churn rate, churned customer count, average complaints and satisfaction (churned vs. retained).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Charts: churn by segment, churn vs. complaint count, satisfaction distribution by churn status, churn by device tier, tenure distribution by churn, churn by e-wallet usage.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Power BI Dashboard</w:t>
      </w:r>
    </w:p>
    <w:p>
      <w:pPr>
        <w:spacing w:after="150"/>
      </w:pPr>
      <w:r>
        <w:t xml:space="preserve">The Power BI report (Power_BI_Final_Project.pbix) presents three report pages:</w:t>
      </w:r>
    </w:p>
    <w:p>
      <w:pPr>
        <w:pStyle w:val="Heading2"/>
        <w:spacing w:after="150" w:before="300"/>
      </w:pPr>
      <w:r>
        <w:t xml:space="preserve">Page 1 — Customers &amp; Revenue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cards: 5.5K customers, 794.67K EGP total monthly revenue, 40.78 months average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by governorate (bar chart), tenure distribution by age group (pie), plan type by customer segment, revenue share by operator (donut — Vodafone leads with ~46.7%).</w:t>
      </w:r>
    </w:p>
    <w:p>
      <w:pPr>
        <w:spacing w:after="150" w:before="150"/>
        <w:jc w:val="center"/>
      </w:pPr>
      <w:r>
        <w:drawing>
          <wp:inline distT="0" distB="0" distL="0" distR="0">
            <wp:extent cx="6000000" cy="463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4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Page 2 — Churn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cards: total churn 162 customers (~3% average churn rate).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Churn by operator (pie — Vodafone ~38.9%, Orange ~27.2%, WE ~20.9%, e&amp; ~13.0%), average churn by tenure (line), customer count by satisfaction score and churn (bar), churn by plan type.</w:t>
      </w:r>
    </w:p>
    <w:p>
      <w:pPr>
        <w:spacing w:after="150" w:before="150"/>
        <w:jc w:val="center"/>
      </w:pPr>
      <w:r>
        <w:drawing>
          <wp:inline distT="0" distB="0" distL="0" distR="0">
            <wp:extent cx="6000000" cy="463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4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Page 3 — Usage, Complaints &amp; Network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cards: 5K total complaints, 3.61 average satisfaction score, 2M total voice minutes, 54.45K GB total data used.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Complaints by governorate, satisfaction by operator, customer count by data bundle, customer count by device tier and network type.</w:t>
      </w:r>
    </w:p>
    <w:p>
      <w:pPr>
        <w:spacing w:after="150" w:before="150"/>
        <w:jc w:val="center"/>
      </w:pPr>
      <w:r>
        <w:drawing>
          <wp:inline distT="0" distB="0" distL="0" distR="0">
            <wp:extent cx="6000000" cy="463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4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7. Tableau Dashboards</w:t>
      </w:r>
    </w:p>
    <w:p>
      <w:pPr>
        <w:spacing w:after="150"/>
      </w:pPr>
      <w:r>
        <w:t xml:space="preserve">The Tableau analysis below (Network Performance and Customer &amp; Revenue Performance dashboards, including key observations and interpretive notes) was prepared by Marina and is included here in full.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8. Data Validation &amp;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counts verified after SQL import (Customers, NetworkTiles, GovernorateSummary) via COUNT(*) checks.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Referential integrity checked between NetworkTiles and GovernorateSummary (orphan-governorate query).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Cross-tool consistency checked: KPI totals (customer count, revenue, churn) match across Excel pivots, SQL aggregates, the Streamlit app, and Power BI.</w:t>
      </w:r>
    </w:p>
    <w:p>
      <w:pPr>
        <w:pStyle w:val="Heading1"/>
        <w:spacing w:after="200" w:before="400"/>
      </w:pPr>
      <w:r>
        <w:t xml:space="preserve">9.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churn rate is low (~3%), but is concentrated among specific operators, high-complaint customers, and low-satisfaction segments.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Vodafone holds both the largest revenue share (~46.7%) and the largest share of churned customers (~38.9%) — consistent with it having the largest customer 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Customers with more complaints and lower satisfaction scores churn at a visibly higher rate — complaint volume is a strong early-warning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performance (download speed, latency) varies notably by governorate, which correlates with regional differences in satisfaction.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Postpaid and high-value/high-usage customers tend to generate disproportionately higher revenue relative to their numbers.</w:t>
      </w:r>
    </w:p>
    <w:p>
      <w:pPr>
        <w:pStyle w:val="Heading1"/>
        <w:spacing w:after="200" w:before="400"/>
      </w:pPr>
      <w:r>
        <w:t xml:space="preserve">10. Conclusion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retention efforts on customers with 3+ complaints and satisfaction scores ≤ 2 — the clearest at-risk group in the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network quality in low-performing governorates, since it appears linked to lower satisfaction and higher churn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operator-specific retention campaigns, given the concentration of churn and revenue within Vodafone's customer 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this analysis with a predictive churn model (e.g., logistic regression / gradient boosting) using the calibrated 5,000-record dataset as a next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28e72fb41b07a01bb7587182cdf5bf6b41915e.png"/><Relationship Id="rId8" Type="http://schemas.openxmlformats.org/officeDocument/2006/relationships/image" Target="media/580782b1350d5ce9c8ef4b7ba34a85c30730b306.jpg"/><Relationship Id="rId9" Type="http://schemas.openxmlformats.org/officeDocument/2006/relationships/image" Target="media/f295715d933ad2123d956c4b129eccc921b17fa9.jpg"/><Relationship Id="rId10" Type="http://schemas.openxmlformats.org/officeDocument/2006/relationships/image" Target="media/52571a911fc52fb18bb626452d8aa45d3c05e669.jpg"/><Relationship Id="rId11" Type="http://schemas.openxmlformats.org/officeDocument/2006/relationships/image" Target="media/2d1da589e230f94dcc0e39f45a53f867cefedefc.png"/><Relationship Id="rId12" Type="http://schemas.openxmlformats.org/officeDocument/2006/relationships/image" Target="media/7533fe4980e7d27071e112e32221e70f2a553d1f.png"/><Relationship Id="rId13" Type="http://schemas.openxmlformats.org/officeDocument/2006/relationships/image" Target="media/47b5f4daad49cb2ad5466fe2e0f0b39d7db722d2.png"/><Relationship Id="rId14" Type="http://schemas.openxmlformats.org/officeDocument/2006/relationships/image" Target="media/93e8b48ec76a67170d479a335f2bb51c7057425c.png"/><Relationship Id="rId15" Type="http://schemas.openxmlformats.org/officeDocument/2006/relationships/image" Target="media/6ab8e0bc0c4f82d01ff98cb0de896f1f939d2a74.png"/><Relationship Id="rId16" Type="http://schemas.openxmlformats.org/officeDocument/2006/relationships/image" Target="media/d5d845daa6192d7f64bdaf098d67e777400218cd.png"/><Relationship Id="rId17" Type="http://schemas.openxmlformats.org/officeDocument/2006/relationships/image" Target="media/bd3e4d4943c0e35a59103e17979b4fdfe74e3063.png"/><Relationship Id="rId18" Type="http://schemas.openxmlformats.org/officeDocument/2006/relationships/image" Target="media/2907611ae81ce366971e78a8441ba94f48345dd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2026-07-16T00:03:51.668Z</dcterms:created>
  <dcterms:modified xsi:type="dcterms:W3CDTF">2026-07-16T00:03:51.679Z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