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Three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czpe0okjg2e1" w:id="0"/>
      <w:bookmarkEnd w:id="0"/>
      <w:r w:rsidDel="00000000" w:rsidR="00000000" w:rsidRPr="00000000">
        <w:rPr>
          <w:sz w:val="28"/>
          <w:szCs w:val="28"/>
          <w:rtl w:val="0"/>
        </w:rPr>
        <w:t xml:space="preserve">From Data to Insight: The Power of Statistics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Complete the questions in the Course 3 PACE strategy document</w:t>
      </w:r>
    </w:p>
    <w:p w:rsidR="00000000" w:rsidDel="00000000" w:rsidP="00000000" w:rsidRDefault="00000000" w:rsidRPr="00000000" w14:paraId="0000000C">
      <w:pPr>
        <w:widowControl w:val="0"/>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Answer the questions in the Jupyter notebook project file</w:t>
      </w:r>
    </w:p>
    <w:p w:rsidR="00000000" w:rsidDel="00000000" w:rsidP="00000000" w:rsidRDefault="00000000" w:rsidRPr="00000000" w14:paraId="0000000D">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Compute descriptive statistics</w:t>
      </w:r>
      <w:r w:rsidDel="00000000" w:rsidR="00000000" w:rsidRPr="00000000">
        <w:rPr>
          <w:strike w:val="1"/>
          <w:rtl w:val="0"/>
        </w:rPr>
      </w:r>
    </w:p>
    <w:p w:rsidR="00000000" w:rsidDel="00000000" w:rsidP="00000000" w:rsidRDefault="00000000" w:rsidRPr="00000000" w14:paraId="0000000E">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Conduct a hypothesis test</w:t>
      </w:r>
    </w:p>
    <w:p w:rsidR="00000000" w:rsidDel="00000000" w:rsidP="00000000" w:rsidRDefault="00000000" w:rsidRPr="00000000" w14:paraId="0000000F">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Create an executive summary for external stakeholders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2">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this end-of-course project will empower you to respond to the following interview topics: </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an A/B test to stakeholders who may not be familiar with analytics?</w:t>
      </w:r>
    </w:p>
    <w:p w:rsidR="00000000" w:rsidDel="00000000" w:rsidP="00000000" w:rsidRDefault="00000000" w:rsidRPr="00000000" w14:paraId="00000014">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A/B testing basically involves having two versions of the same project—for instance, Alternative A and Alternative B. We test how each one performs in an experiment to determine whether our first hypothesis or our second hypothesis was correct.</w:t>
      </w:r>
    </w:p>
    <w:p w:rsidR="00000000" w:rsidDel="00000000" w:rsidP="00000000" w:rsidRDefault="00000000" w:rsidRPr="00000000" w14:paraId="00000015">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If you had access to company performance data, what statistical tests might be useful to help understand performance?</w:t>
      </w:r>
    </w:p>
    <w:p w:rsidR="00000000" w:rsidDel="00000000" w:rsidP="00000000" w:rsidRDefault="00000000" w:rsidRPr="00000000" w14:paraId="00000016">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With all the company data available, you could compare performance between two groups or conditions. This is useful for evaluating A/B tests, performance by channel or customer type, or the impact of a strategy (before vs. after).</w:t>
      </w:r>
    </w:p>
    <w:p w:rsidR="00000000" w:rsidDel="00000000" w:rsidP="00000000" w:rsidRDefault="00000000" w:rsidRPr="00000000" w14:paraId="00000017">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considerations would you think about when presenting results to make sure they have an impact or have achieved the desired results?</w:t>
      </w:r>
    </w:p>
    <w:p w:rsidR="00000000" w:rsidDel="00000000" w:rsidP="00000000" w:rsidRDefault="00000000" w:rsidRPr="00000000" w14:paraId="00000018">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Speaking in terms of money and percentages: Instead of focusing solely on statistical significance, highlight absolute and relative values. For example, in a fare analysis: "Customers who pay by card generate an average of $\$1.22$ more per trip ($+10\%$ compared to cash)." </w:t>
      </w:r>
    </w:p>
    <w:p w:rsidR="00000000" w:rsidDel="00000000" w:rsidP="00000000" w:rsidRDefault="00000000" w:rsidRPr="00000000" w14:paraId="00000019">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Quantify the potential: Calculate the projected impact at scale (e.g., "If we manage to shift 15% of cash payments to credit cards, projected annual revenue will increase by $X thousand dollars").</w:t>
      </w:r>
    </w:p>
    <w:p w:rsidR="00000000" w:rsidDel="00000000" w:rsidP="00000000" w:rsidRDefault="00000000" w:rsidRPr="00000000" w14:paraId="0000001A">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 would use a clear and concise narrative structure. Context / Problem: Clearly define the business challenge before presenting any data (e.g., the dilemma posed within the PACE framework). Key Insight: Present the main result directly. Avoid burying the conclusion at the end; start the visual section with a clear answer to the hypothesis. Supporting Evidence: Concisely display the charts (box plots or bar charts) and the analysis performed to substantiate the finding.</w:t>
      </w:r>
    </w:p>
    <w:p w:rsidR="00000000" w:rsidDel="00000000" w:rsidP="00000000" w:rsidRDefault="00000000" w:rsidRPr="00000000" w14:paraId="0000001B">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Clear and focused visualizations</w:t>
      </w:r>
    </w:p>
    <w:p w:rsidR="00000000" w:rsidDel="00000000" w:rsidP="00000000" w:rsidRDefault="00000000" w:rsidRPr="00000000" w14:paraId="0000001C">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Images and charts must be understood in a matter of seconds:</w:t>
      </w:r>
    </w:p>
    <w:p w:rsidR="00000000" w:rsidDel="00000000" w:rsidP="00000000" w:rsidRDefault="00000000" w:rsidRPr="00000000" w14:paraId="0000001D">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Intentional use of color: Highlight the key category (e.g., Credit Card) in a striking color (such as blue or green) while keeping the comparison category (Cash) in a neutral or gray tone. Direct annotations: Include brief text directly on the chart to point out relevant details (for example, an arrow indicating a "$1.22 difference" between the average bars). Eliminate noise: Remove unnecessary gridlines, redundant legends, or small fonts.</w:t>
      </w:r>
    </w:p>
    <w:p w:rsidR="00000000" w:rsidDel="00000000" w:rsidP="00000000" w:rsidRDefault="00000000" w:rsidRPr="00000000" w14:paraId="0000001E">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Actionable recommendations and next steps, An impactful presentation does not end simply by showing the data, but by outlining the path forward:</w:t>
      </w:r>
    </w:p>
    <w:p w:rsidR="00000000" w:rsidDel="00000000" w:rsidP="00000000" w:rsidRDefault="00000000" w:rsidRPr="00000000" w14:paraId="0000001F">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Anticipate risks or biases: Transparently clarify the analysis's limitations (for example, noting the existence of a correlation or association and suggesting that analyzing distance in miles would be worthwhile to control for confounding variables).</w:t>
      </w:r>
    </w:p>
    <w:p w:rsidR="00000000" w:rsidDel="00000000" w:rsidP="00000000" w:rsidRDefault="00000000" w:rsidRPr="00000000" w14:paraId="00000020">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Conclude with a decision-oriented question: End by proposing the next strategic step or seeking approval for a pilot program or follow-up experiment.</w:t>
      </w:r>
    </w:p>
    <w:p w:rsidR="00000000" w:rsidDel="00000000" w:rsidP="00000000" w:rsidRDefault="00000000" w:rsidRPr="00000000" w14:paraId="00000021">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Deliver concrete actions: Propose specific plans based on the findings, such as designing campaigns to encourage card linking or prioritizing fleets in areas with longer trip distances.</w:t>
      </w:r>
    </w:p>
    <w:p w:rsidR="00000000" w:rsidDel="00000000" w:rsidP="00000000" w:rsidRDefault="00000000" w:rsidRPr="00000000" w14:paraId="00000022">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effective ways to communicate statistical concepts/methods to a non-technical audience?</w:t>
      </w:r>
    </w:p>
    <w:p w:rsidR="00000000" w:rsidDel="00000000" w:rsidP="00000000" w:rsidRDefault="00000000" w:rsidRPr="00000000" w14:paraId="00000023">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Avoid advanced technical terms and replace them with intuitive explanations linked to direct impact: Instead of "</w:t>
      </w:r>
      <m:oMath>
        <m:r>
          <w:rPr>
            <w:rFonts w:ascii="Google Sans" w:cs="Google Sans" w:eastAsia="Google Sans" w:hAnsi="Google Sans"/>
          </w:rPr>
          <m:t xml:space="preserve">p</m:t>
        </m:r>
      </m:oMath>
      <w:r w:rsidDel="00000000" w:rsidR="00000000" w:rsidRPr="00000000">
        <w:rPr>
          <w:rFonts w:ascii="Google Sans" w:cs="Google Sans" w:eastAsia="Google Sans" w:hAnsi="Google Sans"/>
          <w:rtl w:val="0"/>
        </w:rPr>
        <w:t xml:space="preserve">-value," explain the likelihood that the result is a coincidence or due to chance (e.g., "There is less than a 1% chance that this difference in sales is a fluke"). Instead of "</w:t>
      </w:r>
      <m:oMath>
        <m:r>
          <w:rPr>
            <w:rFonts w:ascii="Google Sans" w:cs="Google Sans" w:eastAsia="Google Sans" w:hAnsi="Google Sans"/>
          </w:rPr>
          <m:t xml:space="preserve">t</m:t>
        </m:r>
      </m:oMath>
      <w:r w:rsidDel="00000000" w:rsidR="00000000" w:rsidRPr="00000000">
        <w:rPr>
          <w:rFonts w:ascii="Google Sans" w:cs="Google Sans" w:eastAsia="Google Sans" w:hAnsi="Google Sans"/>
          <w:rtl w:val="0"/>
        </w:rPr>
        <w:t xml:space="preserve">-statistic," present it as the strength of the signal versus data noise (e.g., "We compared the difference in averages against normal day-to-day variation and confirmed that the gap is consistent"). Instead of "Rejecting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oMath>
      <w:r w:rsidDel="00000000" w:rsidR="00000000" w:rsidRPr="00000000">
        <w:rPr>
          <w:rFonts w:ascii="Google Sans" w:cs="Google Sans" w:eastAsia="Google Sans" w:hAnsi="Google Sans"/>
          <w:rtl w:val="0"/>
        </w:rPr>
        <w:t xml:space="preserve">," state the business conclusion directly (e.g., "The data confirm the hypothesis: the digital channel generates a higher average transaction value"). Instead of "bias" or "outliers," refer to "atypical cases" or "isolated deviations that could distort the true trend."</w:t>
      </w:r>
    </w:p>
    <w:p w:rsidR="00000000" w:rsidDel="00000000" w:rsidP="00000000" w:rsidRDefault="00000000" w:rsidRPr="00000000" w14:paraId="00000024">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 everyday analogies. Analogies help ground abstract ideas in familiar situations: Hypothesis testing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oMath>
      <w:r w:rsidDel="00000000" w:rsidR="00000000" w:rsidRPr="00000000">
        <w:rPr>
          <w:rFonts w:ascii="Google Sans" w:cs="Google Sans" w:eastAsia="Google Sans" w:hAnsi="Google Sans"/>
          <w:rtl w:val="0"/>
        </w:rPr>
        <w:t xml:space="preserve"> vs.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1</m:t>
            </m:r>
          </m:sub>
        </m:sSub>
      </m:oMath>
      <w:r w:rsidDel="00000000" w:rsidR="00000000" w:rsidRPr="00000000">
        <w:rPr>
          <w:rFonts w:ascii="Google Sans" w:cs="Google Sans" w:eastAsia="Google Sans" w:hAnsi="Google Sans"/>
          <w:rtl w:val="0"/>
        </w:rPr>
        <w:t xml:space="preserve">): Compare it to a criminal trial. The accused is presumed innocent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oMath>
      <w:r w:rsidDel="00000000" w:rsidR="00000000" w:rsidRPr="00000000">
        <w:rPr>
          <w:rFonts w:ascii="Google Sans" w:cs="Google Sans" w:eastAsia="Google Sans" w:hAnsi="Google Sans"/>
          <w:rtl w:val="0"/>
        </w:rPr>
        <w:t xml:space="preserve">) until compelling evidence against them is presented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1</m:t>
            </m:r>
          </m:sub>
        </m:sSub>
      </m:oMath>
      <w:r w:rsidDel="00000000" w:rsidR="00000000" w:rsidRPr="00000000">
        <w:rPr>
          <w:rFonts w:ascii="Google Sans" w:cs="Google Sans" w:eastAsia="Google Sans" w:hAnsi="Google Sans"/>
          <w:rtl w:val="0"/>
        </w:rPr>
        <w:t xml:space="preserve">). Confidence intervals: Compare them to a weather forecast. Instead of saying "tomorrow it will be exactly $20^\circ\text{C}$," you say "with $95\%$ confidence, the temperature will be between $18^\circ\text{C}$ and $22^\circ\text{C}$." Standard deviation: Explain it as the "margin of variability" or an athlete's consistency (a consistent player has low deviation; one who is either on a high or in a slump has high variation).</w:t>
      </w:r>
    </w:p>
    <w:p w:rsidR="00000000" w:rsidDel="00000000" w:rsidP="00000000" w:rsidRDefault="00000000" w:rsidRPr="00000000" w14:paraId="00000025">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 your own words, explain the factors that go into an experimental design for designs such as A/B tests.</w:t>
      </w:r>
    </w:p>
    <w:p w:rsidR="00000000" w:rsidDel="00000000" w:rsidP="00000000" w:rsidRDefault="00000000" w:rsidRPr="00000000" w14:paraId="00000026">
      <w:pPr>
        <w:spacing w:after="20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Several key factors are involved in the experimental design of an A/B test to ensure that results are reliable and actionable for the business: Independent variable (the change): The specific element modified between versions to evaluate its impact (e.g., changing a button color, call-to-action text, or the checkout flow layout). Hypothesis definition: A clear formulation of what is expected to be demonstrated. The null hypothesis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oMath>
      <w:r w:rsidDel="00000000" w:rsidR="00000000" w:rsidRPr="00000000">
        <w:rPr>
          <w:rFonts w:ascii="Google Sans" w:cs="Google Sans" w:eastAsia="Google Sans" w:hAnsi="Google Sans"/>
          <w:rtl w:val="0"/>
        </w:rPr>
        <w:t xml:space="preserve">) assumes the change will have no effect, while the alternative hypothesis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1</m:t>
            </m:r>
          </m:sub>
        </m:sSub>
      </m:oMath>
      <w:r w:rsidDel="00000000" w:rsidR="00000000" w:rsidRPr="00000000">
        <w:rPr>
          <w:rFonts w:ascii="Google Sans" w:cs="Google Sans" w:eastAsia="Google Sans" w:hAnsi="Google Sans"/>
          <w:rtl w:val="0"/>
        </w:rPr>
        <w:t xml:space="preserve">) posits that the modified version will improve the metric. Randomization and group assignment: Ensures users are assigned completely at random to the Control Group (original version) and the Treatment Group (version with the change), avoiding selection bias. Sample size and significance level (</w:t>
      </w:r>
      <m:oMath>
        <m:r>
          <m:t>α</m:t>
        </m:r>
      </m:oMath>
      <w:r w:rsidDel="00000000" w:rsidR="00000000" w:rsidRPr="00000000">
        <w:rPr>
          <w:rFonts w:ascii="Google Sans" w:cs="Google Sans" w:eastAsia="Google Sans" w:hAnsi="Google Sans"/>
          <w:rtl w:val="0"/>
        </w:rPr>
        <w:t xml:space="preserve">): The minimum number of users required is calculated beforehand based on the desired confidence level (usually $95\%$, with </w:t>
      </w:r>
      <m:oMath>
        <m:r>
          <m:t>α</m:t>
        </m:r>
        <m:r>
          <w:rPr>
            <w:rFonts w:ascii="Google Sans" w:cs="Google Sans" w:eastAsia="Google Sans" w:hAnsi="Google Sans"/>
          </w:rPr>
          <m:t xml:space="preserve">=0.05</m:t>
        </m:r>
      </m:oMath>
      <w:r w:rsidDel="00000000" w:rsidR="00000000" w:rsidRPr="00000000">
        <w:rPr>
          <w:rFonts w:ascii="Google Sans" w:cs="Google Sans" w:eastAsia="Google Sans" w:hAnsi="Google Sans"/>
          <w:rtl w:val="0"/>
        </w:rPr>
        <w:t xml:space="preserve">) and statistical power ($80\%$) to ensure the experiment can detect real differences. Test duration and seasonality: The length of time the experiment must run (often full weeks) to capture natural variations in user behavior based on the day of the week or time of day, avoiding premature termination (the "peeking problem").</w:t>
      </w:r>
    </w:p>
    <w:p w:rsidR="00000000" w:rsidDel="00000000" w:rsidP="00000000" w:rsidRDefault="00000000" w:rsidRPr="00000000" w14:paraId="00000027">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28">
      <w:pPr>
        <w:spacing w:after="100" w:lineRule="auto"/>
        <w:rPr>
          <w:rFonts w:ascii="Google Sans" w:cs="Google Sans" w:eastAsia="Google Sans" w:hAnsi="Google Sans"/>
          <w:b w:val="1"/>
          <w:bCs w:val="1"/>
          <w:color w:val="1155cc"/>
          <w:sz w:val="24"/>
          <w:szCs w:val="24"/>
          <w:highlight w:val="yellow"/>
        </w:rPr>
      </w:pPr>
      <w:r w:rsidDel="00000000" w:rsidR="00000000" w:rsidRPr="00000000">
        <w:br w:type="page"/>
      </w: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four tasks; the visual below identifies how the stages of PACE are incorporated across those tasks.</w:t>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2" name="image2.png"/>
            <a:graphic>
              <a:graphicData uri="http://schemas.openxmlformats.org/drawingml/2006/picture">
                <pic:pic>
                  <pic:nvPicPr>
                    <pic:cNvPr id="0" name="image2.png"/>
                    <pic:cNvPicPr preferRelativeResize="0"/>
                  </pic:nvPicPr>
                  <pic:blipFill>
                    <a:blip r:embed="rId7"/>
                    <a:srcRect b="0" l="10683" r="10683"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2C">
      <w:pPr>
        <w:spacing w:after="100" w:lineRule="auto"/>
        <w:rPr>
          <w:rFonts w:ascii="Google Sans" w:cs="Google Sans" w:eastAsia="Google Sans" w:hAnsi="Google Sans"/>
          <w:b w:val="1"/>
          <w:bCs w:val="1"/>
          <w:color w:val="1155cc"/>
          <w:sz w:val="24"/>
          <w:szCs w:val="24"/>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p>
    <w:p w:rsidR="00000000" w:rsidDel="00000000" w:rsidP="00000000" w:rsidRDefault="00000000" w:rsidRPr="00000000" w14:paraId="0000002D">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2E">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2F">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main purpose of this project?</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 business question can be resolved through statistical and descriptive data analysis; the company's main issue is understanding the relationship between the payment method and the fare amount.</w:t>
      </w:r>
    </w:p>
    <w:p w:rsidR="00000000" w:rsidDel="00000000" w:rsidP="00000000" w:rsidRDefault="00000000" w:rsidRPr="00000000" w14:paraId="00000031">
      <w:pP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numPr>
          <w:ilvl w:val="0"/>
          <w:numId w:val="2"/>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your research question for this project?</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Does the type of payment affect the payment amount?</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hd w:fill="ffffff" w:val="clea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numPr>
          <w:ilvl w:val="0"/>
          <w:numId w:val="2"/>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importance of random sampling? </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Sampling allows us to draw inferences about a population, particularly when dealing with very large populations where analyzing all the data would be extremely costly and time-consuming. When taking a sample, we must consider that the sample must effectively and accurately represent the population from which it is drawn. Based on a sample, we can perform a multitude of calculations that allow us to derive inferential estimates regarding the population.</w:t>
      </w:r>
    </w:p>
    <w:p w:rsidR="00000000" w:rsidDel="00000000" w:rsidP="00000000" w:rsidRDefault="00000000" w:rsidRPr="00000000" w14:paraId="00000038">
      <w:pPr>
        <w:shd w:fill="ffffff" w:val="clea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numPr>
          <w:ilvl w:val="0"/>
          <w:numId w:val="2"/>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 an example of sampling bias that might occur if you didn’t use random sampling.</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When a public opinion poll is conducted using only landline calls instead of modern random sampling.</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a research center assesses voting intentions or the acceptance of a new technology by calling only landlines, it will systematically exclude the younger population, who predominantly use mobile phones. Consequently, the sample will be heavily skewed toward older adults and individuals within a specific socioeconomic level or age range. The data obtained will not reflect the reality of the general population, leading to distorted conclusions based on a non-representative group.</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pacing w:after="200" w:lineRule="auto"/>
        <w:rPr>
          <w:rFonts w:ascii="Google Sans" w:cs="Google Sans" w:eastAsia="Google Sans" w:hAnsi="Google Sans"/>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695325</wp:posOffset>
            </wp:positionH>
            <wp:positionV relativeFrom="paragraph">
              <wp:posOffset>371475</wp:posOffset>
            </wp:positionV>
            <wp:extent cx="597232" cy="597232"/>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7232" cy="597232"/>
                    </a:xfrm>
                    <a:prstGeom prst="rect"/>
                    <a:ln/>
                  </pic:spPr>
                </pic:pic>
              </a:graphicData>
            </a:graphic>
          </wp:anchor>
        </w:drawing>
      </w:r>
    </w:p>
    <w:p w:rsidR="00000000" w:rsidDel="00000000" w:rsidP="00000000" w:rsidRDefault="00000000" w:rsidRPr="00000000" w14:paraId="0000003E">
      <w:pPr>
        <w:spacing w:after="200" w:lineRule="auto"/>
        <w:rPr>
          <w:rFonts w:ascii="Google Sans" w:cs="Google Sans" w:eastAsia="Google Sans" w:hAnsi="Google Sans"/>
          <w:b w:val="1"/>
          <w:bCs w:val="1"/>
          <w:color w:val="333333"/>
          <w:sz w:val="24"/>
          <w:szCs w:val="24"/>
        </w:rPr>
      </w:pPr>
      <w:r w:rsidDel="00000000" w:rsidR="00000000" w:rsidRPr="00000000">
        <w:rPr>
          <w:rFonts w:ascii="Google Sans" w:cs="Google Sans" w:eastAsia="Google Sans" w:hAnsi="Google Sans"/>
          <w:color w:val="333333"/>
          <w:sz w:val="20"/>
          <w:szCs w:val="20"/>
          <w:shd w:fill="f1f3f4" w:val="clear"/>
        </w:rPr>
        <w:drawing>
          <wp:inline distB="114300" distT="114300" distL="114300" distR="114300">
            <wp:extent cx="597232" cy="597232"/>
            <wp:effectExtent b="0" l="0" r="0" t="0"/>
            <wp:docPr id="7" name="image6.png"/>
            <a:graphic>
              <a:graphicData uri="http://schemas.openxmlformats.org/drawingml/2006/picture">
                <pic:pic>
                  <pic:nvPicPr>
                    <pic:cNvPr id="0" name="image6.png"/>
                    <pic:cNvPicPr preferRelativeResize="0"/>
                  </pic:nvPicPr>
                  <pic:blipFill>
                    <a:blip r:embed="rId10"/>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color w:val="333333"/>
          <w:sz w:val="20"/>
          <w:szCs w:val="20"/>
          <w:rtl w:val="0"/>
        </w:rPr>
        <w:t xml:space="preserve">                            </w:t>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w:t>
      </w:r>
      <w:r w:rsidDel="00000000" w:rsidR="00000000" w:rsidRPr="00000000">
        <w:rPr>
          <w:rFonts w:ascii="Google Sans" w:cs="Google Sans" w:eastAsia="Google Sans" w:hAnsi="Google Sans"/>
          <w:b w:val="1"/>
          <w:bCs w:val="1"/>
          <w:color w:val="333333"/>
          <w:sz w:val="24"/>
          <w:szCs w:val="24"/>
          <w:rtl w:val="0"/>
        </w:rPr>
        <w:t xml:space="preserve">&amp; </w:t>
      </w:r>
      <w:r w:rsidDel="00000000" w:rsidR="00000000" w:rsidRPr="00000000">
        <w:rPr>
          <w:rFonts w:ascii="Google Sans" w:cs="Google Sans" w:eastAsia="Google Sans" w:hAnsi="Google Sans"/>
          <w:b w:val="1"/>
          <w:bCs w:val="1"/>
          <w:color w:val="e69138"/>
          <w:sz w:val="24"/>
          <w:szCs w:val="24"/>
          <w:rtl w:val="0"/>
        </w:rPr>
        <w:t xml:space="preserve">Construct </w:t>
      </w:r>
      <w:r w:rsidDel="00000000" w:rsidR="00000000" w:rsidRPr="00000000">
        <w:rPr>
          <w:rFonts w:ascii="Google Sans" w:cs="Google Sans" w:eastAsia="Google Sans" w:hAnsi="Google Sans"/>
          <w:b w:val="1"/>
          <w:bCs w:val="1"/>
          <w:color w:val="333333"/>
          <w:sz w:val="24"/>
          <w:szCs w:val="24"/>
          <w:rtl w:val="0"/>
        </w:rPr>
        <w:t xml:space="preserve">Stages</w:t>
      </w:r>
    </w:p>
    <w:p w:rsidR="00000000" w:rsidDel="00000000" w:rsidP="00000000" w:rsidRDefault="00000000" w:rsidRPr="00000000" w14:paraId="0000003F">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 general, why are descriptive statistics useful?</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They are useful because they transform large volumes of raw data into clear, understandable, and actionable information. Without them, it would be humanly impossible to interpret databases containing thousands or millions of rows.</w:t>
      </w:r>
    </w:p>
    <w:p w:rsidR="00000000" w:rsidDel="00000000" w:rsidP="00000000" w:rsidRDefault="00000000" w:rsidRPr="00000000" w14:paraId="00000041">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did computing descriptive statistics help you analyze your data? </w:t>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Calculating descriptive statistics is a fundamental first step in exploratory data analysis (EDA), as it transforms a raw dataset into understandable metrics that facilitate decision-making—such as the $1.22 difference in average ticket price between the two groups. Understanding data dispersion and variability: Using metrics like standard deviation and interquartile ranges made it possible to assess how spread out or concentrated the fare amounts were within each payment method. Validating assumptions for modeling and inferential testing: Reviewing variable distributions guided the appropriate selection of statistical tests (such as opting for Welch’s t-test or non-parametric tests like Mann-Whitney or Kruskal-Wallis). Facilitating executive communication: This enabled the synthesis of thousands of trip records into simple, comparable key performance indicators (KPIs) for presentation in the executive summary and to support business recommendations.</w:t>
      </w:r>
    </w:p>
    <w:p w:rsidR="00000000" w:rsidDel="00000000" w:rsidP="00000000" w:rsidRDefault="00000000" w:rsidRPr="00000000" w14:paraId="00000044">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 hypothesis testing, what is the difference between the null hypothesis and the alternative hypothesis? </w:t>
      </w:r>
      <w:r w:rsidDel="00000000" w:rsidR="00000000" w:rsidRPr="00000000">
        <w:rPr>
          <w:rtl w:val="0"/>
        </w:rPr>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Null hypotheses assume the absence of an effect or difference (attributing any variation to mere chance), whereas the alternative hypothesis proposes the presence of a real effect or relationship that the study seeks to verify.</w:t>
      </w:r>
      <w:r w:rsidDel="00000000" w:rsidR="00000000" w:rsidRPr="00000000">
        <w:rPr>
          <w:rtl w:val="0"/>
        </w:rPr>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9">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did you formulate your null hypothesis and alternative hypothesis? </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which raised the possibility that credit card payments might incur a higher fee compared to cash payments:</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Conceptual Definition—Null Hypothesis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oMath>
      <w:r w:rsidDel="00000000" w:rsidR="00000000" w:rsidRPr="00000000">
        <w:rPr>
          <w:rFonts w:ascii="Google Sans" w:cs="Google Sans" w:eastAsia="Google Sans" w:hAnsi="Google Sans"/>
          <w:rtl w:val="0"/>
        </w:rPr>
        <w:t xml:space="preserve">): Represents the "no effect" condition, equality, or the opposite of what the company seeks to demonstrate. It states that the average fare for trips paid by credit card is less than or equal to the average fare for trips paid in cash. Alternative Hypothesis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1</m:t>
            </m:r>
          </m:sub>
        </m:sSub>
      </m:oMath>
      <w:r w:rsidDel="00000000" w:rsidR="00000000" w:rsidRPr="00000000">
        <w:rPr>
          <w:rFonts w:ascii="Google Sans" w:cs="Google Sans" w:eastAsia="Google Sans" w:hAnsi="Google Sans"/>
          <w:rtl w:val="0"/>
        </w:rPr>
        <w:t xml:space="preserve">): Represents the business's claim or suspicion to be tested via statistical evidence. It states that the average fare for trips paid by credit card is strictly greater than the average cash fare.</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 Expression: Using </w:t>
      </w:r>
      <m:oMath>
        <m:sSub>
          <m:sSubPr>
            <m:ctrlPr>
              <w:rPr>
                <w:rFonts w:ascii="Google Sans" w:cs="Google Sans" w:eastAsia="Google Sans" w:hAnsi="Google Sans"/>
              </w:rPr>
            </m:ctrlPr>
          </m:sSubPr>
          <m:e>
            <m:r>
              <m:t>μ</m:t>
            </m:r>
          </m:e>
          <m:sub>
            <m:r>
              <w:rPr>
                <w:rFonts w:ascii="Google Sans" w:cs="Google Sans" w:eastAsia="Google Sans" w:hAnsi="Google Sans"/>
              </w:rPr>
              <m:t xml:space="preserve">card</m:t>
            </m:r>
          </m:sub>
        </m:sSub>
      </m:oMath>
      <w:r w:rsidDel="00000000" w:rsidR="00000000" w:rsidRPr="00000000">
        <w:rPr>
          <w:rFonts w:ascii="Google Sans" w:cs="Google Sans" w:eastAsia="Google Sans" w:hAnsi="Google Sans"/>
          <w:rtl w:val="0"/>
        </w:rPr>
        <w:t xml:space="preserve"> to denote the population mean of the credit card rate and </w:t>
      </w:r>
      <m:oMath>
        <m:sSub>
          <m:sSubPr>
            <m:ctrlPr>
              <w:rPr>
                <w:rFonts w:ascii="Google Sans" w:cs="Google Sans" w:eastAsia="Google Sans" w:hAnsi="Google Sans"/>
              </w:rPr>
            </m:ctrlPr>
          </m:sSubPr>
          <m:e>
            <m:r>
              <m:t>μ</m:t>
            </m:r>
          </m:e>
          <m:sub>
            <m:r>
              <w:rPr>
                <w:rFonts w:ascii="Google Sans" w:cs="Google Sans" w:eastAsia="Google Sans" w:hAnsi="Google Sans"/>
              </w:rPr>
              <m:t xml:space="preserve">cash</m:t>
            </m:r>
          </m:sub>
        </m:sSub>
      </m:oMath>
      <w:r w:rsidDel="00000000" w:rsidR="00000000" w:rsidRPr="00000000">
        <w:rPr>
          <w:rFonts w:ascii="Google Sans" w:cs="Google Sans" w:eastAsia="Google Sans" w:hAnsi="Google Sans"/>
          <w:rtl w:val="0"/>
        </w:rPr>
        <w:t xml:space="preserve"> for the cash rate:</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jc w:val="center"/>
        <w:rPr>
          <w:rFonts w:ascii="Google Sans" w:cs="Google Sans" w:eastAsia="Google Sans" w:hAnsi="Google Sans"/>
        </w:rPr>
      </w:pP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r>
          <w:rPr>
            <w:rFonts w:ascii="Google Sans" w:cs="Google Sans" w:eastAsia="Google Sans" w:hAnsi="Google Sans"/>
          </w:rPr>
          <m:t xml:space="preserve">:</m:t>
        </m:r>
        <m:sSub>
          <m:sSubPr>
            <m:ctrlPr>
              <w:rPr>
                <w:rFonts w:ascii="Google Sans" w:cs="Google Sans" w:eastAsia="Google Sans" w:hAnsi="Google Sans"/>
              </w:rPr>
            </m:ctrlPr>
          </m:sSubPr>
          <m:e>
            <m:r>
              <w:rPr>
                <w:rFonts w:ascii="Google Sans" w:cs="Google Sans" w:eastAsia="Google Sans" w:hAnsi="Google Sans"/>
              </w:rPr>
              <m:t>μ</m:t>
            </m:r>
          </m:e>
          <m:sub>
            <m:r>
              <w:rPr>
                <w:rFonts w:ascii="Google Sans" w:cs="Google Sans" w:eastAsia="Google Sans" w:hAnsi="Google Sans"/>
              </w:rPr>
              <m:t xml:space="preserve">card</m:t>
            </m:r>
          </m:sub>
        </m:sSub>
        <m:r>
          <w:rPr>
            <w:rFonts w:ascii="Google Sans" w:cs="Google Sans" w:eastAsia="Google Sans" w:hAnsi="Google Sans"/>
          </w:rPr>
          <m:t>≤</m:t>
        </m:r>
        <m:sSub>
          <m:sSubPr>
            <m:ctrlPr>
              <w:rPr>
                <w:rFonts w:ascii="Google Sans" w:cs="Google Sans" w:eastAsia="Google Sans" w:hAnsi="Google Sans"/>
              </w:rPr>
            </m:ctrlPr>
          </m:sSubPr>
          <m:e>
            <m:r>
              <w:rPr>
                <w:rFonts w:ascii="Google Sans" w:cs="Google Sans" w:eastAsia="Google Sans" w:hAnsi="Google Sans"/>
              </w:rPr>
              <m:t>μ</m:t>
            </m:r>
          </m:e>
          <m:sub>
            <m:r>
              <w:rPr>
                <w:rFonts w:ascii="Google Sans" w:cs="Google Sans" w:eastAsia="Google Sans" w:hAnsi="Google Sans"/>
              </w:rPr>
              <m:t xml:space="preserve">cash</m:t>
            </m:r>
          </m:sub>
        </m:sSub>
      </m:oMath>
      <w:r w:rsidDel="00000000" w:rsidR="00000000" w:rsidRPr="00000000">
        <w:rPr>
          <w:rtl w:val="0"/>
        </w:rPr>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jc w:val="center"/>
        <w:rPr>
          <w:rFonts w:ascii="Google Sans" w:cs="Google Sans" w:eastAsia="Google Sans" w:hAnsi="Google Sans"/>
        </w:rPr>
      </w:pP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1</m:t>
            </m:r>
          </m:sub>
        </m:sSub>
        <m:r>
          <w:rPr>
            <w:rFonts w:ascii="Google Sans" w:cs="Google Sans" w:eastAsia="Google Sans" w:hAnsi="Google Sans"/>
          </w:rPr>
          <m:t xml:space="preserve">:</m:t>
        </m:r>
        <m:sSub>
          <m:sSubPr>
            <m:ctrlPr>
              <w:rPr>
                <w:rFonts w:ascii="Google Sans" w:cs="Google Sans" w:eastAsia="Google Sans" w:hAnsi="Google Sans"/>
              </w:rPr>
            </m:ctrlPr>
          </m:sSubPr>
          <m:e>
            <m:r>
              <w:rPr>
                <w:rFonts w:ascii="Google Sans" w:cs="Google Sans" w:eastAsia="Google Sans" w:hAnsi="Google Sans"/>
              </w:rPr>
              <m:t>μ</m:t>
            </m:r>
          </m:e>
          <m:sub>
            <m:r>
              <w:rPr>
                <w:rFonts w:ascii="Google Sans" w:cs="Google Sans" w:eastAsia="Google Sans" w:hAnsi="Google Sans"/>
              </w:rPr>
              <m:t xml:space="preserve">card</m:t>
            </m:r>
          </m:sub>
        </m:sSub>
        <m:r>
          <w:rPr>
            <w:rFonts w:ascii="Google Sans" w:cs="Google Sans" w:eastAsia="Google Sans" w:hAnsi="Google Sans"/>
          </w:rPr>
          <m:t xml:space="preserve">&gt;</m:t>
        </m:r>
        <m:sSub>
          <m:sSubPr>
            <m:ctrlPr>
              <w:rPr>
                <w:rFonts w:ascii="Google Sans" w:cs="Google Sans" w:eastAsia="Google Sans" w:hAnsi="Google Sans"/>
              </w:rPr>
            </m:ctrlPr>
          </m:sSubPr>
          <m:e>
            <m:r>
              <w:rPr>
                <w:rFonts w:ascii="Google Sans" w:cs="Google Sans" w:eastAsia="Google Sans" w:hAnsi="Google Sans"/>
              </w:rPr>
              <m:t>μ</m:t>
            </m:r>
          </m:e>
          <m:sub>
            <m:r>
              <w:rPr>
                <w:rFonts w:ascii="Google Sans" w:cs="Google Sans" w:eastAsia="Google Sans" w:hAnsi="Google Sans"/>
              </w:rPr>
              <m:t xml:space="preserve">cash</m:t>
            </m:r>
          </m:sub>
        </m:sSub>
      </m:oMath>
      <w:r w:rsidDel="00000000" w:rsidR="00000000" w:rsidRPr="00000000">
        <w:rPr>
          <w:rtl w:val="0"/>
        </w:rPr>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Unilateral Selection Criterion (One-sided / Greater)</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 one-tailed test was chosen (by setting `alternative='greater'` in SciPy) because the business question implied a specific direction ("increases more" / "is greater") rather than simply looking for a two-way difference. This allowed the test's full statistical power to be focused on verifying the increase in the average amount.</w:t>
      </w:r>
    </w:p>
    <w:p w:rsidR="00000000" w:rsidDel="00000000" w:rsidP="00000000" w:rsidRDefault="00000000" w:rsidRPr="00000000" w14:paraId="00000052">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conclusion can be drawn from the hypothesis test? </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Conclusion—Rejection of the Null Hypothesis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oMath>
      <w:r w:rsidDel="00000000" w:rsidR="00000000" w:rsidRPr="00000000">
        <w:rPr>
          <w:rFonts w:ascii="Google Sans" w:cs="Google Sans" w:eastAsia="Google Sans" w:hAnsi="Google Sans"/>
          <w:rtl w:val="0"/>
        </w:rPr>
        <w:t xml:space="preserve">): Given a </w:t>
      </w:r>
      <m:oMath>
        <m:r>
          <w:rPr>
            <w:rFonts w:ascii="Google Sans" w:cs="Google Sans" w:eastAsia="Google Sans" w:hAnsi="Google Sans"/>
          </w:rPr>
          <m:t xml:space="preserve">p</m:t>
        </m:r>
      </m:oMath>
      <w:r w:rsidDel="00000000" w:rsidR="00000000" w:rsidRPr="00000000">
        <w:rPr>
          <w:rFonts w:ascii="Google Sans" w:cs="Google Sans" w:eastAsia="Google Sans" w:hAnsi="Google Sans"/>
          <w:rtl w:val="0"/>
        </w:rPr>
        <w:t xml:space="preserve">-value of </w:t>
      </w:r>
      <m:oMath>
        <m:r>
          <w:rPr>
            <w:rFonts w:ascii="Google Sans" w:cs="Google Sans" w:eastAsia="Google Sans" w:hAnsi="Google Sans"/>
          </w:rPr>
          <m:t xml:space="preserve">0.0000</m:t>
        </m:r>
      </m:oMath>
      <w:r w:rsidDel="00000000" w:rsidR="00000000" w:rsidRPr="00000000">
        <w:rPr>
          <w:rFonts w:ascii="Google Sans" w:cs="Google Sans" w:eastAsia="Google Sans" w:hAnsi="Google Sans"/>
          <w:rtl w:val="0"/>
        </w:rPr>
        <w:t xml:space="preserve"> (below the significance level of </w:t>
      </w:r>
      <m:oMath>
        <m:r>
          <m:t>α</m:t>
        </m:r>
        <m:r>
          <w:rPr>
            <w:rFonts w:ascii="Google Sans" w:cs="Google Sans" w:eastAsia="Google Sans" w:hAnsi="Google Sans"/>
          </w:rPr>
          <m:t xml:space="preserve">=0.05</m:t>
        </m:r>
      </m:oMath>
      <w:r w:rsidDel="00000000" w:rsidR="00000000" w:rsidRPr="00000000">
        <w:rPr>
          <w:rFonts w:ascii="Google Sans" w:cs="Google Sans" w:eastAsia="Google Sans" w:hAnsi="Google Sans"/>
          <w:rtl w:val="0"/>
        </w:rPr>
        <w:t xml:space="preserve">) and a </w:t>
      </w:r>
      <m:oMath>
        <m:r>
          <w:rPr>
            <w:rFonts w:ascii="Google Sans" w:cs="Google Sans" w:eastAsia="Google Sans" w:hAnsi="Google Sans"/>
          </w:rPr>
          <m:t xml:space="preserve">t</m:t>
        </m:r>
      </m:oMath>
      <w:r w:rsidDel="00000000" w:rsidR="00000000" w:rsidRPr="00000000">
        <w:rPr>
          <w:rFonts w:ascii="Google Sans" w:cs="Google Sans" w:eastAsia="Google Sans" w:hAnsi="Google Sans"/>
          <w:rtl w:val="0"/>
        </w:rPr>
        <w:t xml:space="preserve">-statistic of </w:t>
      </w:r>
      <m:oMath>
        <m:r>
          <w:rPr>
            <w:rFonts w:ascii="Google Sans" w:cs="Google Sans" w:eastAsia="Google Sans" w:hAnsi="Google Sans"/>
          </w:rPr>
          <m:t xml:space="preserve">6.8668</m:t>
        </m:r>
      </m:oMath>
      <w:r w:rsidDel="00000000" w:rsidR="00000000" w:rsidRPr="00000000">
        <w:rPr>
          <w:rFonts w:ascii="Google Sans" w:cs="Google Sans" w:eastAsia="Google Sans" w:hAnsi="Google Sans"/>
          <w:rtl w:val="0"/>
        </w:rPr>
        <w:t xml:space="preserve">, there is solid and sufficient statistical evidence to reject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0</m:t>
            </m:r>
          </m:sub>
        </m:sSub>
      </m:oMath>
      <w:r w:rsidDel="00000000" w:rsidR="00000000" w:rsidRPr="00000000">
        <w:rPr>
          <w:rFonts w:ascii="Google Sans" w:cs="Google Sans" w:eastAsia="Google Sans" w:hAnsi="Google Sans"/>
          <w:rtl w:val="0"/>
        </w:rPr>
        <w:t xml:space="preserve">. Acceptance of the Alternative Hypothesis (</w:t>
      </w:r>
      <m:oMath>
        <m:sSub>
          <m:sSubPr>
            <m:ctrlPr>
              <w:rPr>
                <w:rFonts w:ascii="Google Sans" w:cs="Google Sans" w:eastAsia="Google Sans" w:hAnsi="Google Sans"/>
              </w:rPr>
            </m:ctrlPr>
          </m:sSubPr>
          <m:e>
            <m:r>
              <w:rPr>
                <w:rFonts w:ascii="Google Sans" w:cs="Google Sans" w:eastAsia="Google Sans" w:hAnsi="Google Sans"/>
              </w:rPr>
              <m:t xml:space="preserve">H</m:t>
            </m:r>
          </m:e>
          <m:sub>
            <m:r>
              <w:rPr>
                <w:rFonts w:ascii="Google Sans" w:cs="Google Sans" w:eastAsia="Google Sans" w:hAnsi="Google Sans"/>
              </w:rPr>
              <m:t xml:space="preserve">1</m:t>
            </m:r>
          </m:sub>
        </m:sSub>
      </m:oMath>
      <w:r w:rsidDel="00000000" w:rsidR="00000000" w:rsidRPr="00000000">
        <w:rPr>
          <w:rFonts w:ascii="Google Sans" w:cs="Google Sans" w:eastAsia="Google Sans" w:hAnsi="Google Sans"/>
          <w:rtl w:val="0"/>
        </w:rPr>
        <w:t xml:space="preserve">): It is formally confirmed that the average fare for trips paid by credit card is statistically higher than that of trips paid in cash.</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Business Conclusion—Real difference in average fare: Customers paying by credit card record an average fare of $\$13.43$, compared to $\$12.21$ for those paying in cash. This $\$1.22$ gap per trip (approximately $10\%$ higher) is not due to chance but rather a consistent behavioral pattern. Reduced payment friction: Digital payment lowers the psychological barrier associated with cash spending, making it easier for users to take longer trips or accept higher fares (such as surge pricing during peak hours).</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Strategic Impact</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Encouraging card payments: The company should implement initiatives (such as promotions or loyalty programs) to drive more users to register their credit cards in the app, as this directly impacts the average trip value.</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Fleet optimization: Ensuring driver availability in areas or on long-distance routes where digital payment predominates maximizes the capture of higher-value trips.</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E">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1"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5F">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business or organizational insight(s) emerged from your A/B test?</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payment channel directly impacts the average fare: users paying by credit card generate a significantly higher average fare ($\$13.43$) than those paying in cash ($\$12.21$). This gap of an additional $\$1.22$ per trip ($+10\%$) proved to be statistically significant (</w:t>
      </w:r>
      <m:oMath>
        <m:r>
          <w:rPr>
            <w:rFonts w:ascii="Google Sans" w:cs="Google Sans" w:eastAsia="Google Sans" w:hAnsi="Google Sans"/>
          </w:rPr>
          <m:t xml:space="preserve">t=6.8668,p=0.0000</m:t>
        </m:r>
      </m:oMath>
      <w:r w:rsidDel="00000000" w:rsidR="00000000" w:rsidRPr="00000000">
        <w:rPr>
          <w:rFonts w:ascii="Google Sans" w:cs="Google Sans" w:eastAsia="Google Sans" w:hAnsi="Google Sans"/>
          <w:rtl w:val="0"/>
        </w:rPr>
        <w:t xml:space="preserve">) and not the result of chance.</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Reduced transactional friction in digital payments: Card usability lowers the "psychological barrier" associated with parting with physical cash, encouraging customers to travel longer distances or making them less sensitive to price increases caused by dynamic pricing or peak-hour rates.</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Opportunity to increase revenue through channel migration: Encouraging cash-based users to register their credit cards on the platform serves as a direct lever for growing Revenue Per User (RPU) without the need to raise base rates.</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Optimizing supply and fleet availability: Trips with the highest economic value are heavily concentrated among card payments; prioritizing driver allocation to these routes or zones maximizes the completion rate of high-margin trips.</w:t>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Ample absorption of operating costs: The $1.22-per-trip margin comfortably exceeds card processing fees (gateway fees), confirming that promoting card payments is a clearly profitable strategy for the company.</w:t>
      </w:r>
    </w:p>
    <w:p w:rsidR="00000000" w:rsidDel="00000000" w:rsidP="00000000" w:rsidRDefault="00000000" w:rsidRPr="00000000" w14:paraId="00000065">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recommendations do you propose based on your results?</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Product strategy and digital conversion.</w:t>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Encourage credit card linking: Design in-app onboarding campaigns offering incentives (e.g., a discount on the first trip or loyalty points) to prompt registered cash-paying users to add a digital payment method.</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Reduce registration friction: Simplify the credit/debit card integration flow within the app to minimize the drop-off rate during profile setup.</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Fleet and operations management</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Prioritization and coverage in high-value areas: Since card-paid trips involve longer or higher-cost journeys, high driver availability must be ensured in commercial zones, airports, and business districts where demand for digital payment is predominant.</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Ensuring driver acceptance of digital payments: Implement measures or incentives to prevent drivers from rejecting card-paid trips, thereby ensuring service continuity in this higher-yield segment.</w:t>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Additional analyses (Next Steps)—Study of mediating variables: Conduct a multiple regression or covariate analysis (using factors such as distance in miles, time of day, and location) to determine the extent to which the payment method directly increases spending versus its association with the trip's inherent length. Net impact assessment: Calculate the final net margin by comparing the fare increase (+$1.22) against card payment processing fees (gateway fees) in order to adjust the platform's fee structure.</w:t>
      </w:r>
    </w:p>
    <w:p w:rsidR="00000000" w:rsidDel="00000000" w:rsidP="00000000" w:rsidRDefault="00000000" w:rsidRPr="00000000" w14:paraId="0000006E">
      <w:pPr>
        <w:spacing w:after="100" w:lineRule="auto"/>
        <w:rPr>
          <w:rFonts w:ascii="Google Sans" w:cs="Google Sans" w:eastAsia="Google Sans" w:hAnsi="Google Sans"/>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333375</wp:posOffset>
          </wp:positionV>
          <wp:extent cx="7784306" cy="95250"/>
          <wp:effectExtent b="0" l="0" r="0" t="0"/>
          <wp:wrapNone/>
          <wp:docPr id="5" name="image4.png"/>
          <a:graphic>
            <a:graphicData uri="http://schemas.openxmlformats.org/drawingml/2006/picture">
              <pic:pic>
                <pic:nvPicPr>
                  <pic:cNvPr id="0" name="image4.png"/>
                  <pic:cNvPicPr preferRelativeResize="0"/>
                </pic:nvPicPr>
                <pic:blipFill>
                  <a:blip r:embed="rId1"/>
                  <a:srcRect b="0" l="613"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73">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