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0F2B" w14:textId="77777777" w:rsidR="00C209BB" w:rsidRDefault="00C209BB" w:rsidP="00C209BB">
      <w:pPr>
        <w:rPr>
          <w:lang w:val="en-US"/>
        </w:rPr>
      </w:pPr>
      <w:r>
        <w:rPr>
          <w:lang w:val="en-US"/>
        </w:rPr>
        <w:t>The damping ratio can be obtained from time-domain peak to peak analysis of the decaying impact response. An FFT is first performed to establish frequencies of interest in the system. A cut-off frequency is established, and any noise or signal outside the region of interest is attenuated.</w:t>
      </w:r>
    </w:p>
    <w:p w14:paraId="6EDADC0E" w14:textId="77777777" w:rsidR="00C209BB" w:rsidRDefault="00C209BB" w:rsidP="00C209BB">
      <w:pPr>
        <w:rPr>
          <w:lang w:val="en-US"/>
        </w:rPr>
      </w:pPr>
      <w:r>
        <w:rPr>
          <w:lang w:val="en-US"/>
        </w:rPr>
        <w:t xml:space="preserve">The logarithmic decrement, </w:t>
      </w:r>
      <m:oMath>
        <m:r>
          <w:rPr>
            <w:rFonts w:ascii="Cambria Math" w:hAnsi="Cambria Math"/>
          </w:rPr>
          <m:t>δ</m:t>
        </m:r>
      </m:oMath>
      <w:r>
        <w:t>,</w:t>
      </w:r>
      <w:r>
        <w:rPr>
          <w:lang w:val="en-US"/>
        </w:rPr>
        <w:t xml:space="preserve"> is calculated by taking the natural logarithm of the ratio of successive peak amplitudes,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cycles apart.</w:t>
      </w:r>
    </w:p>
    <w:p w14:paraId="5D38F39B" w14:textId="77777777" w:rsidR="00C209BB" w:rsidRPr="009E311F" w:rsidRDefault="00C209BB" w:rsidP="00C209BB">
      <m:oMathPara>
        <m:oMath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6CE65826" w14:textId="77777777" w:rsidR="00C209BB" w:rsidRDefault="00C209BB" w:rsidP="00C209BB">
      <w:r>
        <w:rPr>
          <w:noProof/>
        </w:rPr>
        <w:drawing>
          <wp:inline distT="0" distB="0" distL="0" distR="0" wp14:anchorId="2A062B13" wp14:editId="49AF4B4C">
            <wp:extent cx="4029740" cy="2474663"/>
            <wp:effectExtent l="0" t="0" r="889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394" cy="24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97A6" w14:textId="77777777" w:rsidR="00C209BB" w:rsidRPr="00E44459" w:rsidRDefault="00C209BB" w:rsidP="00C209BB">
      <w:pPr>
        <w:pStyle w:val="Caption"/>
        <w:rPr>
          <w:lang w:val="en-US"/>
        </w:rPr>
      </w:pPr>
      <w:bookmarkStart w:id="0" w:name="_Toc10387511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 - Decaying vibration of linear </w:t>
      </w:r>
      <w:proofErr w:type="spellStart"/>
      <w:r>
        <w:t>visco</w:t>
      </w:r>
      <w:proofErr w:type="spellEnd"/>
      <w:r>
        <w:t>-elastic system</w:t>
      </w:r>
      <w:bookmarkEnd w:id="0"/>
    </w:p>
    <w:p w14:paraId="6C56A03B" w14:textId="77777777" w:rsidR="00C209BB" w:rsidRDefault="00C209BB" w:rsidP="00C209BB">
      <w:r>
        <w:rPr>
          <w:lang w:val="en-US"/>
        </w:rPr>
        <w:t>To calculate the logarithmic decrement more accurately, this can be calculated for every successive peak and averaged. Repeating this using different peak separations (</w:t>
      </w:r>
      <m:oMath>
        <m:r>
          <w:rPr>
            <w:rFonts w:ascii="Cambria Math" w:hAnsi="Cambria Math"/>
            <w:lang w:val="en-US"/>
          </w:rPr>
          <m:t>N=1,2,3…</m:t>
        </m:r>
      </m:oMath>
      <w:r>
        <w:rPr>
          <w:lang w:val="en-US"/>
        </w:rPr>
        <w:t xml:space="preserve">) allows an average value for the system to be obtained. The following relationships allow the damping ratio, </w:t>
      </w:r>
      <w:r>
        <w:rPr>
          <w:i/>
          <w:iCs/>
          <w:lang w:val="el-GR"/>
        </w:rPr>
        <w:t>ζ</w:t>
      </w:r>
      <w:r>
        <w:t xml:space="preserve">, damping, </w:t>
      </w:r>
      <w:r>
        <w:rPr>
          <w:i/>
          <w:iCs/>
        </w:rPr>
        <w:t>c</w:t>
      </w:r>
      <w:r>
        <w:t xml:space="preserve">, and natural frequency, </w:t>
      </w:r>
      <w:r>
        <w:rPr>
          <w:i/>
          <w:iCs/>
          <w:lang w:val="el-GR"/>
        </w:rPr>
        <w:t>ω</w:t>
      </w:r>
      <w:r>
        <w:rPr>
          <w:i/>
          <w:iCs/>
          <w:vertAlign w:val="subscript"/>
        </w:rPr>
        <w:t>n</w:t>
      </w:r>
      <w:r>
        <w:t>, to be obtained.</w:t>
      </w:r>
    </w:p>
    <w:p w14:paraId="524DEAF9" w14:textId="77777777" w:rsidR="00C209BB" w:rsidRPr="00EC04E0" w:rsidRDefault="00C209BB" w:rsidP="00C209BB">
      <m:oMathPara>
        <m:oMath>
          <m:r>
            <w:rPr>
              <w:rFonts w:ascii="Cambria Math" w:hAnsi="Cambria Math"/>
            </w:rPr>
            <m:t>ζ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23C2FE5" w14:textId="77777777" w:rsidR="00C209BB" w:rsidRPr="00453A8F" w:rsidRDefault="00C209BB" w:rsidP="00C209B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0D3C4F6" w14:textId="30B59074" w:rsidR="00AE7B60" w:rsidRDefault="00C209BB"/>
    <w:p w14:paraId="40738FE0" w14:textId="2C636722" w:rsidR="00C209BB" w:rsidRDefault="00C209BB"/>
    <w:p w14:paraId="2D2C5A0C" w14:textId="77777777" w:rsidR="00C209BB" w:rsidRDefault="00C209BB" w:rsidP="00C209BB">
      <w:pPr>
        <w:keepNext/>
      </w:pPr>
      <w:r>
        <w:rPr>
          <w:noProof/>
        </w:rPr>
        <w:lastRenderedPageBreak/>
        <w:drawing>
          <wp:inline distT="0" distB="0" distL="0" distR="0" wp14:anchorId="4609D57C" wp14:editId="024FD369">
            <wp:extent cx="5731510" cy="3116580"/>
            <wp:effectExtent l="0" t="0" r="2540" b="7620"/>
            <wp:docPr id="45" name="Picture 4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52CE" w14:textId="77777777" w:rsidR="00C209BB" w:rsidRDefault="00C209BB" w:rsidP="00C209BB">
      <w:pPr>
        <w:pStyle w:val="Caption"/>
      </w:pPr>
      <w:bookmarkStart w:id="1" w:name="_Ref100914842"/>
      <w:bookmarkStart w:id="2" w:name="_Toc103875124"/>
      <w:r w:rsidRPr="00BC39A4">
        <w:rPr>
          <w:iCs w:val="0"/>
          <w:szCs w:val="20"/>
        </w:rPr>
        <w:t xml:space="preserve">Figure </w:t>
      </w:r>
      <w:r w:rsidRPr="00BC39A4">
        <w:rPr>
          <w:i w:val="0"/>
          <w:szCs w:val="20"/>
        </w:rPr>
        <w:fldChar w:fldCharType="begin"/>
      </w:r>
      <w:r w:rsidRPr="00BC39A4">
        <w:rPr>
          <w:iCs w:val="0"/>
          <w:szCs w:val="20"/>
        </w:rPr>
        <w:instrText xml:space="preserve"> SEQ Figure \* ARABIC </w:instrText>
      </w:r>
      <w:r w:rsidRPr="00BC39A4">
        <w:rPr>
          <w:i w:val="0"/>
          <w:szCs w:val="20"/>
        </w:rPr>
        <w:fldChar w:fldCharType="separate"/>
      </w:r>
      <w:r>
        <w:rPr>
          <w:iCs w:val="0"/>
          <w:noProof/>
          <w:szCs w:val="20"/>
        </w:rPr>
        <w:t>10</w:t>
      </w:r>
      <w:r w:rsidRPr="00BC39A4">
        <w:rPr>
          <w:i w:val="0"/>
          <w:szCs w:val="20"/>
        </w:rPr>
        <w:fldChar w:fldCharType="end"/>
      </w:r>
      <w:bookmarkEnd w:id="1"/>
      <w:r w:rsidRPr="00BC39A4">
        <w:rPr>
          <w:iCs w:val="0"/>
          <w:szCs w:val="20"/>
        </w:rPr>
        <w:t xml:space="preserve"> - Free vibration response in the vertical</w:t>
      </w:r>
      <w:r>
        <w:rPr>
          <w:iCs w:val="0"/>
          <w:szCs w:val="20"/>
        </w:rPr>
        <w:t xml:space="preserve"> direction</w:t>
      </w:r>
      <w:bookmarkEnd w:id="2"/>
    </w:p>
    <w:p w14:paraId="77807782" w14:textId="77777777" w:rsidR="00C209BB" w:rsidRDefault="00C209BB" w:rsidP="00C209BB">
      <w:r>
        <w:t>The logarithmic decrement was then calculated for each successive peak with different peak separations. These measurements started at the sixth peak to allow transient effects to reduce. The damping ratio (</w:t>
      </w:r>
      <w:r>
        <w:rPr>
          <w:i/>
          <w:iCs/>
          <w:lang w:val="el-GR"/>
        </w:rPr>
        <w:t>ζ</w:t>
      </w:r>
      <w:r>
        <w:t xml:space="preserve">) for each </w:t>
      </w:r>
      <w:r w:rsidRPr="00281128">
        <w:rPr>
          <w:i/>
          <w:iCs/>
          <w:lang w:val="el-GR"/>
        </w:rPr>
        <w:t>δ</w:t>
      </w:r>
      <w:r>
        <w:t xml:space="preserve"> was calculated using the following relationship and an average of those values was taken.</w:t>
      </w:r>
    </w:p>
    <w:p w14:paraId="1675ABCB" w14:textId="77777777" w:rsidR="00C209BB" w:rsidRPr="002E6CD6" w:rsidRDefault="00C209BB" w:rsidP="00C209BB">
      <m:oMathPara>
        <m:oMath>
          <m:r>
            <w:rPr>
              <w:rFonts w:ascii="Cambria Math" w:hAnsi="Cambria Math"/>
            </w:rPr>
            <m:t>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B4C3E13" w14:textId="77777777" w:rsidR="00C209BB" w:rsidRPr="002E6CD6" w:rsidRDefault="00C209BB" w:rsidP="00C209BB">
      <w:pPr>
        <w:pStyle w:val="Caption"/>
        <w:keepNext/>
        <w:rPr>
          <w:i w:val="0"/>
          <w:iCs w:val="0"/>
          <w:szCs w:val="20"/>
        </w:rPr>
      </w:pPr>
      <w:bookmarkStart w:id="3" w:name="_Toc103875195"/>
      <w:bookmarkStart w:id="4" w:name="_Toc103875213"/>
      <w:r w:rsidRPr="002E6CD6">
        <w:rPr>
          <w:iCs w:val="0"/>
          <w:szCs w:val="20"/>
        </w:rPr>
        <w:t xml:space="preserve">Table </w:t>
      </w:r>
      <w:r w:rsidRPr="002E6CD6">
        <w:rPr>
          <w:i w:val="0"/>
          <w:iCs w:val="0"/>
          <w:szCs w:val="20"/>
        </w:rPr>
        <w:fldChar w:fldCharType="begin"/>
      </w:r>
      <w:r w:rsidRPr="002E6CD6">
        <w:rPr>
          <w:iCs w:val="0"/>
          <w:szCs w:val="20"/>
        </w:rPr>
        <w:instrText xml:space="preserve"> SEQ Table \* ARABIC </w:instrText>
      </w:r>
      <w:r w:rsidRPr="002E6CD6">
        <w:rPr>
          <w:i w:val="0"/>
          <w:iCs w:val="0"/>
          <w:szCs w:val="20"/>
        </w:rPr>
        <w:fldChar w:fldCharType="separate"/>
      </w:r>
      <w:r>
        <w:rPr>
          <w:iCs w:val="0"/>
          <w:noProof/>
          <w:szCs w:val="20"/>
        </w:rPr>
        <w:t>4</w:t>
      </w:r>
      <w:r w:rsidRPr="002E6CD6">
        <w:rPr>
          <w:i w:val="0"/>
          <w:iCs w:val="0"/>
          <w:szCs w:val="20"/>
        </w:rPr>
        <w:fldChar w:fldCharType="end"/>
      </w:r>
      <w:r w:rsidRPr="002E6CD6">
        <w:rPr>
          <w:iCs w:val="0"/>
          <w:szCs w:val="20"/>
        </w:rPr>
        <w:t xml:space="preserve"> - Logarithmic decrement values</w:t>
      </w:r>
      <w:bookmarkEnd w:id="3"/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</w:tblGrid>
      <w:tr w:rsidR="00C209BB" w14:paraId="7DA95A61" w14:textId="77777777" w:rsidTr="00F93E1D">
        <w:trPr>
          <w:trHeight w:val="346"/>
          <w:jc w:val="center"/>
        </w:trPr>
        <w:tc>
          <w:tcPr>
            <w:tcW w:w="1947" w:type="dxa"/>
            <w:shd w:val="clear" w:color="auto" w:fill="auto"/>
          </w:tcPr>
          <w:p w14:paraId="76F622A2" w14:textId="77777777" w:rsidR="00C209BB" w:rsidRPr="00531A70" w:rsidRDefault="00C209BB" w:rsidP="00F93E1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947" w:type="dxa"/>
            <w:shd w:val="clear" w:color="auto" w:fill="auto"/>
          </w:tcPr>
          <w:p w14:paraId="5B9BA8D8" w14:textId="77777777" w:rsidR="00C209BB" w:rsidRPr="00531A70" w:rsidRDefault="00C209BB" w:rsidP="00F93E1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>ζ</w:t>
            </w:r>
          </w:p>
        </w:tc>
      </w:tr>
      <w:tr w:rsidR="00C209BB" w14:paraId="3598FB73" w14:textId="77777777" w:rsidTr="00F93E1D">
        <w:trPr>
          <w:trHeight w:val="346"/>
          <w:jc w:val="center"/>
        </w:trPr>
        <w:tc>
          <w:tcPr>
            <w:tcW w:w="1947" w:type="dxa"/>
          </w:tcPr>
          <w:p w14:paraId="64FD3B5D" w14:textId="77777777" w:rsidR="00C209BB" w:rsidRPr="00531A70" w:rsidRDefault="00C209BB" w:rsidP="00F93E1D">
            <w:pPr>
              <w:spacing w:line="240" w:lineRule="auto"/>
              <w:rPr>
                <w:b/>
                <w:bCs/>
              </w:rPr>
            </w:pPr>
            <w:r w:rsidRPr="00531A70">
              <w:rPr>
                <w:b/>
                <w:bCs/>
              </w:rPr>
              <w:t>6</w:t>
            </w:r>
          </w:p>
        </w:tc>
        <w:tc>
          <w:tcPr>
            <w:tcW w:w="1947" w:type="dxa"/>
          </w:tcPr>
          <w:p w14:paraId="61DB5000" w14:textId="77777777" w:rsidR="00C209BB" w:rsidRDefault="00C209BB" w:rsidP="00F93E1D">
            <w:pPr>
              <w:spacing w:line="240" w:lineRule="auto"/>
            </w:pPr>
            <w:r>
              <w:t>0.207</w:t>
            </w:r>
          </w:p>
        </w:tc>
      </w:tr>
      <w:tr w:rsidR="00C209BB" w14:paraId="301C6473" w14:textId="77777777" w:rsidTr="00F93E1D">
        <w:trPr>
          <w:trHeight w:val="335"/>
          <w:jc w:val="center"/>
        </w:trPr>
        <w:tc>
          <w:tcPr>
            <w:tcW w:w="1947" w:type="dxa"/>
          </w:tcPr>
          <w:p w14:paraId="48F33063" w14:textId="77777777" w:rsidR="00C209BB" w:rsidRPr="00531A70" w:rsidRDefault="00C209BB" w:rsidP="00F93E1D">
            <w:pPr>
              <w:spacing w:line="240" w:lineRule="auto"/>
              <w:rPr>
                <w:b/>
                <w:bCs/>
              </w:rPr>
            </w:pPr>
            <w:r w:rsidRPr="00531A70">
              <w:rPr>
                <w:b/>
                <w:bCs/>
              </w:rPr>
              <w:t>7</w:t>
            </w:r>
          </w:p>
        </w:tc>
        <w:tc>
          <w:tcPr>
            <w:tcW w:w="1947" w:type="dxa"/>
          </w:tcPr>
          <w:p w14:paraId="349415FD" w14:textId="77777777" w:rsidR="00C209BB" w:rsidRDefault="00C209BB" w:rsidP="00F93E1D">
            <w:pPr>
              <w:spacing w:line="240" w:lineRule="auto"/>
            </w:pPr>
            <w:r>
              <w:t>0.201</w:t>
            </w:r>
          </w:p>
        </w:tc>
      </w:tr>
      <w:tr w:rsidR="00C209BB" w14:paraId="727FF289" w14:textId="77777777" w:rsidTr="00F93E1D">
        <w:trPr>
          <w:trHeight w:val="346"/>
          <w:jc w:val="center"/>
        </w:trPr>
        <w:tc>
          <w:tcPr>
            <w:tcW w:w="1947" w:type="dxa"/>
          </w:tcPr>
          <w:p w14:paraId="4C466BF0" w14:textId="77777777" w:rsidR="00C209BB" w:rsidRPr="00531A70" w:rsidRDefault="00C209BB" w:rsidP="00F93E1D">
            <w:pPr>
              <w:spacing w:line="240" w:lineRule="auto"/>
              <w:rPr>
                <w:b/>
                <w:bCs/>
              </w:rPr>
            </w:pPr>
            <w:r w:rsidRPr="00531A70">
              <w:rPr>
                <w:b/>
                <w:bCs/>
              </w:rPr>
              <w:t>8</w:t>
            </w:r>
          </w:p>
        </w:tc>
        <w:tc>
          <w:tcPr>
            <w:tcW w:w="1947" w:type="dxa"/>
          </w:tcPr>
          <w:p w14:paraId="44A7C010" w14:textId="77777777" w:rsidR="00C209BB" w:rsidRDefault="00C209BB" w:rsidP="00F93E1D">
            <w:pPr>
              <w:spacing w:line="240" w:lineRule="auto"/>
            </w:pPr>
            <w:r>
              <w:t>0.200</w:t>
            </w:r>
          </w:p>
        </w:tc>
      </w:tr>
      <w:tr w:rsidR="00C209BB" w14:paraId="5BE4BE3F" w14:textId="77777777" w:rsidTr="00F93E1D">
        <w:trPr>
          <w:trHeight w:val="346"/>
          <w:jc w:val="center"/>
        </w:trPr>
        <w:tc>
          <w:tcPr>
            <w:tcW w:w="1947" w:type="dxa"/>
          </w:tcPr>
          <w:p w14:paraId="318871F9" w14:textId="77777777" w:rsidR="00C209BB" w:rsidRPr="00531A70" w:rsidRDefault="00C209BB" w:rsidP="00F93E1D">
            <w:pPr>
              <w:spacing w:line="240" w:lineRule="auto"/>
              <w:rPr>
                <w:b/>
                <w:bCs/>
              </w:rPr>
            </w:pPr>
            <w:r w:rsidRPr="00531A70">
              <w:rPr>
                <w:b/>
                <w:bCs/>
              </w:rPr>
              <w:t>9</w:t>
            </w:r>
          </w:p>
        </w:tc>
        <w:tc>
          <w:tcPr>
            <w:tcW w:w="1947" w:type="dxa"/>
          </w:tcPr>
          <w:p w14:paraId="5A892F34" w14:textId="77777777" w:rsidR="00C209BB" w:rsidRDefault="00C209BB" w:rsidP="00F93E1D">
            <w:pPr>
              <w:spacing w:line="240" w:lineRule="auto"/>
            </w:pPr>
            <w:r>
              <w:t>0.210</w:t>
            </w:r>
          </w:p>
        </w:tc>
      </w:tr>
      <w:tr w:rsidR="00C209BB" w14:paraId="233F2BE5" w14:textId="77777777" w:rsidTr="00F93E1D">
        <w:trPr>
          <w:trHeight w:val="346"/>
          <w:jc w:val="center"/>
        </w:trPr>
        <w:tc>
          <w:tcPr>
            <w:tcW w:w="1947" w:type="dxa"/>
          </w:tcPr>
          <w:p w14:paraId="7163675A" w14:textId="77777777" w:rsidR="00C209BB" w:rsidRPr="00531A70" w:rsidRDefault="00C209BB" w:rsidP="00F93E1D">
            <w:pPr>
              <w:spacing w:line="240" w:lineRule="auto"/>
              <w:rPr>
                <w:b/>
                <w:bCs/>
              </w:rPr>
            </w:pPr>
            <w:r w:rsidRPr="00531A70">
              <w:rPr>
                <w:b/>
                <w:bCs/>
              </w:rPr>
              <w:t>…</w:t>
            </w:r>
          </w:p>
        </w:tc>
        <w:tc>
          <w:tcPr>
            <w:tcW w:w="1947" w:type="dxa"/>
          </w:tcPr>
          <w:p w14:paraId="0D80DA30" w14:textId="77777777" w:rsidR="00C209BB" w:rsidRPr="002E6CD6" w:rsidRDefault="00C209BB" w:rsidP="00F93E1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C209BB" w14:paraId="46A536F2" w14:textId="77777777" w:rsidTr="00F93E1D">
        <w:trPr>
          <w:trHeight w:val="346"/>
          <w:jc w:val="center"/>
        </w:trPr>
        <w:tc>
          <w:tcPr>
            <w:tcW w:w="1947" w:type="dxa"/>
          </w:tcPr>
          <w:p w14:paraId="4983BC78" w14:textId="77777777" w:rsidR="00C209BB" w:rsidRPr="00531A70" w:rsidRDefault="00C209BB" w:rsidP="00F93E1D">
            <w:pPr>
              <w:spacing w:line="240" w:lineRule="auto"/>
              <w:rPr>
                <w:b/>
                <w:bCs/>
              </w:rPr>
            </w:pPr>
            <w:r w:rsidRPr="00531A70">
              <w:rPr>
                <w:b/>
                <w:bCs/>
              </w:rPr>
              <w:t>24</w:t>
            </w:r>
          </w:p>
        </w:tc>
        <w:tc>
          <w:tcPr>
            <w:tcW w:w="1947" w:type="dxa"/>
          </w:tcPr>
          <w:p w14:paraId="5DE21DFC" w14:textId="77777777" w:rsidR="00C209BB" w:rsidRDefault="00C209BB" w:rsidP="00F93E1D">
            <w:pPr>
              <w:spacing w:line="240" w:lineRule="auto"/>
            </w:pPr>
            <w:r>
              <w:t>0.185</w:t>
            </w:r>
          </w:p>
        </w:tc>
      </w:tr>
      <w:tr w:rsidR="00C209BB" w14:paraId="5DDE9058" w14:textId="77777777" w:rsidTr="00F93E1D">
        <w:trPr>
          <w:trHeight w:val="335"/>
          <w:jc w:val="center"/>
        </w:trPr>
        <w:tc>
          <w:tcPr>
            <w:tcW w:w="1947" w:type="dxa"/>
          </w:tcPr>
          <w:p w14:paraId="4B39B90E" w14:textId="77777777" w:rsidR="00C209BB" w:rsidRPr="00531A70" w:rsidRDefault="00C209BB" w:rsidP="00F93E1D">
            <w:pPr>
              <w:spacing w:line="240" w:lineRule="auto"/>
              <w:rPr>
                <w:b/>
                <w:bCs/>
              </w:rPr>
            </w:pPr>
            <w:r w:rsidRPr="00531A70">
              <w:rPr>
                <w:b/>
                <w:bCs/>
              </w:rPr>
              <w:t>Average</w:t>
            </w:r>
          </w:p>
        </w:tc>
        <w:tc>
          <w:tcPr>
            <w:tcW w:w="1947" w:type="dxa"/>
          </w:tcPr>
          <w:p w14:paraId="007D3172" w14:textId="77777777" w:rsidR="00C209BB" w:rsidRDefault="00C209BB" w:rsidP="00F93E1D">
            <w:pPr>
              <w:spacing w:line="240" w:lineRule="auto"/>
            </w:pPr>
            <w:r>
              <w:t>0.195</w:t>
            </w:r>
          </w:p>
        </w:tc>
      </w:tr>
    </w:tbl>
    <w:p w14:paraId="3E546712" w14:textId="77777777" w:rsidR="00C209BB" w:rsidRDefault="00C209BB" w:rsidP="00C209BB"/>
    <w:p w14:paraId="47030072" w14:textId="77777777" w:rsidR="00C209BB" w:rsidRDefault="00C209BB" w:rsidP="00C209BB">
      <w:r>
        <w:lastRenderedPageBreak/>
        <w:t xml:space="preserve">The damped natural frequency can then be found using the decay by first calculating the oscillation period, </w:t>
      </w:r>
      <m:oMath>
        <m:r>
          <w:rPr>
            <w:rFonts w:ascii="Cambria Math" w:hAnsi="Cambria Math"/>
          </w:rPr>
          <m:t>T</m:t>
        </m:r>
      </m:oMath>
      <w:r>
        <w:rPr>
          <w:lang w:val="en-US"/>
        </w:rPr>
        <w:t xml:space="preserve">. The following relationships allow the damping ratio, </w:t>
      </w:r>
      <w:r>
        <w:rPr>
          <w:i/>
          <w:iCs/>
          <w:lang w:val="el-GR"/>
        </w:rPr>
        <w:t>ζ</w:t>
      </w:r>
      <w:r>
        <w:t xml:space="preserve">, and natural frequency, </w:t>
      </w:r>
      <w:r>
        <w:rPr>
          <w:i/>
          <w:iCs/>
          <w:lang w:val="el-GR"/>
        </w:rPr>
        <w:t>ω</w:t>
      </w:r>
      <w:r>
        <w:rPr>
          <w:i/>
          <w:iCs/>
          <w:vertAlign w:val="subscript"/>
        </w:rPr>
        <w:t>n</w:t>
      </w:r>
      <w:r>
        <w:t xml:space="preserve">, damping, </w:t>
      </w:r>
      <w:r>
        <w:rPr>
          <w:i/>
          <w:iCs/>
        </w:rPr>
        <w:t>c,</w:t>
      </w:r>
      <w:r>
        <w:t xml:space="preserve"> and stiffness, </w:t>
      </w:r>
      <m:oMath>
        <m:r>
          <w:rPr>
            <w:rFonts w:ascii="Cambria Math" w:hAnsi="Cambria Math"/>
          </w:rPr>
          <m:t>k</m:t>
        </m:r>
      </m:oMath>
      <w:r>
        <w:t>, to be obtained.</w:t>
      </w:r>
    </w:p>
    <w:p w14:paraId="5934E643" w14:textId="77777777" w:rsidR="00C209BB" w:rsidRPr="00EC04E0" w:rsidRDefault="00C209BB" w:rsidP="00C209BB">
      <m:oMathPara>
        <m:oMath>
          <m:r>
            <w:rPr>
              <w:rFonts w:ascii="Cambria Math" w:hAnsi="Cambria Math"/>
            </w:rPr>
            <m:t>ζ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D7271CE" w14:textId="77777777" w:rsidR="00C209BB" w:rsidRPr="00201E9F" w:rsidRDefault="00C209BB" w:rsidP="00C209B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A84C108" w14:textId="77777777" w:rsidR="00C209BB" w:rsidRPr="00E471A7" w:rsidRDefault="00C209BB" w:rsidP="00C209BB">
      <m:oMathPara>
        <m:oMath>
          <m:r>
            <w:rPr>
              <w:rFonts w:ascii="Cambria Math" w:hAnsi="Cambria Math"/>
            </w:rPr>
            <m:t>c=2</m:t>
          </m:r>
          <m: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1EE178A" w14:textId="77777777" w:rsidR="00C209BB" w:rsidRPr="00C553A8" w:rsidRDefault="00C209BB" w:rsidP="00C209BB">
      <m:oMathPara>
        <m:oMath>
          <m:r>
            <w:rPr>
              <w:rFonts w:ascii="Cambria Math" w:hAnsi="Cambria Math"/>
            </w:rPr>
            <m:t>k=m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784642" w14:textId="77777777" w:rsidR="00C209BB" w:rsidRDefault="00C209BB"/>
    <w:sectPr w:rsidR="00C20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BB"/>
    <w:rsid w:val="00461613"/>
    <w:rsid w:val="00C209BB"/>
    <w:rsid w:val="00F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C7DD"/>
  <w15:chartTrackingRefBased/>
  <w15:docId w15:val="{FE7437F7-B0C1-43AE-A111-753EE542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BB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10"/>
    <w:unhideWhenUsed/>
    <w:qFormat/>
    <w:rsid w:val="00C209BB"/>
    <w:pPr>
      <w:spacing w:after="200"/>
      <w:jc w:val="center"/>
    </w:pPr>
    <w:rPr>
      <w:i/>
      <w:iCs/>
      <w:sz w:val="20"/>
      <w:szCs w:val="18"/>
    </w:rPr>
  </w:style>
  <w:style w:type="table" w:styleId="TableGrid">
    <w:name w:val="Table Grid"/>
    <w:basedOn w:val="TableNormal"/>
    <w:uiPriority w:val="39"/>
    <w:rsid w:val="00C209BB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Questa</dc:creator>
  <cp:keywords/>
  <dc:description/>
  <cp:lastModifiedBy>Harry Questa</cp:lastModifiedBy>
  <cp:revision>1</cp:revision>
  <dcterms:created xsi:type="dcterms:W3CDTF">2022-05-27T15:18:00Z</dcterms:created>
  <dcterms:modified xsi:type="dcterms:W3CDTF">2022-05-27T15:19:00Z</dcterms:modified>
</cp:coreProperties>
</file>