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6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44"/>
          <w:szCs w:val="44"/>
          <w:rtl w:val="0"/>
        </w:rPr>
        <w:t xml:space="preserve">Ficha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227"/>
          <w:sz w:val="24"/>
          <w:szCs w:val="24"/>
          <w:rtl w:val="0"/>
        </w:rPr>
        <w:t xml:space="preserve">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6"/>
          <w:szCs w:val="26"/>
          <w:rtl w:val="0"/>
        </w:rPr>
        <w:t xml:space="preserve">KontadorIA · Sistema de Finanzas para PYMEs</w:t>
      </w:r>
      <w:r w:rsidDel="00000000" w:rsidR="00000000" w:rsidRPr="00000000">
        <w:rPr>
          <w:rtl w:val="0"/>
        </w:rPr>
      </w:r>
    </w:p>
    <w:tbl>
      <w:tblPr>
        <w:tblStyle w:val="Table1"/>
        <w:tblW w:w="6200.0" w:type="dxa"/>
        <w:jc w:val="center"/>
        <w:tblLayout w:type="fixed"/>
        <w:tblLook w:val="0000"/>
      </w:tblPr>
      <w:tblGrid>
        <w:gridCol w:w="1800"/>
        <w:gridCol w:w="4400"/>
        <w:tblGridChange w:id="0">
          <w:tblGrid>
            <w:gridCol w:w="18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005D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Antonio Varas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 · 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 · 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 ·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9f0" w:space="0" w:sz="4" w:val="single"/>
              <w:right w:color="000000" w:space="0" w:sz="0" w:val="nil"/>
            </w:tcBorders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13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73763" w:space="4" w:sz="8" w:val="single"/>
        </w:pBdr>
        <w:spacing w:after="20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Índice</w:t>
      </w:r>
      <w:hyperlink w:anchor="_8rrsypkmv6i1">
        <w:r w:rsidDel="00000000" w:rsidR="00000000" w:rsidRPr="00000000">
          <w:rPr>
            <w:rtl w:val="0"/>
          </w:rPr>
          <w:tab/>
        </w:r>
      </w:hyperlink>
      <w:r w:rsidDel="00000000" w:rsidR="00000000" w:rsidRPr="00000000">
        <w:rPr>
          <w:rtl w:val="0"/>
        </w:rPr>
      </w:r>
    </w:p>
    <w:sdt>
      <w:sdtPr>
        <w:id w:val="17159234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5ryb2bprn7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Datos del proyecto</w:t>
              <w:tab/>
            </w:r>
          </w:hyperlink>
          <w:r w:rsidDel="00000000" w:rsidR="00000000" w:rsidRPr="00000000">
            <w:fldChar w:fldCharType="begin"/>
            <w:instrText xml:space="preserve"> PAGEREF _45ryb2bprn75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vzpo1rzuyu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Equipo y responsabilidades</w:t>
              <w:tab/>
            </w:r>
          </w:hyperlink>
          <w:r w:rsidDel="00000000" w:rsidR="00000000" w:rsidRPr="00000000">
            <w:fldChar w:fldCharType="begin"/>
            <w:instrText xml:space="preserve"> PAGEREF _vzpo1rzuyug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c95uachxx70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Problema</w:t>
              <w:tab/>
            </w:r>
          </w:hyperlink>
          <w:r w:rsidDel="00000000" w:rsidR="00000000" w:rsidRPr="00000000">
            <w:fldChar w:fldCharType="begin"/>
            <w:instrText xml:space="preserve"> PAGEREF _c95uachxx70b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rrx1hc42nme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Solución</w:t>
              <w:tab/>
            </w:r>
          </w:hyperlink>
          <w:r w:rsidDel="00000000" w:rsidR="00000000" w:rsidRPr="00000000">
            <w:fldChar w:fldCharType="begin"/>
            <w:instrText xml:space="preserve"> PAGEREF _rrx1hc42nmew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pleilxq9qy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del proyecto</w:t>
              <w:tab/>
            </w:r>
          </w:hyperlink>
          <w:r w:rsidDel="00000000" w:rsidR="00000000" w:rsidRPr="00000000">
            <w:fldChar w:fldCharType="begin"/>
            <w:instrText xml:space="preserve"> PAGEREF _pleilxq9qyk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7knq7aqy71l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Alcance</w:t>
              <w:tab/>
            </w:r>
          </w:hyperlink>
          <w:r w:rsidDel="00000000" w:rsidR="00000000" w:rsidRPr="00000000">
            <w:fldChar w:fldCharType="begin"/>
            <w:instrText xml:space="preserve"> PAGEREF _7knq7aqy71ls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fmgnii4oyo8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Usuarios</w:t>
              <w:tab/>
            </w:r>
          </w:hyperlink>
          <w:r w:rsidDel="00000000" w:rsidR="00000000" w:rsidRPr="00000000">
            <w:fldChar w:fldCharType="begin"/>
            <w:instrText xml:space="preserve"> PAGEREF _fmgnii4oyo8r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riojb331ftp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Tecnología</w:t>
              <w:tab/>
            </w:r>
          </w:hyperlink>
          <w:r w:rsidDel="00000000" w:rsidR="00000000" w:rsidRPr="00000000">
            <w:fldChar w:fldCharType="begin"/>
            <w:instrText xml:space="preserve"> PAGEREF _riojb331ftpp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b714iatswil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Presupuesto</w:t>
              <w:tab/>
            </w:r>
          </w:hyperlink>
          <w:r w:rsidDel="00000000" w:rsidR="00000000" w:rsidRPr="00000000">
            <w:fldChar w:fldCharType="begin"/>
            <w:instrText xml:space="preserve"> PAGEREF _b714iatswily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9iorukulueo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Riesgos principales</w:t>
              <w:tab/>
            </w:r>
          </w:hyperlink>
          <w:r w:rsidDel="00000000" w:rsidR="00000000" w:rsidRPr="00000000">
            <w:fldChar w:fldCharType="begin"/>
            <w:instrText xml:space="preserve"> PAGEREF _9iorukulueos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Rule="auto"/>
            <w:rPr>
              <w:color w:val="000000"/>
              <w:u w:val="none"/>
            </w:rPr>
          </w:pPr>
          <w:hyperlink w:anchor="_8rrsypkmv6i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Indicadores de éxito</w:t>
              <w:tab/>
            </w:r>
          </w:hyperlink>
          <w:r w:rsidDel="00000000" w:rsidR="00000000" w:rsidRPr="00000000">
            <w:fldChar w:fldCharType="begin"/>
            <w:instrText xml:space="preserve"> PAGEREF _8rrsypkmv6i1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Bdr>
          <w:bottom w:color="d3dae5" w:space="6" w:sz="4" w:val="single"/>
        </w:pBdr>
        <w:spacing w:after="120" w:before="120" w:line="28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spacing w:after="180" w:before="400" w:lineRule="auto"/>
        <w:rPr/>
      </w:pPr>
      <w:bookmarkStart w:colFirst="0" w:colLast="0" w:name="_45ryb2bprn7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1. Datos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Resumen ejecutivo de KontadorIA: quién lo desarrolla, en qué plazo, qué problema aborda y con qué alcance, recursos y criterios de éxito se evaluará.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000"/>
      </w:tblPr>
      <w:tblGrid>
        <w:gridCol w:w="2600"/>
        <w:gridCol w:w="6429"/>
        <w:tblGridChange w:id="0">
          <w:tblGrid>
            <w:gridCol w:w="2600"/>
            <w:gridCol w:w="64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KontadorIA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Sin sponsor externo. Proyecto autogestionado por el equipo: el producto está pensado para ofrecerse a múltiples PYMEs, no para un cliente único que lo encargue.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13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11 de diciembre de 2026 (fin del Sprint 5 y entrega de la versión 1.1)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spacing w:after="180" w:before="400" w:lineRule="auto"/>
        <w:rPr/>
      </w:pPr>
      <w:bookmarkStart w:colFirst="0" w:colLast="0" w:name="_vzpo1rzuyug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2. Equipo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equipo trabaja con Scrum. Felipe concentra el desarrollo técnico, Diego facilita el proceso y Vicente prioriza el producto según las necesidades del negocio.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000"/>
      </w:tblPr>
      <w:tblGrid>
        <w:gridCol w:w="3600"/>
        <w:gridCol w:w="2800"/>
        <w:gridCol w:w="2629"/>
        <w:tblGridChange w:id="0">
          <w:tblGrid>
            <w:gridCol w:w="3600"/>
            <w:gridCol w:w="2800"/>
            <w:gridCol w:w="26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Backend y Azure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Base de datos y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Felipe Quezada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Facilitación del proceso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Diego Gallardo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Priorización del backlog y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Vicente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spacing w:after="180" w:before="400" w:lineRule="auto"/>
        <w:rPr/>
      </w:pPr>
      <w:bookmarkStart w:colFirst="0" w:colLast="0" w:name="_c95uachxx70b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3.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Las PYMEs chilenas pequeñas (de 1 a 20 personas y sin contador interno) suelen llevar sus gastos e ingresos en Excel, WhatsApp o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resultado típico son boletas que se pierden o se registran tarde, un contador externo que recibe la información desordenada a fin de mes y un dueño que no sabe en qué se está gastando el dinero mientras el mes transcurre.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spacing w:after="180" w:before="400" w:lineRule="auto"/>
        <w:rPr/>
      </w:pPr>
      <w:bookmarkStart w:colFirst="0" w:colLast="0" w:name="_rrx1hc42nme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4.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KontadorIA es una aplicación web donde una PYME registra sus gastos e ingresos de tres formas: manualmente, cargando una foto o PDF de la boleta (la inteligencia artificial extrae los datos y el usuario los confirma) o importando el Excel o CSV que ya utiliza.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plataforma es multiempresa desde su diseño: los datos de cada empresa quedan aislados en la propia base de datos, y cada usuario accede según su rol (dueño, contador externo o empleado). Así la PYME no renuncia a lo que ya tiene ni enfrenta la curva de aprendizaje de un software contable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spacing w:after="180" w:before="400" w:lineRule="auto"/>
        <w:rPr/>
      </w:pPr>
      <w:bookmarkStart w:colFirst="0" w:colLast="0" w:name="_pleilxq9qyk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5. Objetivos del proyecto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000"/>
      </w:tblPr>
      <w:tblGrid>
        <w:gridCol w:w="700"/>
        <w:gridCol w:w="8329"/>
        <w:tblGridChange w:id="0">
          <w:tblGrid>
            <w:gridCol w:w="700"/>
            <w:gridCol w:w="83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las PYMEs gestionen sus finanzas de forma simple, como alternativa al control manual en Excel o al software contable tradicional, sin necesidad de conocimientos contables.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Reducir el tiempo y los errores del registro de boletas y facturas, y evitar que se pierdan o se registren tarde.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Que cada persona de la empresa (dueño, contador y empleados) participe en la gestión financiera según su función, viendo solo lo que le corresponde.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Proteger la información financiera de cada empresa frente a cualquier acceso de otras empresas, con un costo de operación bajo y predecible.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spacing w:after="180" w:before="400" w:lineRule="auto"/>
        <w:rPr/>
      </w:pPr>
      <w:bookmarkStart w:colFirst="0" w:colLast="0" w:name="_7knq7aqy71ls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6.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alcance corresponde a la versión 1, que se entrega dentro del calendario del Capstone.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Layout w:type="fixed"/>
        <w:tblLook w:val="0000"/>
      </w:tblPr>
      <w:tblGrid>
        <w:gridCol w:w="4515"/>
        <w:gridCol w:w="4514"/>
        <w:tblGridChange w:id="0">
          <w:tblGrid>
            <w:gridCol w:w="4515"/>
            <w:gridCol w:w="451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Incluido en la versión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Fuera de alcance de la versión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Registro manual de ingresos y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Integración con el SII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Carga de boletas y facturas por foto o PDF, con extracción por IA y validación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Sincronización con bancos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Importación de CSV/XLSX con plantilla, validación por fila y vista previa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Montos en otras monedas (solo 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Multiempresa con Row-Level Security y tres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Aplicación móvil nativa (se usa web responsive / PWA)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Categorías, presupuestos, consultas, exportación 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Envío automático de correos de invitación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1"/>
        <w:spacing w:after="180" w:before="400" w:lineRule="auto"/>
        <w:rPr/>
      </w:pPr>
      <w:bookmarkStart w:colFirst="0" w:colLast="0" w:name="_fmgnii4oyo8r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7. Usuarios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Layout w:type="fixed"/>
        <w:tblLook w:val="0000"/>
      </w:tblPr>
      <w:tblGrid>
        <w:gridCol w:w="2300"/>
        <w:gridCol w:w="3929"/>
        <w:gridCol w:w="2800"/>
        <w:tblGridChange w:id="0">
          <w:tblGrid>
            <w:gridCol w:w="2300"/>
            <w:gridCol w:w="3929"/>
            <w:gridCol w:w="2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no puede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Dueño /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Gestiona usuarios, empresa, categorías y presupuestos. Registra, importa, consulta y exporta todos los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Consulta todos los movimientos de la empresa, importa CSV/XLSX y exporta reportes. Puede atender a varias empresas.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Gestionar usuarios o la configuración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Registra los gastos e ingresos del día a día, en forma manual o por foto/PDF.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Ver movimientos de otros usuarios, reportes globales, importar o exportar.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1"/>
        <w:spacing w:after="180" w:before="400" w:lineRule="auto"/>
        <w:rPr/>
      </w:pPr>
      <w:bookmarkStart w:colFirst="0" w:colLast="0" w:name="_riojb331ftpp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8. Tecnología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La plataforma se construye principalmente sobre servicios gestionados de Microsoft Azure. El detalle y la justificación de cada elección están en el Documento de Arquitectura de Software.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Layout w:type="fixed"/>
        <w:tblLook w:val="0000"/>
      </w:tblPr>
      <w:tblGrid>
        <w:gridCol w:w="2800"/>
        <w:gridCol w:w="3500"/>
        <w:gridCol w:w="2729"/>
        <w:tblGridChange w:id="0">
          <w:tblGrid>
            <w:gridCol w:w="2800"/>
            <w:gridCol w:w="3500"/>
            <w:gridCol w:w="27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 se ejecuta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React + Vite (PWA)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Functions (Flex Consumption)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Base de datos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SQL Database +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Almacenamiento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Blob Storage, un contenedor por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AI Document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Microsoft Entra External ID + MSAL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Azure, cuenta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Application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Azure for Students (Duoc)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Control de versiones y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GitHub +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1"/>
        <w:spacing w:after="180" w:before="400" w:lineRule="auto"/>
        <w:rPr/>
      </w:pPr>
      <w:bookmarkStart w:colFirst="0" w:colLast="0" w:name="_b714iatswily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9.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Durante el Capstone la plataforma opera con los créditos y niveles gratuitos de Azure for Students. La siguiente tabla proyecta el costo mensual de un despliegue comercial con la arquitectura actual, en un escenario de 10 PYMEs, 30 usuarios activos y 1.000 boletas procesadas con IA al mes.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Layout w:type="fixed"/>
        <w:tblLook w:val="0000"/>
      </w:tblPr>
      <w:tblGrid>
        <w:gridCol w:w="2900"/>
        <w:gridCol w:w="4229"/>
        <w:gridCol w:w="1900"/>
        <w:tblGridChange w:id="0">
          <w:tblGrid>
            <w:gridCol w:w="2900"/>
            <w:gridCol w:w="4229"/>
            <w:gridCol w:w="19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mensual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Hosting del frontend, plan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Flex Consumption, dentro de la cuota gratuita de ejecuciones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SQL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Standard S0 (10 DTU, 250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$14,72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Blob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Uso general v2, LRS, nivel Hot: 20 GB de documentos y 1 GB del runtime de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Azure AI Document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S0, 1.000 páginas al mes (US$ 0,01 por página)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$10,00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Microsoft Entra External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Gratuito hasta 50.000 usuarios activos al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Application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Dentro de la cuota gratuita de ingesta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GitHub y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$0,00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Total mensual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Sin costos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$25,41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="288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El costo que crece con el uso es Document Intelligence, que cobra por cada página procesada. La importación de CSV/XLSX no tiene costo marginal, por lo que es la vía más económica para cargar grandes volúmenes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88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7"/>
          <w:szCs w:val="17"/>
          <w:rtl w:val="0"/>
        </w:rPr>
        <w:t xml:space="preserve">Fuente: Azure Pricing Calculator, cotización del 13-10-2026 (precios de referencia en USD, región West US). Con el dólar a $976,88, el total equivale a unos $24.820 CLP al mes. Netlify, Entra External ID, Application Insights y GitHub según sus niveles gratuitos. Detalle y supuestos en el Presupuesto Estimado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1"/>
        <w:spacing w:after="180" w:before="400" w:lineRule="auto"/>
        <w:rPr/>
      </w:pPr>
      <w:bookmarkStart w:colFirst="0" w:colLast="0" w:name="_9iorukulueos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10. Riesgos principales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Layout w:type="fixed"/>
        <w:tblLook w:val="0000"/>
      </w:tblPr>
      <w:tblGrid>
        <w:gridCol w:w="3300"/>
        <w:gridCol w:w="1000"/>
        <w:gridCol w:w="4729"/>
        <w:tblGridChange w:id="0">
          <w:tblGrid>
            <w:gridCol w:w="3300"/>
            <w:gridCol w:w="1000"/>
            <w:gridCol w:w="47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Fuga de datos entre empresas por una política RLS mal escrita o un SESSION_CONTEXT reutilizado entre conexiones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RLS en la base de datos, SESSION_CONTEXT fijado en cada solicitud a partir del token validado y pruebas de aislamiento entre empresas y entre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Errores de extracción de la IA en documentos borrosos o en formatos no reconocidos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El usuario revisa y confirma los datos antes de guardar; si el documento no se puede leer, se ofrece el formulario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Archivos CSV/XLSX mal formados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Plantilla fija descargable, validación de cada fila y vista previa antes de confirmar la 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Restricciones de la cuenta Azure for Students de Duoc (regiones permitidas, creación de tenant, App Registrations)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Ya se presentó y se resolvió: frontend en Netlify, identidad en una cuenta Azure separada y despliegue con Managed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Retrasos frente al calendario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Alcance de la versión 1 cerrado y backlog priorizado por el Product Owner; lo no esencial pasa al backlog futuro.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1"/>
        <w:spacing w:after="180" w:before="400" w:lineRule="auto"/>
        <w:rPr/>
      </w:pPr>
      <w:bookmarkStart w:colFirst="0" w:colLast="0" w:name="_8rrsypkmv6i1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30"/>
          <w:szCs w:val="30"/>
          <w:rtl w:val="0"/>
        </w:rPr>
        <w:t xml:space="preserve">11. Indicadores de éxito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Layout w:type="fixed"/>
        <w:tblLook w:val="0000"/>
      </w:tblPr>
      <w:tblGrid>
        <w:gridCol w:w="2800"/>
        <w:gridCol w:w="6229"/>
        <w:tblGridChange w:id="0">
          <w:tblGrid>
            <w:gridCol w:w="2800"/>
            <w:gridCol w:w="62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073763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Aislamiento multiempresa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Un usuario de la empresa A no obtiene datos de la empresa B bajo ningún rol, ni siquiera llamando a la API directamente.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Flujos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Los tres flujos (manual, foto/PDF y CSV/XLSX) funcionan de punta a punta, con confirmación del usuario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Los permisos de administrador, contador y empleado se cumplen en la interfaz, en la API y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5f8f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Las historias comprometidas para la versión 1 cumplen sus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19"/>
                <w:szCs w:val="19"/>
                <w:rtl w:val="0"/>
              </w:rPr>
              <w:t xml:space="preserve">Costo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ae5" w:space="0" w:sz="4" w:val="single"/>
              <w:left w:color="d3dae5" w:space="0" w:sz="4" w:val="single"/>
              <w:bottom w:color="d3dae5" w:space="0" w:sz="4" w:val="single"/>
              <w:right w:color="d3dae5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La operación se mantiene dentro del presupuesto mensual proyectado.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20" w:line="288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5"/>
        <w:szCs w:val="15"/>
        <w:rtl w:val="0"/>
      </w:rPr>
      <w:t xml:space="preserve">Ficha del Proyecto · KontadorIA · Página </w:t>
    </w:r>
    <w:r w:rsidDel="00000000" w:rsidR="00000000" w:rsidRPr="00000000">
      <w:rPr>
        <w:rFonts w:ascii="Arial" w:cs="Arial" w:eastAsia="Arial" w:hAnsi="Arial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1"/>
      <w:tblW w:w="902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000"/>
      <w:gridCol w:w="7029"/>
      <w:tblGridChange w:id="0">
        <w:tblGrid>
          <w:gridCol w:w="2000"/>
          <w:gridCol w:w="702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73763" w:space="0" w:sz="6" w:val="single"/>
            <w:right w:color="000000" w:space="0" w:sz="0" w:val="nil"/>
          </w:tcBorders>
          <w:tcMar>
            <w:bottom w:w="80.0" w:type="dxa"/>
          </w:tcMar>
          <w:vAlign w:val="center"/>
        </w:tcPr>
        <w:p w:rsidR="00000000" w:rsidDel="00000000" w:rsidP="00000000" w:rsidRDefault="00000000" w:rsidRPr="00000000" w14:paraId="000000DE">
          <w:pPr>
            <w:spacing w:after="0" w:lineRule="auto"/>
            <w:rPr/>
          </w:pPr>
          <w:r w:rsidDel="00000000" w:rsidR="00000000" w:rsidRPr="00000000">
            <w:rPr/>
            <w:drawing>
              <wp:inline distB="0" distT="0" distL="0" distR="0">
                <wp:extent cx="1123950" cy="2762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73763" w:space="0" w:sz="6" w:val="single"/>
            <w:right w:color="000000" w:space="0" w:sz="0" w:val="nil"/>
          </w:tcBorders>
          <w:tcMar>
            <w:bottom w:w="80.0" w:type="dxa"/>
          </w:tcMar>
          <w:vAlign w:val="center"/>
        </w:tcPr>
        <w:p w:rsidR="00000000" w:rsidDel="00000000" w:rsidP="00000000" w:rsidRDefault="00000000" w:rsidRPr="00000000" w14:paraId="000000DF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6"/>
              <w:szCs w:val="16"/>
              <w:rtl w:val="0"/>
            </w:rPr>
            <w:t xml:space="preserve">Instituto Profesional DuocUC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6"/>
              <w:szCs w:val="16"/>
              <w:rtl w:val="0"/>
            </w:rPr>
            <w:t xml:space="preserve">Escuela de Informática y Telecomunicaciones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