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073763"/>
          <w:sz w:val="44"/>
          <w:szCs w:val="44"/>
        </w:rPr>
        <w:t xml:space="preserve">Acta de Constitución</w:t>
      </w:r>
    </w:p>
    <w:p>
      <w:pPr>
        <w:spacing w:after="160"/>
        <w:jc w:val="center"/>
      </w:pPr>
      <w:r>
        <w:rPr>
          <w:rFonts w:ascii="Arial" w:cs="Arial" w:eastAsia="Arial" w:hAnsi="Arial"/>
          <w:color w:val="C9A227"/>
          <w:sz w:val="22"/>
          <w:szCs w:val="22"/>
        </w:rPr>
        <w:t xml:space="preserve">━━━━━</w:t>
      </w:r>
    </w:p>
    <w:p>
      <w:pPr>
        <w:spacing w:after="1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KontadorIA · Sistema de Finanzas para PYMEs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Asignatura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Capstone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Sección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005D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Docente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Cindy Contador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Sede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Antonio Varas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Diego Gallardo · Scrum Master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Vicente Hermosilla · Product 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Felipe Quezada · Desarrollador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Versión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Fecha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12 de octubre de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Índice</w:t>
      </w:r>
    </w:p>
    <w:p>
      <w:pPr>
        <w:tabs>
          <w:tab w:val="right" w:pos="9029" w:leader="dot"/>
        </w:tabs>
        <w:spacing w:after="60"/>
      </w:pPr>
      <w:hyperlink w:history="1" w:anchor="_Toc1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1. Información del proyecto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3</w:t>
        </w:r>
      </w:hyperlink>
    </w:p>
    <w:p>
      <w:pPr>
        <w:tabs>
          <w:tab w:val="right" w:pos="9029" w:leader="dot"/>
        </w:tabs>
        <w:spacing w:after="60"/>
      </w:pPr>
      <w:hyperlink w:history="1" w:anchor="_Toc2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2. Justificación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3</w:t>
        </w:r>
      </w:hyperlink>
    </w:p>
    <w:p>
      <w:pPr>
        <w:tabs>
          <w:tab w:val="right" w:pos="9029" w:leader="dot"/>
        </w:tabs>
        <w:spacing w:after="60"/>
      </w:pPr>
      <w:hyperlink w:history="1" w:anchor="_Toc3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3. Problema y necesidad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3</w:t>
        </w:r>
      </w:hyperlink>
    </w:p>
    <w:p>
      <w:pPr>
        <w:tabs>
          <w:tab w:val="right" w:pos="9029" w:leader="dot"/>
        </w:tabs>
        <w:spacing w:after="60"/>
      </w:pPr>
      <w:hyperlink w:history="1" w:anchor="_Toc4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4. Objetivos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4</w:t>
        </w:r>
      </w:hyperlink>
    </w:p>
    <w:p>
      <w:pPr>
        <w:tabs>
          <w:tab w:val="right" w:pos="9029" w:leader="dot"/>
        </w:tabs>
        <w:spacing w:after="60"/>
      </w:pPr>
      <w:hyperlink w:history="1" w:anchor="_Toc5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5. Alcance inicial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4</w:t>
        </w:r>
      </w:hyperlink>
    </w:p>
    <w:p>
      <w:pPr>
        <w:tabs>
          <w:tab w:val="right" w:pos="9029" w:leader="dot"/>
        </w:tabs>
        <w:spacing w:after="60"/>
      </w:pPr>
      <w:hyperlink w:history="1" w:anchor="_Toc6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6. Supuestos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5</w:t>
        </w:r>
      </w:hyperlink>
    </w:p>
    <w:p>
      <w:pPr>
        <w:tabs>
          <w:tab w:val="right" w:pos="9029" w:leader="dot"/>
        </w:tabs>
        <w:spacing w:after="60"/>
      </w:pPr>
      <w:hyperlink w:history="1" w:anchor="_Toc7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7. Restricciones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5</w:t>
        </w:r>
      </w:hyperlink>
    </w:p>
    <w:p>
      <w:pPr>
        <w:tabs>
          <w:tab w:val="right" w:pos="9029" w:leader="dot"/>
        </w:tabs>
        <w:spacing w:after="60"/>
      </w:pPr>
      <w:hyperlink w:history="1" w:anchor="_Toc8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8. Riesgos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6</w:t>
        </w:r>
      </w:hyperlink>
    </w:p>
    <w:p>
      <w:pPr>
        <w:tabs>
          <w:tab w:val="right" w:pos="9029" w:leader="dot"/>
        </w:tabs>
        <w:spacing w:after="60"/>
      </w:pPr>
      <w:hyperlink w:history="1" w:anchor="_Toc9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9. Stakeholders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6</w:t>
        </w:r>
      </w:hyperlink>
    </w:p>
    <w:p>
      <w:pPr>
        <w:tabs>
          <w:tab w:val="right" w:pos="9029" w:leader="dot"/>
        </w:tabs>
        <w:spacing w:after="60"/>
      </w:pPr>
      <w:hyperlink w:history="1" w:anchor="_Toc10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10. Criterios de éxito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6</w:t>
        </w:r>
      </w:hyperlink>
    </w:p>
    <w:p>
      <w:pPr>
        <w:tabs>
          <w:tab w:val="right" w:pos="9029" w:leader="dot"/>
        </w:tabs>
        <w:spacing w:after="60"/>
      </w:pPr>
      <w:hyperlink w:history="1" w:anchor="_Toc11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11. Aprobación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7</w:t>
        </w:r>
      </w:hyperlink>
    </w:p>
    <w:p>
      <w:r>
        <w:br w:type="page"/>
      </w:r>
    </w:p>
    <w:p>
      <w:pPr>
        <w:keepNext/>
        <w:spacing w:after="80" w:before="280"/>
      </w:pPr>
      <w:bookmarkStart w:name="_Toc1" w:id="12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1. Información del proyecto</w:t>
      </w:r>
      <w:bookmarkEnd w:id="12"/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Acta de Constitución formaliza el inicio de KontadorIA: deja por escrito por qué se hace el proyecto, qué se espera lograr, con qué límites y quiénes participan. Una vez aprobada, es la referencia contra la cual se evalúan los cambios de alcance.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9"/>
      </w:tblGrid>
      <w:tr>
        <w:trPr>
          <w:cantSplit/>
          <w:tblHeader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6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KontadorIA · Sistema de Finanzas para PYMEs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Cliente objetivo</w:t>
            </w:r>
          </w:p>
        </w:tc>
        <w:tc>
          <w:tcPr>
            <w:tcW w:type="dxa" w:w="6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Micro y pequeñas empresas chilenas (1 a 20 personas) sin contador interno ni sistema contable formal.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Patrocinio</w:t>
            </w:r>
          </w:p>
        </w:tc>
        <w:tc>
          <w:tcPr>
            <w:tcW w:type="dxa" w:w="6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Sin sponsor externo. Proyecto autogestionado por el equipo en el marco de la asignatura Capstone de Duoc UC; la docente guía supervisa y evalúa.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Vicente Hermosilla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Diego Gallardo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6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Felipe Quezada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Fecha de inicio</w:t>
            </w:r>
          </w:p>
        </w:tc>
        <w:tc>
          <w:tcPr>
            <w:tcW w:type="dxa" w:w="6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13 de agosto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Fecha de término</w:t>
            </w:r>
          </w:p>
        </w:tc>
        <w:tc>
          <w:tcPr>
            <w:tcW w:type="dxa" w:w="6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11 de diciembre de 2026 (fin del Sprint 5 y entrega de la versión 1.1)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Metodología</w:t>
            </w:r>
          </w:p>
        </w:tc>
        <w:tc>
          <w:tcPr>
            <w:tcW w:type="dxa" w:w="6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Scrum, con sprints de dos semanas (el Sprint 1, de una semana).</w:t>
            </w:r>
          </w:p>
        </w:tc>
      </w:tr>
    </w:tbl>
    <w:p>
      <w:pPr>
        <w:spacing w:after="120"/>
      </w:pPr>
    </w:p>
    <w:p>
      <w:pPr>
        <w:keepNext/>
        <w:spacing w:after="80" w:before="280"/>
      </w:pPr>
      <w:bookmarkStart w:name="_Toc2" w:id="13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2. Justificación</w:t>
      </w:r>
      <w:bookmarkEnd w:id="13"/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Muchas PYMEs chilenas no cuentan con un sistema para llevar sus finanzas. La información se maneja en Excel, WhatsApp y registros en papel, lo que impide centralizarla y tenerla al día. El software contable disponible está pensado para empresas que ya formalizaron su contabilidad, por lo que el segmento que todavía trabaja con planillas o papel queda desatendido.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Al mismo tiempo, los servicios de inteligencia artificial para leer documentos y la infraestructura en la nube hacen posible ofrecer a este segmento una herramienta simple, segura y de bajo costo operativo. El proyecto se justifica, además, por el contexto normativo: la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Ley N° 21.719 de protección de datos personales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entra en plena vigencia el 1 de diciembre de 2026, por lo que una plataforma que maneja datos de varias empresas debe diseñarse desde el inicio con aislamiento y control de acceso.</w:t>
      </w:r>
    </w:p>
    <w:p>
      <w:pPr>
        <w:keepNext/>
        <w:spacing w:after="80" w:before="280"/>
      </w:pPr>
      <w:bookmarkStart w:name="_Toc3" w:id="14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3. Problema y necesidad</w:t>
      </w:r>
      <w:bookmarkEnd w:id="14"/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uso de herramientas manuales e informales provoca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pérdida de boletas, recepción tardía de documentos y errores de registro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. Como consecuencia, el dueño no tiene una visión clara y actualizada de sus ingresos y gastos mientras el mes transcurre, y el contador externo recibe la información desordenada a fin de mes.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La necesidad es una forma de registrar cada movimiento en el momento en que ocurre, sin exigir conocimientos contables ni abandonar el Excel que la empresa ya usa, y con la información de cada empresa protegida.</w:t>
      </w:r>
    </w:p>
    <w:p>
      <w:pPr>
        <w:keepNext/>
        <w:spacing w:after="80" w:before="280"/>
      </w:pPr>
      <w:bookmarkStart w:name="_Toc4" w:id="15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4. Objetivos</w:t>
      </w:r>
      <w:bookmarkEnd w:id="15"/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color w:val="073763"/>
          <w:sz w:val="23"/>
          <w:szCs w:val="23"/>
        </w:rPr>
        <w:t xml:space="preserve">Objetivo general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Facilitar y automatizar la gestión financiera de las PYMEs chilenas pequeñas, para que registren sus ingresos y gastos en el momento en que ocurren, cuenten con una visión clara y actualizada de su situación financiera y entreguen información ordenada a su contador, sin necesidad de conocimientos contables ni de abandonar las herramientas que ya usan.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Para lograrlo, el equipo desarrolla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KontadorIA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, una plataforma web que es el medio para alcanzar este objetivo, no el objetivo en sí. Por eso cada objetivo específico describe un cambio para la PYME, y su indicador indica cómo la plataforma permite verificarlo.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color w:val="073763"/>
          <w:sz w:val="23"/>
          <w:szCs w:val="23"/>
        </w:rPr>
        <w:t xml:space="preserve">Objetivos específicos e indicadores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3829"/>
      </w:tblGrid>
      <w:tr>
        <w:trPr>
          <w:cantSplit/>
          <w:tblHeader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 específico</w:t>
            </w:r>
          </w:p>
        </w:tc>
        <w:tc>
          <w:tcPr>
            <w:tcW w:type="dxa" w:w="3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de éxito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Visibilidad financiera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Que el dueño conozca sus ingresos, gastos y presupuestos mientras el mes transcurre, y no solo al cierre.</w:t>
            </w:r>
          </w:p>
        </w:tc>
        <w:tc>
          <w:tcPr>
            <w:tcW w:type="dxa" w:w="3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El dashboard muestra el resumen del mes con los movimientos al día, y la información se puede consultar con filtros y exportar en cualquier momento.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Registro de documentos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Reducir el tiempo y los errores del registro de boletas y facturas, y evitar que se pierdan o se registren tarde.</w:t>
            </w:r>
          </w:p>
        </w:tc>
        <w:tc>
          <w:tcPr>
            <w:tcW w:type="dxa" w:w="3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Una boleta o factura en imagen o PDF queda registrada con sus datos extraídos automáticamente; el usuario solo los revisa y confirma, y el documento queda respaldado.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Continuidad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Que la PYME incorpore la información que ya lleva en Excel sin volver a tipearla.</w:t>
            </w:r>
          </w:p>
        </w:tc>
        <w:tc>
          <w:tcPr>
            <w:tcW w:type="dxa" w:w="3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Un archivo CSV/XLSX con la plantilla se importa con validación por fila y vista previa, y los movimientos quedan registrados correctamente.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Trabajo en equipo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Que cada persona de la empresa participe en la gestión financiera según su función, viendo solo lo que le corresponde.</w:t>
            </w:r>
          </w:p>
        </w:tc>
        <w:tc>
          <w:tcPr>
            <w:tcW w:type="dxa" w:w="3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Los roles de administrador, contador y empleado se cumplen en la interfaz, en la API y en la base de datos.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Protección de la información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Que la información financiera de cada empresa esté protegida frente a cualquier acceso de otras empresas.</w:t>
            </w:r>
          </w:p>
        </w:tc>
        <w:tc>
          <w:tcPr>
            <w:tcW w:type="dxa" w:w="3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En las pruebas, un usuario de la empresa A no obtiene datos de la empresa B bajo ningún rol, ni llamando a la API directamente.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Accesibilidad económica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Que la solución tenga un costo de operación bajo y predecible, acorde a una PYME pequeña.</w:t>
            </w:r>
          </w:p>
        </w:tc>
        <w:tc>
          <w:tcPr>
            <w:tcW w:type="dxa" w:w="3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Durante el Capstone se opera con los créditos de Azure for Students; la proyección comercial no supera en más de un 10 % el presupuesto mensual estimado (USD 25,41, ver Presupuesto Estimado v2).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Facilidad de adopción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Que la PYME gestione sus finanzas sin conocimientos contables ni capacitación previa.</w:t>
            </w:r>
          </w:p>
        </w:tc>
        <w:tc>
          <w:tcPr>
            <w:tcW w:type="dxa" w:w="38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Los usuarios del piloto realizan las operaciones principales sin ayuda externa.</w:t>
            </w:r>
          </w:p>
        </w:tc>
      </w:tr>
    </w:tbl>
    <w:p>
      <w:pPr>
        <w:spacing w:after="120"/>
      </w:pPr>
    </w:p>
    <w:p>
      <w:pPr>
        <w:keepNext/>
        <w:spacing w:after="80" w:before="280"/>
      </w:pPr>
      <w:bookmarkStart w:name="_Toc5" w:id="16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5. Alcance inicial</w:t>
      </w:r>
      <w:bookmarkEnd w:id="16"/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alcance corresponde a la versión 1 del producto, que se entrega dentro del calendario del Capstone. Su detalle está en las Historias de Usuario v1.2 (18 historias) y en el Product Backlog.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4"/>
        <w:gridCol w:w="4515"/>
      </w:tblGrid>
      <w:tr>
        <w:trPr>
          <w:cantSplit/>
          <w:tblHeader/>
        </w:trPr>
        <w:tc>
          <w:tcPr>
            <w:tcW w:type="dxa" w:w="451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Incluido en la versión 1</w:t>
            </w:r>
          </w:p>
        </w:tc>
        <w:tc>
          <w:tcPr>
            <w:tcW w:type="dxa" w:w="451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Fuera del alcance de la versión 1</w:t>
            </w:r>
          </w:p>
        </w:tc>
      </w:tr>
      <w:tr>
        <w:trPr>
          <w:cantSplit/>
        </w:trPr>
        <w:tc>
          <w:tcPr>
            <w:tcW w:type="dxa" w:w="451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Registro de la empresa, inicio de sesión y gestión de usuarios con tres roles</w:t>
            </w:r>
          </w:p>
        </w:tc>
        <w:tc>
          <w:tcPr>
            <w:tcW w:type="dxa" w:w="451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Integración con el SII y emisión de documentos tributarios</w:t>
            </w:r>
          </w:p>
        </w:tc>
      </w:tr>
      <w:tr>
        <w:trPr>
          <w:cantSplit/>
        </w:trPr>
        <w:tc>
          <w:tcPr>
            <w:tcW w:type="dxa" w:w="451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Registro manual de ingresos y gastos</w:t>
            </w:r>
          </w:p>
        </w:tc>
        <w:tc>
          <w:tcPr>
            <w:tcW w:type="dxa" w:w="451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Sincronización automática con bancos</w:t>
            </w:r>
          </w:p>
        </w:tc>
      </w:tr>
      <w:tr>
        <w:trPr>
          <w:cantSplit/>
        </w:trPr>
        <w:tc>
          <w:tcPr>
            <w:tcW w:type="dxa" w:w="451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Carga de boletas y facturas por foto o PDF, con extracción por IA y validación del usuario</w:t>
            </w:r>
          </w:p>
        </w:tc>
        <w:tc>
          <w:tcPr>
            <w:tcW w:type="dxa" w:w="451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Montos en otras monedas (solo CLP)</w:t>
            </w:r>
          </w:p>
        </w:tc>
      </w:tr>
      <w:tr>
        <w:trPr>
          <w:cantSplit/>
        </w:trPr>
        <w:tc>
          <w:tcPr>
            <w:tcW w:type="dxa" w:w="451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Importación de CSV/XLSX con plantilla, validación por fila y vista previa</w:t>
            </w:r>
          </w:p>
        </w:tc>
        <w:tc>
          <w:tcPr>
            <w:tcW w:type="dxa" w:w="451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Aplicación móvil nativa (se usa web responsive)</w:t>
            </w:r>
          </w:p>
        </w:tc>
      </w:tr>
      <w:tr>
        <w:trPr>
          <w:cantSplit/>
        </w:trPr>
        <w:tc>
          <w:tcPr>
            <w:tcW w:type="dxa" w:w="451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Aislamiento entre empresas con Row-Level Security</w:t>
            </w:r>
          </w:p>
        </w:tc>
        <w:tc>
          <w:tcPr>
            <w:tcW w:type="dxa" w:w="451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Envío automático de correos de invitación</w:t>
            </w:r>
          </w:p>
        </w:tc>
      </w:tr>
      <w:tr>
        <w:trPr>
          <w:cantSplit/>
        </w:trPr>
        <w:tc>
          <w:tcPr>
            <w:tcW w:type="dxa" w:w="451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Categorías, presupuestos, consultas, exportación y dashboard</w:t>
            </w:r>
          </w:p>
        </w:tc>
        <w:tc>
          <w:tcPr>
            <w:tcW w:type="dxa" w:w="451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Pasarela de pago y planes de suscripción</w:t>
            </w:r>
          </w:p>
        </w:tc>
      </w:tr>
    </w:tbl>
    <w:p>
      <w:pPr>
        <w:spacing w:after="120"/>
      </w:pPr>
    </w:p>
    <w:p>
      <w:pPr>
        <w:keepNext/>
        <w:spacing w:after="80" w:before="280"/>
      </w:pPr>
      <w:bookmarkStart w:name="_Toc6" w:id="17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6. Supuestos</w:t>
      </w:r>
      <w:bookmarkEnd w:id="17"/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Los usuarios disponen de conexión a internet y de un navegador actualizado, en el computador o el celular.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Las PYMEs cuentan con información financiera básica para registrar o importar sus movimientos.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Las boletas y facturas se entregan en formatos compatibles (imagen o PDF) y con calidad legible.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Los servicios de Azure for Students se mantienen disponibles durante todo el semestre.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equipo mantiene una capacidad estimada de 20 story points por sprint de dos semanas.</w:t>
      </w:r>
    </w:p>
    <w:p>
      <w:pPr>
        <w:keepNext/>
        <w:spacing w:after="80" w:before="280"/>
      </w:pPr>
      <w:bookmarkStart w:name="_Toc7" w:id="18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7. Restricciones</w:t>
      </w:r>
      <w:bookmarkEnd w:id="18"/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Tiempo: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el proyecto se desarrolla dentro del calendario académico del Capstone; el alcance se limita a la versión 1.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Equipo: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un desarrollador concentra el trabajo técnico; el Scrum Master y el Product Owner apoyan con pruebas y documentación.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Tecnología: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la plataforma depende de los servicios elegidos (Azure Functions, Azure SQL Database, Blob Storage, AI Document Intelligence y Entra External ID; frontend en Netlify).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Cuenta institucional: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la suscripción Azure for Students de Duoc limita las regiones permitidas y no permite crear tenants ni App Registrations, por lo que la identidad de usuarios vive en una cuenta Azure separada.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Presupuesto: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durante el Capstone se opera con créditos y niveles gratuitos; no hay presupuesto para servicios pagados.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Normativa: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la versión 1 no se integra con el SII ni con bancos.</w:t>
      </w:r>
    </w:p>
    <w:p>
      <w:pPr>
        <w:keepNext/>
        <w:spacing w:after="80" w:before="280"/>
      </w:pPr>
      <w:bookmarkStart w:name="_Toc8" w:id="19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8. Riesgos</w:t>
      </w:r>
      <w:bookmarkEnd w:id="19"/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000"/>
        <w:gridCol w:w="4129"/>
      </w:tblGrid>
      <w:tr>
        <w:trPr>
          <w:cantSplit/>
          <w:tblHeader/>
        </w:trPr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41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Una política de Row-Level Security mal configurada permite ver datos de otra empresa.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Alto</w:t>
            </w:r>
          </w:p>
        </w:tc>
        <w:tc>
          <w:tcPr>
            <w:tcW w:type="dxa" w:w="41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Contexto de sesión fijado en cada solicitud a partir del token validado y pruebas automáticas de aislamiento entre empresas y entre empleados.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La IA extrae mal los datos de documentos borrosos o en formatos no reconocidos.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Medio</w:t>
            </w:r>
          </w:p>
        </w:tc>
        <w:tc>
          <w:tcPr>
            <w:tcW w:type="dxa" w:w="41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El usuario revisa y confirma antes de guardar; si el documento no se puede leer, se ofrece el formulario manual.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Archivos CSV/XLSX mal formados generan movimientos incorrectos o incompletos.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Medio</w:t>
            </w:r>
          </w:p>
        </w:tc>
        <w:tc>
          <w:tcPr>
            <w:tcW w:type="dxa" w:w="41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Plantilla fija descargable, validación de cada fila y vista previa antes de confirmar.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Cambios en las restricciones o la disponibilidad de Azure.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Medio</w:t>
            </w:r>
          </w:p>
        </w:tc>
        <w:tc>
          <w:tcPr>
            <w:tcW w:type="dxa" w:w="41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Identidad en una cuenta separada y frontend en Netlify; la infraestructura se documenta para poder recrearla.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Retrasos frente al calendario académico.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Alto</w:t>
            </w:r>
          </w:p>
        </w:tc>
        <w:tc>
          <w:tcPr>
            <w:tcW w:type="dxa" w:w="41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Alcance cerrado y backlog priorizado; lo no esencial (HU13, HU15) se posterga primero.</w:t>
            </w:r>
          </w:p>
        </w:tc>
      </w:tr>
    </w:tbl>
    <w:p>
      <w:pPr>
        <w:spacing w:after="120"/>
      </w:pPr>
    </w:p>
    <w:p>
      <w:pPr>
        <w:keepNext/>
        <w:spacing w:after="80" w:before="280"/>
      </w:pPr>
      <w:bookmarkStart w:name="_Toc9" w:id="20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9. Stakeholders</w:t>
      </w:r>
      <w:bookmarkEnd w:id="20"/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La siguiente tabla resume a los interesados principales. Su análisis de interés, influencia y estrategia de involucramiento se detalla en el Registro de Stakeholders y en el Mapa de Actores.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5329"/>
      </w:tblGrid>
      <w:tr>
        <w:trPr>
          <w:cantSplit/>
          <w:tblHeader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Interesado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en el proyecto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Vicente Hermosilla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Equipo</w:t>
            </w:r>
          </w:p>
        </w:tc>
        <w:tc>
          <w:tcPr>
            <w:tcW w:type="dxa" w:w="5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Product Owner: define la visión, prioriza el backlog y acepta los incrementos.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Diego Gallardo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Equipo</w:t>
            </w:r>
          </w:p>
        </w:tc>
        <w:tc>
          <w:tcPr>
            <w:tcW w:type="dxa" w:w="5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Scrum Master: facilita los eventos Scrum, elimina impedimentos y apoya en pruebas.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Equipo</w:t>
            </w:r>
          </w:p>
        </w:tc>
        <w:tc>
          <w:tcPr>
            <w:tcW w:type="dxa" w:w="5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Desarrollador: diseña, construye, prueba y despliega la plataforma.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Cindy Contador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Académico</w:t>
            </w:r>
          </w:p>
        </w:tc>
        <w:tc>
          <w:tcPr>
            <w:tcW w:type="dxa" w:w="5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Docente guía: orienta el proyecto y evalúa los entregables de cada fase.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Dueño de la PYME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Usuario</w:t>
            </w:r>
          </w:p>
        </w:tc>
        <w:tc>
          <w:tcPr>
            <w:tcW w:type="dxa" w:w="5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Administra la empresa en la plataforma y decide su adopción.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Contador externo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Usuario</w:t>
            </w:r>
          </w:p>
        </w:tc>
        <w:tc>
          <w:tcPr>
            <w:tcW w:type="dxa" w:w="5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Consulta, importa y exporta la información de una o varias empresas.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Empleado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Usuario</w:t>
            </w:r>
          </w:p>
        </w:tc>
        <w:tc>
          <w:tcPr>
            <w:tcW w:type="dxa" w:w="53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Registra los gastos e ingresos del día a día.</w:t>
            </w:r>
          </w:p>
        </w:tc>
      </w:tr>
    </w:tbl>
    <w:p>
      <w:pPr>
        <w:spacing w:after="120"/>
      </w:pPr>
    </w:p>
    <w:p>
      <w:pPr>
        <w:keepNext/>
        <w:spacing w:after="80" w:before="280"/>
      </w:pPr>
      <w:bookmarkStart w:name="_Toc10" w:id="21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10. Criterios de éxito</w:t>
      </w:r>
      <w:bookmarkEnd w:id="21"/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proyecto se considera exitoso si, al cierre del Sprint 5, se cumple lo siguiente: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Las historias comprometidas para la versión 1 cumplen sus criterios de aceptación y fueron aceptadas por el Product Owner.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Los tres flujos de carga (manual, foto/PDF e importación CSV/XLSX) funcionan de punta a punta, con confirmación del usuario antes de guardar.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Las pruebas demuestran que no hay acceso a datos entre empresas bajo ningún rol.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La plataforma está desplegada y accesible en kontadoria.cl, operando dentro de los créditos de Azure for Students.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Al menos una PYME del programa piloto prueba la plataforma y entrega retroalimentación.</w:t>
      </w:r>
    </w:p>
    <w:p>
      <w:pPr>
        <w:keepNext/>
        <w:spacing w:after="80" w:before="280"/>
      </w:pPr>
      <w:bookmarkStart w:name="_Toc11" w:id="22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11. Aprobación</w:t>
      </w:r>
      <w:bookmarkEnd w:id="22"/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Con la firma de este documento, el equipo se compromete con los objetivos, el alcance y las restricciones aquí descritos.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29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Vicente Hermosilla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</w:tc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Diego Gallardo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2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</w:tc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Felipe Quezada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2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</w:tc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Cindy Contador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Docente guía</w:t>
            </w:r>
          </w:p>
        </w:tc>
        <w:tc>
          <w:tcPr>
            <w:tcW w:type="dxa" w:w="26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</w:tc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 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7F7F7F"/>
          <w:sz w:val="17"/>
          <w:szCs w:val="17"/>
        </w:rPr>
        <w:t xml:space="preserve">Fuentes: Ficha del Proyecto v2, Product Vision y Product Goal, Product Roadmap, Historias de Usuario v1.2 y Seguridad en el Sistema v2.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9" w:h="16834" w:orient="portrait"/>
      <w:pgMar w:top="1440" w:right="1440" w:bottom="1440" w:left="1440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Acta de Constitución · KontadorIA · Página </w:t>
    </w:r>
    <w:r>
      <w:rPr>
        <w:rFonts w:ascii="Arial" w:cs="Arial" w:eastAsia="Arial" w:hAnsi="Arial"/>
        <w:color w:val="0737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73763" w:sz="6" w:space="4"/>
      </w:pBdr>
      <w:tabs>
        <w:tab w:val="right" w:pos="9029"/>
      </w:tabs>
    </w:pPr>
    <w:r>
      <w:drawing>
        <wp:inline distT="0" distB="0" distL="0" distR="0">
          <wp:extent cx="914400" cy="2286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F7F7F"/>
        <w:sz w:val="15"/>
        <w:szCs w:val="15"/>
      </w:rPr>
      <w:t xml:space="preserve">	Instituto Profesional DuocUC</w:t>
    </w:r>
  </w:p>
  <w:p>
    <w:pPr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Escuela de Informática y Telecomunicaciones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73763" w:sz="6" w:space="4"/>
      </w:pBdr>
      <w:tabs>
        <w:tab w:val="right" w:pos="9029"/>
      </w:tabs>
    </w:pPr>
    <w:r>
      <w:drawing>
        <wp:inline distT="0" distB="0" distL="0" distR="0">
          <wp:extent cx="914400" cy="228600"/>
          <wp:effectExtent t="0" r="0" b="0" l="0"/>
          <wp:docPr id="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F7F7F"/>
        <w:sz w:val="15"/>
        <w:szCs w:val="15"/>
      </w:rPr>
      <w:t xml:space="preserve">	Instituto Profesional DuocUC</w:t>
    </w:r>
  </w:p>
  <w:p>
    <w:pPr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Escuela de Informática y Telecomunicaciones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  <w:rPr>
        <w:color w:val="0737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41fb27ebeb7b62be9da1a50c6e9fb15bc9e99b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141fb27ebeb7b62be9da1a50c6e9fb15bc9e99b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· KontadorIA</dc:title>
  <dc:creator>Equipo KontadorIA</dc:creator>
  <cp:lastModifiedBy>Un-named</cp:lastModifiedBy>
  <cp:revision>1</cp:revision>
  <dcterms:created xsi:type="dcterms:W3CDTF">2026-10-13T02:52:15.982Z</dcterms:created>
  <dcterms:modified xsi:type="dcterms:W3CDTF">2026-10-13T02:52:15.982Z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